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Default="00FD2853" w:rsidP="006B0FD6">
      <w:pPr>
        <w:rPr>
          <w:rFonts w:ascii="Calibri" w:hAnsi="Calibri" w:cs="Calibri"/>
          <w:lang w:val="ru-RU"/>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70147F" w:rsidRDefault="0070147F" w:rsidP="006B0FD6">
      <w:pPr>
        <w:rPr>
          <w:rFonts w:ascii="Calibri" w:hAnsi="Calibri" w:cs="Calibri"/>
          <w:lang w:val="ru-RU"/>
        </w:rPr>
      </w:pPr>
      <w:proofErr w:type="spellStart"/>
      <w:r w:rsidRPr="00FD2853">
        <w:rPr>
          <w:rFonts w:ascii="Calibri" w:hAnsi="Calibri" w:cs="Calibri"/>
          <w:lang w:val="en-US"/>
        </w:rPr>
        <w:t>LKP_Secretariat</w:t>
      </w:r>
      <w:proofErr w:type="spellEnd"/>
      <w:r>
        <w:rPr>
          <w:rFonts w:ascii="Calibri" w:hAnsi="Calibri" w:cs="Calibri"/>
          <w:lang w:val="ru-RU"/>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w:t>
      </w:r>
      <w:r w:rsidRPr="004B4F77">
        <w:rPr>
          <w:rFonts w:ascii="Calibri" w:hAnsi="Calibri" w:cs="Calibri"/>
        </w:rPr>
        <w:lastRenderedPageBreak/>
        <w:t>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xml:space="preserve">. </w:t>
      </w:r>
      <w:proofErr w:type="spellStart"/>
      <w:r w:rsidRPr="00D01A09">
        <w:rPr>
          <w:rFonts w:ascii="Calibri" w:hAnsi="Calibri" w:cs="Calibri"/>
          <w:i/>
          <w:iCs/>
        </w:rPr>
        <w:t>izd</w:t>
      </w:r>
      <w:proofErr w:type="spellEnd"/>
      <w:r w:rsidRPr="00D01A09">
        <w:rPr>
          <w:rFonts w:ascii="Calibri" w:hAnsi="Calibri" w:cs="Calibri"/>
          <w:i/>
          <w:iCs/>
        </w:rPr>
        <w:t>.</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D64CCB9"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p>
    <w:p w14:paraId="28F68845" w14:textId="2AF1A709"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 xml:space="preserve">No LKP sekretariāta uzsaukuma </w:t>
      </w:r>
      <w:r w:rsidR="009A09B1" w:rsidRPr="009A09B1">
        <w:rPr>
          <w:rFonts w:ascii="Calibri" w:hAnsi="Calibri" w:cs="Calibri"/>
        </w:rPr>
        <w:t>darbaļaudīm</w:t>
      </w:r>
      <w:r w:rsidR="009A09B1" w:rsidRPr="009A09B1">
        <w:rPr>
          <w:rFonts w:ascii="Calibri" w:hAnsi="Calibri" w:cs="Calibri"/>
        </w:rPr>
        <w:t xml:space="preserve">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12899C45"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 xml:space="preserve">tāka apspiešana un terors, </w:t>
      </w:r>
      <w:r w:rsidR="000C7ABA" w:rsidRPr="000C7ABA">
        <w:rPr>
          <w:rFonts w:ascii="Calibri" w:hAnsi="Calibri" w:cs="Calibri"/>
        </w:rPr>
        <w:t>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w:t>
      </w:r>
      <w:r w:rsidRPr="001D07EE">
        <w:rPr>
          <w:rFonts w:ascii="Calibri" w:hAnsi="Calibri" w:cs="Calibri"/>
        </w:rPr>
        <w:t>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w:t>
      </w:r>
      <w:r w:rsidRPr="00AC0152">
        <w:rPr>
          <w:rFonts w:ascii="Calibri" w:hAnsi="Calibri" w:cs="Calibri"/>
        </w:rPr>
        <w:t xml:space="preserve">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 xml:space="preserve">istu bandītu </w:t>
      </w:r>
      <w:r w:rsidR="006F05B8" w:rsidRPr="006F05B8">
        <w:rPr>
          <w:rFonts w:ascii="Calibri" w:hAnsi="Calibri" w:cs="Calibri"/>
        </w:rPr>
        <w:t>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w:t>
      </w:r>
      <w:r w:rsidR="00346064" w:rsidRPr="00111143">
        <w:rPr>
          <w:rFonts w:ascii="Calibri" w:hAnsi="Calibri" w:cs="Calibri"/>
          <w:i/>
          <w:iCs/>
        </w:rPr>
        <w:t>cīņas frontē par brīvību un mieru, par kultūru un progresu, pa</w:t>
      </w:r>
      <w:r w:rsidR="00346064" w:rsidRPr="00111143">
        <w:rPr>
          <w:rFonts w:ascii="Calibri" w:hAnsi="Calibri" w:cs="Calibri"/>
          <w:i/>
          <w:iCs/>
        </w:rPr>
        <w:t xml:space="preserve">r </w:t>
      </w:r>
      <w:r w:rsidR="00346064" w:rsidRPr="00111143">
        <w:rPr>
          <w:rFonts w:ascii="Calibri" w:hAnsi="Calibri" w:cs="Calibri"/>
          <w:i/>
          <w:iCs/>
        </w:rPr>
        <w:t>darbu un maizi, par Latvijas demokrātisku republiku!</w:t>
      </w:r>
    </w:p>
    <w:p w14:paraId="3623E729" w14:textId="77777777" w:rsidR="00111143" w:rsidRPr="006F05B8" w:rsidRDefault="00111143" w:rsidP="00523798">
      <w:pPr>
        <w:rPr>
          <w:rFonts w:ascii="Calibri" w:hAnsi="Calibri" w:cs="Calibri"/>
        </w:rPr>
      </w:pPr>
    </w:p>
    <w:sectPr w:rsidR="00111143" w:rsidRPr="006F05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AAD5C" w14:textId="77777777" w:rsidR="00F37EC8" w:rsidRDefault="00F37EC8" w:rsidP="00CF65D7">
      <w:pPr>
        <w:spacing w:after="0" w:line="240" w:lineRule="auto"/>
      </w:pPr>
      <w:r>
        <w:separator/>
      </w:r>
    </w:p>
  </w:endnote>
  <w:endnote w:type="continuationSeparator" w:id="0">
    <w:p w14:paraId="26254780" w14:textId="77777777" w:rsidR="00F37EC8" w:rsidRDefault="00F37EC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2E8D4" w14:textId="77777777" w:rsidR="00F37EC8" w:rsidRDefault="00F37EC8" w:rsidP="00CF65D7">
      <w:pPr>
        <w:spacing w:after="0" w:line="240" w:lineRule="auto"/>
      </w:pPr>
      <w:r>
        <w:separator/>
      </w:r>
    </w:p>
  </w:footnote>
  <w:footnote w:type="continuationSeparator" w:id="0">
    <w:p w14:paraId="49DE76A9" w14:textId="77777777" w:rsidR="00F37EC8" w:rsidRDefault="00F37EC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3F93"/>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957"/>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286"/>
    <w:rsid w:val="005D184B"/>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852"/>
    <w:rsid w:val="006C5A73"/>
    <w:rsid w:val="006C5C87"/>
    <w:rsid w:val="006C5ED0"/>
    <w:rsid w:val="006C6105"/>
    <w:rsid w:val="006C6448"/>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61D2"/>
    <w:rsid w:val="0090630B"/>
    <w:rsid w:val="00906406"/>
    <w:rsid w:val="00906A40"/>
    <w:rsid w:val="00906C91"/>
    <w:rsid w:val="00906C95"/>
    <w:rsid w:val="0090731C"/>
    <w:rsid w:val="00910ABB"/>
    <w:rsid w:val="00910C47"/>
    <w:rsid w:val="00910D34"/>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0124"/>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87B"/>
    <w:rsid w:val="00C30DE2"/>
    <w:rsid w:val="00C31355"/>
    <w:rsid w:val="00C31800"/>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72DD"/>
    <w:rsid w:val="00E27762"/>
    <w:rsid w:val="00E27C89"/>
    <w:rsid w:val="00E30241"/>
    <w:rsid w:val="00E3031A"/>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7664</TotalTime>
  <Pages>368</Pages>
  <Words>642657</Words>
  <Characters>366316</Characters>
  <Application>Microsoft Office Word</Application>
  <DocSecurity>0</DocSecurity>
  <Lines>3052</Lines>
  <Paragraphs>2013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4880</cp:revision>
  <cp:lastPrinted>2025-04-03T08:08:00Z</cp:lastPrinted>
  <dcterms:created xsi:type="dcterms:W3CDTF">2025-04-03T08:06:00Z</dcterms:created>
  <dcterms:modified xsi:type="dcterms:W3CDTF">2025-10-24T10:29:00Z</dcterms:modified>
</cp:coreProperties>
</file>