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Pr="001930DF"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sectPr w:rsidR="00AA1658" w:rsidRPr="001930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DEB0C" w14:textId="77777777" w:rsidR="00B736EC" w:rsidRDefault="00B736EC" w:rsidP="00CF65D7">
      <w:pPr>
        <w:spacing w:after="0" w:line="240" w:lineRule="auto"/>
      </w:pPr>
      <w:r>
        <w:separator/>
      </w:r>
    </w:p>
  </w:endnote>
  <w:endnote w:type="continuationSeparator" w:id="0">
    <w:p w14:paraId="1E444639" w14:textId="77777777" w:rsidR="00B736EC" w:rsidRDefault="00B736E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8EFCF" w14:textId="77777777" w:rsidR="00B736EC" w:rsidRDefault="00B736EC" w:rsidP="00CF65D7">
      <w:pPr>
        <w:spacing w:after="0" w:line="240" w:lineRule="auto"/>
      </w:pPr>
      <w:r>
        <w:separator/>
      </w:r>
    </w:p>
  </w:footnote>
  <w:footnote w:type="continuationSeparator" w:id="0">
    <w:p w14:paraId="21C6A229" w14:textId="77777777" w:rsidR="00B736EC" w:rsidRDefault="00B736E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6238</TotalTime>
  <Pages>302</Pages>
  <Words>521495</Words>
  <Characters>297253</Characters>
  <Application>Microsoft Office Word</Application>
  <DocSecurity>0</DocSecurity>
  <Lines>2477</Lines>
  <Paragraphs>1634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3773</cp:revision>
  <cp:lastPrinted>2025-04-03T08:08:00Z</cp:lastPrinted>
  <dcterms:created xsi:type="dcterms:W3CDTF">2025-04-03T08:06:00Z</dcterms:created>
  <dcterms:modified xsi:type="dcterms:W3CDTF">2025-10-06T16:30:00Z</dcterms:modified>
</cp:coreProperties>
</file>