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6D64" w14:textId="74D84287" w:rsidR="006760AC" w:rsidRPr="00973A5A" w:rsidRDefault="00970C37" w:rsidP="00973A5A">
      <w:pPr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>2.2.2 5G: LTE-Advanced</w:t>
      </w:r>
    </w:p>
    <w:p w14:paraId="5A53313F" w14:textId="20DC6370" w:rsidR="00970C37" w:rsidRDefault="00970C37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5G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industrialis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pasar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5G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LTE-A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5G,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NGN.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ultra-broadband universal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Gambar 6.3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benar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Rel-8 LTE,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macrocell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/ microcell,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multiantena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isting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LTE-A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Rel-8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throughput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.</w:t>
      </w:r>
    </w:p>
    <w:p w14:paraId="41DF9541" w14:textId="59C5EC71" w:rsidR="00973A5A" w:rsidRPr="00973A5A" w:rsidRDefault="00973A5A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0C8963" wp14:editId="10FF68BE">
            <wp:extent cx="54387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49D" w14:textId="31620955" w:rsidR="00970C37" w:rsidRDefault="00970C37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LTE-A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spektral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DL 30 bit / s / Hz dan UL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spektral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15 bit / s / Hz,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1,5 ×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spektral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Rel-8 dan Rel-9 [13].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MIMO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PHY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pemancar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Fitur radio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enabler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Evolved Packet System (EPS)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distandarisasi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3GPP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routing dan transfer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(RRM). Peran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(PCRF)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r w:rsidRPr="00973A5A">
        <w:rPr>
          <w:rFonts w:ascii="Times New Roman" w:hAnsi="Times New Roman" w:cs="Times New Roman"/>
          <w:sz w:val="24"/>
          <w:szCs w:val="24"/>
        </w:rPr>
        <w:t xml:space="preserve">UE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lastRenderedPageBreak/>
        <w:t>dibandingkan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Gambar 6.4,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Gx.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CC039" w14:textId="193702FB" w:rsidR="00973A5A" w:rsidRDefault="00973A5A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7A1A77" w14:textId="1D313835" w:rsidR="00973A5A" w:rsidRPr="00973A5A" w:rsidRDefault="00973A5A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6166F" wp14:editId="00455795">
            <wp:extent cx="54006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5ABE" w14:textId="74A35867" w:rsidR="00970C37" w:rsidRPr="00973A5A" w:rsidRDefault="00970C37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sesedikit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mode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yang tidak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Orthogonal Frequency Division Multiplexing Access (OFDMA).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Single Carrier Frequency Division Multiple Access (SC-FDMA)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terminal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LTE,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OFDMA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spektral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bit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E74AEC2" w14:textId="774BAC32" w:rsidR="00970C37" w:rsidRPr="00973A5A" w:rsidRDefault="00970C37" w:rsidP="004501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spektral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mini mal,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WCDMA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OFDMA yang benar-benar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multipengguna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="0045014C">
        <w:rPr>
          <w:rFonts w:ascii="Times New Roman" w:hAnsi="Times New Roman" w:cs="Times New Roman"/>
          <w:sz w:val="24"/>
          <w:szCs w:val="24"/>
        </w:rPr>
        <w:t xml:space="preserve"> </w:t>
      </w:r>
      <w:r w:rsidRPr="00973A5A">
        <w:rPr>
          <w:rFonts w:ascii="Times New Roman" w:hAnsi="Times New Roman" w:cs="Times New Roman"/>
          <w:sz w:val="24"/>
          <w:szCs w:val="24"/>
        </w:rPr>
        <w:t xml:space="preserve">subcarrier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DL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Fourier transform (DFT) -spread OFDM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SC-FDMA pada UL.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inti, LTE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-IP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terkonvergensi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ini, 3GPPP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memisahkannya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: Satu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radio,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1D613068" w14:textId="77777777" w:rsidR="00970C37" w:rsidRPr="00973A5A" w:rsidRDefault="00970C37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lastRenderedPageBreak/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CN. Oleh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LTE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System Architecture Evolution (SAE). SAE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3GPP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CN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RAN [PHY dan Medium Access Control (MAC)]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RAN [14</w:t>
      </w:r>
      <w:proofErr w:type="gramStart"/>
      <w:r w:rsidRPr="00973A5A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output E-UTRAN dan EPC,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CN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SAE.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E-UTRAN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: Control Plane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Resources Control (RRC),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, dan</w:t>
      </w:r>
    </w:p>
    <w:p w14:paraId="348AB6C9" w14:textId="77777777" w:rsidR="00970C37" w:rsidRPr="00973A5A" w:rsidRDefault="00970C37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User Plane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UE.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MAC, Packet Data Convergence Protocol (PDCP), dan Packet Radio Link Control (RLC). RRC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ini. Ini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paging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siaran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pembawa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sublapisan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.</w:t>
      </w:r>
    </w:p>
    <w:p w14:paraId="4CB0154D" w14:textId="39834F32" w:rsidR="00970C37" w:rsidRPr="00973A5A" w:rsidRDefault="00970C37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sublayer MAC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mengangkut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format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PHY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MAC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mengirimkannya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RLC. PDCP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penyandian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transfer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header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Gambar 6.5.</w:t>
      </w:r>
    </w:p>
    <w:p w14:paraId="203A7BC1" w14:textId="7D81FAAA" w:rsidR="00970C37" w:rsidRPr="00973A5A" w:rsidRDefault="00970C37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Mac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Pengodean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header IP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RRM,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Lokasi,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Lalu Lintas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E-UTRAN.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E-UTRAN.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lain, EPC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</w:p>
    <w:p w14:paraId="7E7A533A" w14:textId="47987EA8" w:rsidR="00970C37" w:rsidRPr="00973A5A" w:rsidRDefault="00970C37" w:rsidP="0084040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59A2D4" wp14:editId="6E0368B0">
            <wp:extent cx="4533900" cy="30809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60" cy="31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BFFC" w14:textId="68B4EEED" w:rsidR="0034264B" w:rsidRPr="00973A5A" w:rsidRDefault="0034264B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3EE5C6" w14:textId="56E0A9E8" w:rsidR="0034264B" w:rsidRPr="00973A5A" w:rsidRDefault="0034264B" w:rsidP="00973A5A">
      <w:pPr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>(MME), Serving Gateway (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), Packet Data Network (PDN) Gateway (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), dan PCRF. Saya t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primordial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EPC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memasok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WiMAX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(WLAN). Ini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RFC 6459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3GPP GPRS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,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RAT. EPS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EPC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end-to-end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EPS.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E-UTRAN. MME, Home Sub scriber Server (HSS),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EPC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E-UTRAN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EPS.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Gambar 6.6, stack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gateway CN,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EPC.</w:t>
      </w:r>
    </w:p>
    <w:p w14:paraId="7F3A0B61" w14:textId="77777777" w:rsidR="0034264B" w:rsidRPr="00973A5A" w:rsidRDefault="0034264B" w:rsidP="00973A5A">
      <w:pPr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CN.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Gambar 6.6,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LTE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UE</w:t>
      </w:r>
    </w:p>
    <w:p w14:paraId="70D37841" w14:textId="77777777" w:rsidR="0034264B" w:rsidRPr="00973A5A" w:rsidRDefault="0034264B" w:rsidP="00973A5A">
      <w:pPr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transfer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LTE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UMTS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mode online,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yang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lastRenderedPageBreak/>
        <w:t>atasnya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 tidak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s-Measure,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03E31ED9" w14:textId="0D8EA22A" w:rsidR="0034264B" w:rsidRPr="00973A5A" w:rsidRDefault="0034264B" w:rsidP="00973A5A">
      <w:pPr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modus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siaga</w:t>
      </w:r>
      <w:proofErr w:type="spellEnd"/>
    </w:p>
    <w:p w14:paraId="33EFCBD9" w14:textId="5615B7E8" w:rsidR="0034264B" w:rsidRPr="00973A5A" w:rsidRDefault="0034264B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Nilai s-Measure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UE. 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radio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QoS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[UE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(DRX),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terowongan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S1-U.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.</w:t>
      </w:r>
    </w:p>
    <w:p w14:paraId="1A3D3419" w14:textId="590395F0" w:rsidR="0034264B" w:rsidRPr="00973A5A" w:rsidRDefault="0034264B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A8C0A" wp14:editId="7C4E240C">
            <wp:extent cx="4638675" cy="152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552" cy="15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FB17" w14:textId="23B4CCD3" w:rsidR="0034264B" w:rsidRPr="00973A5A" w:rsidRDefault="0034264B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228341" w14:textId="5CC9ECB3" w:rsidR="0034264B" w:rsidRPr="00973A5A" w:rsidRDefault="0034264B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BF0DB" wp14:editId="3D4E044C">
            <wp:extent cx="4876800" cy="2063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298" cy="20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11C" w14:textId="0E61C888" w:rsidR="0034264B" w:rsidRPr="00973A5A" w:rsidRDefault="0034264B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FE1FF4" w14:textId="3E2C3BDA" w:rsidR="00973A5A" w:rsidRPr="00973A5A" w:rsidRDefault="00973A5A" w:rsidP="00E571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RNC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Base Station Controller (BSC)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pensinyalan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gantinya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merutekan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node LTE,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3GPP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lastRenderedPageBreak/>
        <w:t>interkoneksi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 dan PDN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di LTE, MME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MME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,</w:t>
      </w:r>
    </w:p>
    <w:p w14:paraId="59C44113" w14:textId="77777777" w:rsidR="00973A5A" w:rsidRPr="00973A5A" w:rsidRDefault="00973A5A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SMS,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Non-Access Stratum Protocol (NAS).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r w:rsidRPr="00973A5A">
        <w:rPr>
          <w:rFonts w:ascii="Times New Roman" w:hAnsi="Times New Roman" w:cs="Times New Roman"/>
          <w:sz w:val="24"/>
          <w:szCs w:val="24"/>
        </w:rPr>
        <w:t xml:space="preserve">MME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HSS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diautentikasi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HSS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(AAA). HSS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r w:rsidRPr="00973A5A">
        <w:rPr>
          <w:rFonts w:ascii="Times New Roman" w:hAnsi="Times New Roman" w:cs="Times New Roman"/>
          <w:sz w:val="24"/>
          <w:szCs w:val="24"/>
        </w:rPr>
        <w:t xml:space="preserve">MME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HSS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SIM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HSS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MME lama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MME,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, dan SIM.</w:t>
      </w:r>
    </w:p>
    <w:p w14:paraId="54DD7C73" w14:textId="4E837EA4" w:rsidR="00973A5A" w:rsidRPr="00973A5A" w:rsidRDefault="00973A5A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HSS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Home Location Register (HLR)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Peran MME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User Plane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r w:rsidRPr="00973A5A">
        <w:rPr>
          <w:rFonts w:ascii="Times New Roman" w:hAnsi="Times New Roman" w:cs="Times New Roman"/>
          <w:sz w:val="24"/>
          <w:szCs w:val="24"/>
        </w:rPr>
        <w:t xml:space="preserve">Data (UPD). Satu 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856D23C" w14:textId="6865B4F7" w:rsidR="0034264B" w:rsidRPr="00973A5A" w:rsidRDefault="00973A5A" w:rsidP="00973A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5A">
        <w:rPr>
          <w:rFonts w:ascii="Times New Roman" w:hAnsi="Times New Roman" w:cs="Times New Roman"/>
          <w:sz w:val="24"/>
          <w:szCs w:val="24"/>
        </w:rPr>
        <w:t xml:space="preserve">MME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merobohkan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UE. Ini juga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r w:rsidRPr="00973A5A">
        <w:rPr>
          <w:rFonts w:ascii="Times New Roman" w:hAnsi="Times New Roman" w:cs="Times New Roman"/>
          <w:sz w:val="24"/>
          <w:szCs w:val="24"/>
        </w:rPr>
        <w:t>P-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router IP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GTP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tunneling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PDN. Jika 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PDN, 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UE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SGw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.</w:t>
      </w:r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5G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throughput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 LTE-A,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terminal pada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pensinyalan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terminal. Yang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A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73A5A">
        <w:rPr>
          <w:rFonts w:ascii="Times New Roman" w:hAnsi="Times New Roman" w:cs="Times New Roman"/>
          <w:sz w:val="24"/>
          <w:szCs w:val="24"/>
        </w:rPr>
        <w:t>.</w:t>
      </w:r>
    </w:p>
    <w:sectPr w:rsidR="0034264B" w:rsidRPr="0097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AC"/>
    <w:rsid w:val="0034264B"/>
    <w:rsid w:val="003B3DEA"/>
    <w:rsid w:val="003C785C"/>
    <w:rsid w:val="0045014C"/>
    <w:rsid w:val="006760AC"/>
    <w:rsid w:val="0084040C"/>
    <w:rsid w:val="00877ADC"/>
    <w:rsid w:val="00970C37"/>
    <w:rsid w:val="00973A5A"/>
    <w:rsid w:val="00D34909"/>
    <w:rsid w:val="00D40C20"/>
    <w:rsid w:val="00E571FC"/>
    <w:rsid w:val="00F7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93A0"/>
  <w15:chartTrackingRefBased/>
  <w15:docId w15:val="{A7E13ECF-A3D8-4677-B5C0-AB01B3C2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14</cp:revision>
  <dcterms:created xsi:type="dcterms:W3CDTF">2021-03-19T15:17:00Z</dcterms:created>
  <dcterms:modified xsi:type="dcterms:W3CDTF">2021-03-19T15:43:00Z</dcterms:modified>
</cp:coreProperties>
</file>