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Повідомлення про проведення чергових загальних зборів акціонерного товариства.</w:t>
      </w:r>
    </w:p>
    <w:p w:rsidR="00000000" w:rsidDel="00000000" w:rsidP="00000000" w:rsidRDefault="00000000" w:rsidRPr="00000000" w14:paraId="00000002">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sz w:val="22"/>
          <w:szCs w:val="22"/>
          <w:rtl w:val="0"/>
        </w:rPr>
        <w:t xml:space="preserve">Повне найменування товариства:</w:t>
      </w:r>
      <w:r w:rsidDel="00000000" w:rsidR="00000000" w:rsidRPr="00000000">
        <w:rPr>
          <w:rFonts w:ascii="Times New Roman" w:cs="Times New Roman" w:eastAsia="Times New Roman" w:hAnsi="Times New Roman"/>
          <w:b w:val="1"/>
          <w:sz w:val="22"/>
          <w:szCs w:val="22"/>
          <w:rtl w:val="0"/>
        </w:rPr>
        <w:t xml:space="preserve"> Приватне акціонерне товариство „БУДМАРКЕТ”.</w:t>
      </w:r>
    </w:p>
    <w:p w:rsidR="00000000" w:rsidDel="00000000" w:rsidP="00000000" w:rsidRDefault="00000000" w:rsidRPr="00000000" w14:paraId="0000000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Місцезнаходження товариства: вул. Бориспільська, 7,  м. Київ, п/і 02099.</w:t>
      </w:r>
    </w:p>
    <w:p w:rsidR="00000000" w:rsidDel="00000000" w:rsidP="00000000" w:rsidRDefault="00000000" w:rsidRPr="00000000" w14:paraId="0000000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Дата, час та місце  проведення загальних зборів: </w:t>
      </w:r>
      <w:r w:rsidDel="00000000" w:rsidR="00000000" w:rsidRPr="00000000">
        <w:rPr>
          <w:rFonts w:ascii="Times New Roman" w:cs="Times New Roman" w:eastAsia="Times New Roman" w:hAnsi="Times New Roman"/>
          <w:b w:val="1"/>
          <w:sz w:val="22"/>
          <w:szCs w:val="22"/>
          <w:rtl w:val="0"/>
        </w:rPr>
        <w:t xml:space="preserve">31 березня 2020 року</w:t>
      </w:r>
      <w:r w:rsidDel="00000000" w:rsidR="00000000" w:rsidRPr="00000000">
        <w:rPr>
          <w:rFonts w:ascii="Times New Roman" w:cs="Times New Roman" w:eastAsia="Times New Roman" w:hAnsi="Times New Roman"/>
          <w:sz w:val="22"/>
          <w:szCs w:val="22"/>
          <w:rtl w:val="0"/>
        </w:rPr>
        <w:t xml:space="preserve"> об 11-00 годин за адресою: вул. Бориспільська, 7, м. Київ, п/і 02099</w:t>
      </w:r>
      <w:r w:rsidDel="00000000" w:rsidR="00000000" w:rsidRPr="00000000">
        <w:rPr>
          <w:rFonts w:ascii="Times New Roman" w:cs="Times New Roman" w:eastAsia="Times New Roman" w:hAnsi="Times New Roman"/>
          <w:color w:val="000000"/>
          <w:sz w:val="22"/>
          <w:szCs w:val="22"/>
          <w:rtl w:val="0"/>
        </w:rPr>
        <w:t xml:space="preserve">, 2-й поверх,  </w:t>
      </w:r>
      <w:r w:rsidDel="00000000" w:rsidR="00000000" w:rsidRPr="00000000">
        <w:rPr>
          <w:rFonts w:ascii="Times New Roman" w:cs="Times New Roman" w:eastAsia="Times New Roman" w:hAnsi="Times New Roman"/>
          <w:sz w:val="22"/>
          <w:szCs w:val="22"/>
          <w:rtl w:val="0"/>
        </w:rPr>
        <w:t xml:space="preserve">кабінет Голови правління.</w:t>
      </w:r>
    </w:p>
    <w:p w:rsidR="00000000" w:rsidDel="00000000" w:rsidP="00000000" w:rsidRDefault="00000000" w:rsidRPr="00000000" w14:paraId="0000000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Час початку і закінчення реєстрації акціонерів для  участі у загальних зборах: з 10-00 до 10-45</w:t>
      </w:r>
      <w:r w:rsidDel="00000000" w:rsidR="00000000" w:rsidRPr="00000000">
        <w:rPr>
          <w:rFonts w:ascii="Times New Roman" w:cs="Times New Roman" w:eastAsia="Times New Roman" w:hAnsi="Times New Roman"/>
          <w:b w:val="1"/>
          <w:i w:val="1"/>
          <w:sz w:val="22"/>
          <w:szCs w:val="22"/>
          <w:rtl w:val="0"/>
        </w:rPr>
        <w:t xml:space="preserve"> </w:t>
      </w:r>
      <w:r w:rsidDel="00000000" w:rsidR="00000000" w:rsidRPr="00000000">
        <w:rPr>
          <w:rFonts w:ascii="Times New Roman" w:cs="Times New Roman" w:eastAsia="Times New Roman" w:hAnsi="Times New Roman"/>
          <w:sz w:val="22"/>
          <w:szCs w:val="22"/>
          <w:rtl w:val="0"/>
        </w:rPr>
        <w:t xml:space="preserve">у день та  за місцем проведення зборів.</w:t>
      </w:r>
    </w:p>
    <w:p w:rsidR="00000000" w:rsidDel="00000000" w:rsidP="00000000" w:rsidRDefault="00000000" w:rsidRPr="00000000" w14:paraId="0000000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Дата  складання переліку акціонерів, які мають право на участь у загальних зборах – 25 березня 2020р. станом на 24 годину.</w:t>
      </w:r>
    </w:p>
    <w:p w:rsidR="00000000" w:rsidDel="00000000" w:rsidP="00000000" w:rsidRDefault="00000000" w:rsidRPr="00000000" w14:paraId="00000007">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Проект порядку денного</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0008">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1.Обрання лічильної комісії.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single"/>
          <w:shd w:fill="auto" w:val="clear"/>
          <w:vertAlign w:val="baseline"/>
          <w:rtl w:val="0"/>
        </w:rPr>
        <w:t xml:space="preserve">Проект рішення</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Обрати лічильну комісію в особі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Звєрєвої  Л.І..</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2.Затвердження форми і тексту бюлетеня для голосування.</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single"/>
          <w:shd w:fill="auto" w:val="clear"/>
          <w:vertAlign w:val="baseline"/>
          <w:rtl w:val="0"/>
        </w:rPr>
        <w:t xml:space="preserve">Проект рішення:</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Затвердити текст і форму  бюлетеня для голосування дод.1.  Бюлетень  для  голосування засвідчується підписом голови або члена реєстраційної комісії перед видачею його акціонеру (представнику акціонера), після здійснення реєстрації цього акціонера (представника акціонера) для участі у Загальних зборах.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3.Обрання голови та секретаря зборів.</w:t>
      </w:r>
      <w:r w:rsidDel="00000000" w:rsidR="00000000" w:rsidRPr="00000000">
        <w:rPr>
          <w:rFonts w:ascii="Times New Roman" w:cs="Times New Roman" w:eastAsia="Times New Roman" w:hAnsi="Times New Roman"/>
          <w:b w:val="1"/>
          <w:i w:val="0"/>
          <w:smallCaps w:val="0"/>
          <w:strike w:val="0"/>
          <w:color w:val="ff66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Уповноваження осіб на підписання протоколу загальних зборів. Прийняття рішень з питань порядку проведення загальних зборів.</w:t>
      </w:r>
    </w:p>
    <w:p w:rsidR="00000000" w:rsidDel="00000000" w:rsidP="00000000" w:rsidRDefault="00000000" w:rsidRPr="00000000" w14:paraId="0000000F">
      <w:pPr>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u w:val="single"/>
          <w:rtl w:val="0"/>
        </w:rPr>
        <w:t xml:space="preserve">Проект рішення</w:t>
      </w:r>
      <w:r w:rsidDel="00000000" w:rsidR="00000000" w:rsidRPr="00000000">
        <w:rPr>
          <w:rFonts w:ascii="Times New Roman" w:cs="Times New Roman" w:eastAsia="Times New Roman" w:hAnsi="Times New Roman"/>
          <w:i w:val="1"/>
          <w:sz w:val="22"/>
          <w:szCs w:val="22"/>
          <w:rtl w:val="0"/>
        </w:rPr>
        <w:t xml:space="preserve">:</w:t>
      </w:r>
    </w:p>
    <w:p w:rsidR="00000000" w:rsidDel="00000000" w:rsidP="00000000" w:rsidRDefault="00000000" w:rsidRPr="00000000" w14:paraId="00000010">
      <w:pPr>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1) Обрати  головою зборів  – Неліпу С.С., секретарем загальних зборів - Михайлову О.М.</w:t>
      </w:r>
    </w:p>
    <w:p w:rsidR="00000000" w:rsidDel="00000000" w:rsidP="00000000" w:rsidRDefault="00000000" w:rsidRPr="00000000" w14:paraId="00000011">
      <w:pPr>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2)Затвердити наступний порядок проведення Загальних зборів : з питань порядку денного проводити відкрите голосування бюлетенями.</w:t>
      </w:r>
    </w:p>
    <w:p w:rsidR="00000000" w:rsidDel="00000000" w:rsidP="00000000" w:rsidRDefault="00000000" w:rsidRPr="00000000" w14:paraId="00000012">
      <w:pPr>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Рішення загальних зборів з питання, винесеного на голосування, приймається простою більшістю голосів акціонерів, які </w:t>
      </w:r>
      <w:r w:rsidDel="00000000" w:rsidR="00000000" w:rsidRPr="00000000">
        <w:rPr>
          <w:rFonts w:ascii="Times New Roman" w:cs="Times New Roman" w:eastAsia="Times New Roman" w:hAnsi="Times New Roman"/>
          <w:i w:val="1"/>
          <w:color w:val="000000"/>
          <w:sz w:val="22"/>
          <w:szCs w:val="22"/>
          <w:rtl w:val="0"/>
        </w:rPr>
        <w:t xml:space="preserve">зареєструвались для участі у загальних зборах</w:t>
      </w:r>
      <w:r w:rsidDel="00000000" w:rsidR="00000000" w:rsidRPr="00000000">
        <w:rPr>
          <w:rFonts w:ascii="Times New Roman" w:cs="Times New Roman" w:eastAsia="Times New Roman" w:hAnsi="Times New Roman"/>
          <w:i w:val="1"/>
          <w:sz w:val="22"/>
          <w:szCs w:val="22"/>
          <w:rtl w:val="0"/>
        </w:rPr>
        <w:t xml:space="preserve"> та є власниками голосуючих з цього питання акцій.</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Одна голосуюча акція надає акціонеру один голос для вирішення кожного з питань, винесених на голосування на загальних зборах, крім проведення кумулятивного голосування.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Рішення Загальних зборів з питання №8 «Затвердження нової редакції Статуту. Уповноваження  осіб на підписання та здійснення державної реєстрації Статуту в новій редакції», приймається більш як трьома чвертями голосів акціонерів, які зареєструвалися для участі у Загальних зборах та є власниками голосуючих з цього питання акцій.</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Надати для виступу: доповідачам до 15 хвилин, виступаючим до 5 хвилин. Запитання подавати усно, зазначивши прізвище, ім»я, по батькові акціонера (представника) акціонера.</w:t>
      </w:r>
    </w:p>
    <w:p w:rsidR="00000000" w:rsidDel="00000000" w:rsidP="00000000" w:rsidRDefault="00000000" w:rsidRPr="00000000" w14:paraId="0000001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sz w:val="22"/>
          <w:szCs w:val="22"/>
          <w:rtl w:val="0"/>
        </w:rPr>
        <w:t xml:space="preserve">3) Уповноважити голову загальних зборів акціонерів та секретаря загальних зборів акціонерів підписати протокол чергових загальних зборів акціонерів</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0017">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color w:val="000000"/>
          <w:sz w:val="22"/>
          <w:szCs w:val="22"/>
          <w:rtl w:val="0"/>
        </w:rPr>
        <w:t xml:space="preserve">4</w:t>
      </w:r>
      <w:r w:rsidDel="00000000" w:rsidR="00000000" w:rsidRPr="00000000">
        <w:rPr>
          <w:rFonts w:ascii="Times New Roman" w:cs="Times New Roman" w:eastAsia="Times New Roman" w:hAnsi="Times New Roman"/>
          <w:b w:val="1"/>
          <w:sz w:val="22"/>
          <w:szCs w:val="22"/>
          <w:rtl w:val="0"/>
        </w:rPr>
        <w:t xml:space="preserve">. Розгляд звіту  Правління  про  результати  фінансово-господарської діяльності  Товариства  за  2019 рік та затвердження заходів  за результатами його розгляду.</w:t>
      </w:r>
    </w:p>
    <w:p w:rsidR="00000000" w:rsidDel="00000000" w:rsidP="00000000" w:rsidRDefault="00000000" w:rsidRPr="00000000" w14:paraId="00000019">
      <w:pPr>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u w:val="single"/>
          <w:rtl w:val="0"/>
        </w:rPr>
        <w:t xml:space="preserve">Проект рішення</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i w:val="1"/>
          <w:sz w:val="22"/>
          <w:szCs w:val="22"/>
          <w:rtl w:val="0"/>
        </w:rPr>
        <w:t xml:space="preserve">Затвердити звіт правління про результати фінансово – господарської діяльності Товариства за 2019 рік. Заходи не затверджувати.</w:t>
      </w:r>
    </w:p>
    <w:p w:rsidR="00000000" w:rsidDel="00000000" w:rsidP="00000000" w:rsidRDefault="00000000" w:rsidRPr="00000000" w14:paraId="0000001A">
      <w:pPr>
        <w:tabs>
          <w:tab w:val="left" w:pos="284"/>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color w:val="000000"/>
          <w:sz w:val="22"/>
          <w:szCs w:val="22"/>
          <w:rtl w:val="0"/>
        </w:rPr>
        <w:t xml:space="preserve">.</w:t>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5  Затвердження звіту та висновків Ревізійної комісії (ревізора) за 2019 рік.</w:t>
      </w:r>
    </w:p>
    <w:p w:rsidR="00000000" w:rsidDel="00000000" w:rsidP="00000000" w:rsidRDefault="00000000" w:rsidRPr="00000000" w14:paraId="0000001C">
      <w:pPr>
        <w:shd w:fill="ffffff" w:val="clear"/>
        <w:ind w:right="54"/>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u w:val="single"/>
          <w:rtl w:val="0"/>
        </w:rPr>
        <w:t xml:space="preserve">Проект рішення</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i w:val="1"/>
          <w:sz w:val="22"/>
          <w:szCs w:val="22"/>
          <w:rtl w:val="0"/>
        </w:rPr>
        <w:t xml:space="preserve">Затвердити звіт Ревізора за 2019 рік. </w:t>
      </w:r>
    </w:p>
    <w:p w:rsidR="00000000" w:rsidDel="00000000" w:rsidP="00000000" w:rsidRDefault="00000000" w:rsidRPr="00000000" w14:paraId="0000001D">
      <w:pPr>
        <w:tabs>
          <w:tab w:val="left" w:pos="284"/>
        </w:tabs>
        <w:rPr>
          <w:rFonts w:ascii="Times New Roman" w:cs="Times New Roman" w:eastAsia="Times New Roman" w:hAnsi="Times New Roman"/>
          <w:i w:val="1"/>
          <w:color w:val="000000"/>
          <w:sz w:val="22"/>
          <w:szCs w:val="22"/>
        </w:rPr>
      </w:pPr>
      <w:r w:rsidDel="00000000" w:rsidR="00000000" w:rsidRPr="00000000">
        <w:rPr>
          <w:rFonts w:ascii="Times New Roman" w:cs="Times New Roman" w:eastAsia="Times New Roman" w:hAnsi="Times New Roman"/>
          <w:i w:val="1"/>
          <w:color w:val="000000"/>
          <w:sz w:val="22"/>
          <w:szCs w:val="22"/>
          <w:rtl w:val="0"/>
        </w:rPr>
        <w:t xml:space="preserve">Затвердити висновки Ревізора за підсумками перевірки фінансово - господарської діяльності Товариства за 2019 рік.</w:t>
      </w:r>
    </w:p>
    <w:p w:rsidR="00000000" w:rsidDel="00000000" w:rsidP="00000000" w:rsidRDefault="00000000" w:rsidRPr="00000000" w14:paraId="0000001E">
      <w:pPr>
        <w:tabs>
          <w:tab w:val="left" w:pos="284"/>
        </w:tabs>
        <w:rPr>
          <w:rFonts w:ascii="Times New Roman" w:cs="Times New Roman" w:eastAsia="Times New Roman" w:hAnsi="Times New Roman"/>
          <w:i w:val="1"/>
          <w:color w:val="000000"/>
          <w:sz w:val="22"/>
          <w:szCs w:val="22"/>
        </w:rPr>
      </w:pPr>
      <w:r w:rsidDel="00000000" w:rsidR="00000000" w:rsidRPr="00000000">
        <w:rPr>
          <w:rtl w:val="0"/>
        </w:rPr>
      </w:r>
    </w:p>
    <w:p w:rsidR="00000000" w:rsidDel="00000000" w:rsidP="00000000" w:rsidRDefault="00000000" w:rsidRPr="00000000" w14:paraId="0000001F">
      <w:pPr>
        <w:tabs>
          <w:tab w:val="left" w:pos="284"/>
          <w:tab w:val="left" w:pos="426"/>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color w:val="000000"/>
          <w:sz w:val="22"/>
          <w:szCs w:val="22"/>
          <w:rtl w:val="0"/>
        </w:rPr>
        <w:t xml:space="preserve">6.</w:t>
      </w:r>
      <w:r w:rsidDel="00000000" w:rsidR="00000000" w:rsidRPr="00000000">
        <w:rPr>
          <w:rFonts w:ascii="Times New Roman" w:cs="Times New Roman" w:eastAsia="Times New Roman" w:hAnsi="Times New Roman"/>
          <w:b w:val="1"/>
          <w:sz w:val="22"/>
          <w:szCs w:val="22"/>
          <w:rtl w:val="0"/>
        </w:rPr>
        <w:t xml:space="preserve"> Прийняття рішення за наслідками розгляду</w:t>
      </w:r>
      <w:r w:rsidDel="00000000" w:rsidR="00000000" w:rsidRPr="00000000">
        <w:rPr>
          <w:rFonts w:ascii="Times New Roman" w:cs="Times New Roman" w:eastAsia="Times New Roman" w:hAnsi="Times New Roman"/>
          <w:b w:val="1"/>
          <w:color w:val="000000"/>
          <w:sz w:val="22"/>
          <w:szCs w:val="22"/>
          <w:highlight w:val="white"/>
          <w:rtl w:val="0"/>
        </w:rPr>
        <w:t xml:space="preserve"> звіту правління, звіту ревізійної комісії ( ревізора) за 2019 рік</w:t>
      </w:r>
      <w:r w:rsidDel="00000000" w:rsidR="00000000" w:rsidRPr="00000000">
        <w:rPr>
          <w:rFonts w:ascii="Times New Roman" w:cs="Times New Roman" w:eastAsia="Times New Roman" w:hAnsi="Times New Roman"/>
          <w:b w:val="1"/>
          <w:sz w:val="22"/>
          <w:szCs w:val="22"/>
          <w:rtl w:val="0"/>
        </w:rPr>
        <w:t xml:space="preserve">.</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08"/>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single"/>
          <w:shd w:fill="auto" w:val="clear"/>
          <w:vertAlign w:val="baseline"/>
          <w:rtl w:val="0"/>
        </w:rPr>
        <w:t xml:space="preserve">Проект рішення</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За наслідками розгляду звітів правління, ревізійної комісії (ревізора) Товариства за 2019 рік, визнати роботу правління, ревізійної комісії (ревізора) Товариства за 2019 рік задовільною.</w:t>
      </w:r>
    </w:p>
    <w:p w:rsidR="00000000" w:rsidDel="00000000" w:rsidP="00000000" w:rsidRDefault="00000000" w:rsidRPr="00000000" w14:paraId="00000021">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6.Затвердження   річного  звіту   Товариства  за  2019  рік. </w:t>
      </w:r>
    </w:p>
    <w:p w:rsidR="00000000" w:rsidDel="00000000" w:rsidP="00000000" w:rsidRDefault="00000000" w:rsidRPr="00000000" w14:paraId="00000023">
      <w:pPr>
        <w:tabs>
          <w:tab w:val="left" w:pos="284"/>
        </w:tabs>
        <w:rPr>
          <w:rFonts w:ascii="Times New Roman" w:cs="Times New Roman" w:eastAsia="Times New Roman" w:hAnsi="Times New Roman"/>
          <w:i w:val="1"/>
          <w:color w:val="000000"/>
          <w:sz w:val="22"/>
          <w:szCs w:val="22"/>
        </w:rPr>
      </w:pPr>
      <w:r w:rsidDel="00000000" w:rsidR="00000000" w:rsidRPr="00000000">
        <w:rPr>
          <w:rFonts w:ascii="Times New Roman" w:cs="Times New Roman" w:eastAsia="Times New Roman" w:hAnsi="Times New Roman"/>
          <w:i w:val="1"/>
          <w:sz w:val="22"/>
          <w:szCs w:val="22"/>
          <w:u w:val="single"/>
          <w:rtl w:val="0"/>
        </w:rPr>
        <w:t xml:space="preserve">Проект рішення</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i w:val="1"/>
          <w:color w:val="000000"/>
          <w:sz w:val="22"/>
          <w:szCs w:val="22"/>
          <w:rtl w:val="0"/>
        </w:rPr>
        <w:t xml:space="preserve">Затвердити річний звіт Товариства за 2019 рік. </w:t>
      </w:r>
    </w:p>
    <w:p w:rsidR="00000000" w:rsidDel="00000000" w:rsidP="00000000" w:rsidRDefault="00000000" w:rsidRPr="00000000" w14:paraId="00000024">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7.Затвердження  порядку   розподілу  прибутку і збитків  за  2019  рік. </w:t>
      </w:r>
    </w:p>
    <w:p w:rsidR="00000000" w:rsidDel="00000000" w:rsidP="00000000" w:rsidRDefault="00000000" w:rsidRPr="00000000" w14:paraId="00000026">
      <w:pPr>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u w:val="single"/>
          <w:rtl w:val="0"/>
        </w:rPr>
        <w:t xml:space="preserve">Проект рішення</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i w:val="1"/>
          <w:sz w:val="22"/>
          <w:szCs w:val="22"/>
          <w:rtl w:val="0"/>
        </w:rPr>
        <w:t xml:space="preserve">Затвердити порядок розподілу чистого прибутку, отриманого за результатами фінансово - господарської діяльності Товариства у 2019 році в розмірі  41.4 тис.грн. залишити як нерозподілений прибуток. Дивіденди за результатами діяльності 2019 року не нараховувати та не виплачувати.</w:t>
      </w:r>
    </w:p>
    <w:p w:rsidR="00000000" w:rsidDel="00000000" w:rsidP="00000000" w:rsidRDefault="00000000" w:rsidRPr="00000000" w14:paraId="00000027">
      <w:pPr>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8</w:t>
      </w:r>
      <w:r w:rsidDel="00000000" w:rsidR="00000000" w:rsidRPr="00000000">
        <w:rPr>
          <w:rFonts w:ascii="Times New Roman" w:cs="Times New Roman" w:eastAsia="Times New Roman" w:hAnsi="Times New Roman"/>
          <w:i w:val="1"/>
          <w:sz w:val="22"/>
          <w:szCs w:val="22"/>
          <w:rtl w:val="0"/>
        </w:rPr>
        <w:t xml:space="preserve">.</w:t>
      </w:r>
      <w:r w:rsidDel="00000000" w:rsidR="00000000" w:rsidRPr="00000000">
        <w:rPr>
          <w:rFonts w:ascii="Times New Roman" w:cs="Times New Roman" w:eastAsia="Times New Roman" w:hAnsi="Times New Roman"/>
          <w:b w:val="1"/>
          <w:sz w:val="22"/>
          <w:szCs w:val="22"/>
          <w:rtl w:val="0"/>
        </w:rPr>
        <w:t xml:space="preserve"> Затвердження  нової  редакції  Статуту. Уповноваження  осіб на  підписання  та  здійснення  державної  реєстрації  Статуту  в  новій  редакції.</w:t>
      </w:r>
    </w:p>
    <w:p w:rsidR="00000000" w:rsidDel="00000000" w:rsidP="00000000" w:rsidRDefault="00000000" w:rsidRPr="00000000" w14:paraId="00000029">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i w:val="1"/>
          <w:sz w:val="22"/>
          <w:szCs w:val="22"/>
          <w:u w:val="single"/>
          <w:rtl w:val="0"/>
        </w:rPr>
        <w:t xml:space="preserve">Проект рішення</w:t>
      </w:r>
      <w:r w:rsidDel="00000000" w:rsidR="00000000" w:rsidRPr="00000000">
        <w:rPr>
          <w:rFonts w:ascii="Times New Roman" w:cs="Times New Roman" w:eastAsia="Times New Roman" w:hAnsi="Times New Roman"/>
          <w:b w:val="1"/>
          <w:sz w:val="22"/>
          <w:szCs w:val="22"/>
          <w:rtl w:val="0"/>
        </w:rPr>
        <w:t xml:space="preserve">:</w:t>
      </w:r>
    </w:p>
    <w:p w:rsidR="00000000" w:rsidDel="00000000" w:rsidP="00000000" w:rsidRDefault="00000000" w:rsidRPr="00000000" w14:paraId="0000002A">
      <w:pPr>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У зв’язку з приведенням Статуту Товариства у відповідність до вимог законодавства України, внести зміни до Статуту Товариства шляхом його викладення та затвердження у новій редакції. Уповноважити Голову зборів Неліпу Сергія Сергійовича   підписати Статут у новій редакції, затверджений Загальними Зборами акціонерів та здійснити реєстраційні дії в Єдиному державному реєстрі юридичних осіб, фізичних осіб-підприємців та громадських формувань.</w:t>
      </w:r>
    </w:p>
    <w:p w:rsidR="00000000" w:rsidDel="00000000" w:rsidP="00000000" w:rsidRDefault="00000000" w:rsidRPr="00000000" w14:paraId="0000002B">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9.Затвердження  внутрішніх  Положень Товариства. Уповноваження осіб на  підписання  Положень у новій редакції.</w:t>
      </w:r>
    </w:p>
    <w:p w:rsidR="00000000" w:rsidDel="00000000" w:rsidP="00000000" w:rsidRDefault="00000000" w:rsidRPr="00000000" w14:paraId="0000002D">
      <w:pPr>
        <w:rPr>
          <w:rFonts w:ascii="Times New Roman" w:cs="Times New Roman" w:eastAsia="Times New Roman" w:hAnsi="Times New Roman"/>
          <w:i w:val="1"/>
          <w:sz w:val="22"/>
          <w:szCs w:val="22"/>
          <w:u w:val="single"/>
        </w:rPr>
      </w:pPr>
      <w:r w:rsidDel="00000000" w:rsidR="00000000" w:rsidRPr="00000000">
        <w:rPr>
          <w:rFonts w:ascii="Times New Roman" w:cs="Times New Roman" w:eastAsia="Times New Roman" w:hAnsi="Times New Roman"/>
          <w:i w:val="1"/>
          <w:sz w:val="22"/>
          <w:szCs w:val="22"/>
          <w:u w:val="single"/>
          <w:rtl w:val="0"/>
        </w:rPr>
        <w:t xml:space="preserve">Проект рішення:</w:t>
      </w:r>
    </w:p>
    <w:p w:rsidR="00000000" w:rsidDel="00000000" w:rsidP="00000000" w:rsidRDefault="00000000" w:rsidRPr="00000000" w14:paraId="0000002E">
      <w:pPr>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Затвердити,  у  зв’язку   з внесенням змін до Статуту Товариства шляхом його викладення та затвердження у новій редакції , внутрішні Положення Товариства у новій редакції. Уповноважити Голову правління Царкозенка  Ігоря Васильовича підписати внутрішні Положення  Товариства у новій редакції.</w:t>
      </w:r>
    </w:p>
    <w:p w:rsidR="00000000" w:rsidDel="00000000" w:rsidP="00000000" w:rsidRDefault="00000000" w:rsidRPr="00000000" w14:paraId="0000002F">
      <w:pPr>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sz w:val="22"/>
          <w:szCs w:val="22"/>
          <w:rtl w:val="0"/>
        </w:rPr>
        <w:t xml:space="preserve">10. </w:t>
      </w:r>
      <w:r w:rsidDel="00000000" w:rsidR="00000000" w:rsidRPr="00000000">
        <w:rPr>
          <w:rFonts w:ascii="Times New Roman" w:cs="Times New Roman" w:eastAsia="Times New Roman" w:hAnsi="Times New Roman"/>
          <w:b w:val="1"/>
          <w:color w:val="000000"/>
          <w:sz w:val="22"/>
          <w:szCs w:val="22"/>
          <w:rtl w:val="0"/>
        </w:rPr>
        <w:t xml:space="preserve">Прийняття рішення про припинення повноважень лічильної комісії.</w:t>
      </w:r>
    </w:p>
    <w:p w:rsidR="00000000" w:rsidDel="00000000" w:rsidP="00000000" w:rsidRDefault="00000000" w:rsidRPr="00000000" w14:paraId="00000031">
      <w:pPr>
        <w:rPr>
          <w:rFonts w:ascii="Times New Roman" w:cs="Times New Roman" w:eastAsia="Times New Roman" w:hAnsi="Times New Roman"/>
          <w:i w:val="1"/>
          <w:color w:val="000000"/>
          <w:sz w:val="22"/>
          <w:szCs w:val="22"/>
        </w:rPr>
      </w:pPr>
      <w:r w:rsidDel="00000000" w:rsidR="00000000" w:rsidRPr="00000000">
        <w:rPr>
          <w:rFonts w:ascii="Times New Roman" w:cs="Times New Roman" w:eastAsia="Times New Roman" w:hAnsi="Times New Roman"/>
          <w:i w:val="1"/>
          <w:sz w:val="22"/>
          <w:szCs w:val="22"/>
          <w:u w:val="single"/>
          <w:rtl w:val="0"/>
        </w:rPr>
        <w:t xml:space="preserve">Проект рішення: </w:t>
      </w:r>
      <w:r w:rsidDel="00000000" w:rsidR="00000000" w:rsidRPr="00000000">
        <w:rPr>
          <w:rFonts w:ascii="Times New Roman" w:cs="Times New Roman" w:eastAsia="Times New Roman" w:hAnsi="Times New Roman"/>
          <w:i w:val="1"/>
          <w:sz w:val="22"/>
          <w:szCs w:val="22"/>
          <w:rtl w:val="0"/>
        </w:rPr>
        <w:t xml:space="preserve">Повноваження лічильної комісії </w:t>
      </w:r>
      <w:r w:rsidDel="00000000" w:rsidR="00000000" w:rsidRPr="00000000">
        <w:rPr>
          <w:rFonts w:ascii="Times New Roman" w:cs="Times New Roman" w:eastAsia="Times New Roman" w:hAnsi="Times New Roman"/>
          <w:i w:val="1"/>
          <w:color w:val="000000"/>
          <w:sz w:val="22"/>
          <w:szCs w:val="22"/>
          <w:rtl w:val="0"/>
        </w:rPr>
        <w:t xml:space="preserve">в особі </w:t>
      </w:r>
      <w:r w:rsidDel="00000000" w:rsidR="00000000" w:rsidRPr="00000000">
        <w:rPr>
          <w:rFonts w:ascii="Times New Roman" w:cs="Times New Roman" w:eastAsia="Times New Roman" w:hAnsi="Times New Roman"/>
          <w:i w:val="1"/>
          <w:sz w:val="22"/>
          <w:szCs w:val="22"/>
          <w:rtl w:val="0"/>
        </w:rPr>
        <w:t xml:space="preserve">Звєрєвої  Л.І.. припинити.</w:t>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Основні показники фінансово-господарської діяльності   підприємства (тис. грн.)</w:t>
      </w:r>
    </w:p>
    <w:p w:rsidR="00000000" w:rsidDel="00000000" w:rsidP="00000000" w:rsidRDefault="00000000" w:rsidRPr="00000000" w14:paraId="00000035">
      <w:pPr>
        <w:rPr>
          <w:rFonts w:ascii="Times New Roman" w:cs="Times New Roman" w:eastAsia="Times New Roman" w:hAnsi="Times New Roman"/>
          <w:sz w:val="22"/>
          <w:szCs w:val="22"/>
        </w:rPr>
      </w:pPr>
      <w:r w:rsidDel="00000000" w:rsidR="00000000" w:rsidRPr="00000000">
        <w:rPr>
          <w:rtl w:val="0"/>
        </w:rPr>
      </w:r>
    </w:p>
    <w:tbl>
      <w:tblPr>
        <w:tblStyle w:val="Table1"/>
        <w:tblW w:w="10915.0" w:type="dxa"/>
        <w:jc w:val="left"/>
        <w:tblInd w:w="-2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5"/>
        <w:gridCol w:w="1276"/>
        <w:gridCol w:w="1275"/>
        <w:gridCol w:w="2977"/>
        <w:gridCol w:w="1418"/>
        <w:gridCol w:w="1134"/>
        <w:tblGridChange w:id="0">
          <w:tblGrid>
            <w:gridCol w:w="2835"/>
            <w:gridCol w:w="1276"/>
            <w:gridCol w:w="1275"/>
            <w:gridCol w:w="2977"/>
            <w:gridCol w:w="1418"/>
            <w:gridCol w:w="1134"/>
          </w:tblGrid>
        </w:tblGridChange>
      </w:tblGrid>
      <w:tr>
        <w:trPr>
          <w:trHeight w:val="280" w:hRule="atLeast"/>
        </w:trPr>
        <w:tc>
          <w:tcPr>
            <w:vMerge w:val="restart"/>
          </w:tcPr>
          <w:p w:rsidR="00000000" w:rsidDel="00000000" w:rsidP="00000000" w:rsidRDefault="00000000" w:rsidRPr="00000000" w14:paraId="00000036">
            <w:pPr>
              <w:ind w:right="284"/>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2"/>
                <w:szCs w:val="22"/>
                <w:rtl w:val="0"/>
              </w:rPr>
              <w:t xml:space="preserve">Показник</w:t>
            </w:r>
            <w:r w:rsidDel="00000000" w:rsidR="00000000" w:rsidRPr="00000000">
              <w:rPr>
                <w:rtl w:val="0"/>
              </w:rPr>
            </w:r>
          </w:p>
          <w:p w:rsidR="00000000" w:rsidDel="00000000" w:rsidP="00000000" w:rsidRDefault="00000000" w:rsidRPr="00000000" w14:paraId="00000037">
            <w:pPr>
              <w:ind w:right="284"/>
              <w:jc w:val="center"/>
              <w:rPr>
                <w:rFonts w:ascii="Times New Roman" w:cs="Times New Roman" w:eastAsia="Times New Roman" w:hAnsi="Times New Roman"/>
              </w:rPr>
            </w:pPr>
            <w:r w:rsidDel="00000000" w:rsidR="00000000" w:rsidRPr="00000000">
              <w:rPr>
                <w:rtl w:val="0"/>
              </w:rPr>
            </w:r>
          </w:p>
        </w:tc>
        <w:tc>
          <w:tcPr>
            <w:gridSpan w:val="2"/>
          </w:tcPr>
          <w:p w:rsidR="00000000" w:rsidDel="00000000" w:rsidP="00000000" w:rsidRDefault="00000000" w:rsidRPr="00000000" w14:paraId="00000038">
            <w:pPr>
              <w:ind w:right="284"/>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Період</w:t>
            </w:r>
            <w:r w:rsidDel="00000000" w:rsidR="00000000" w:rsidRPr="00000000">
              <w:rPr>
                <w:rtl w:val="0"/>
              </w:rPr>
            </w:r>
          </w:p>
        </w:tc>
        <w:tc>
          <w:tcPr>
            <w:vMerge w:val="restart"/>
          </w:tcPr>
          <w:p w:rsidR="00000000" w:rsidDel="00000000" w:rsidP="00000000" w:rsidRDefault="00000000" w:rsidRPr="00000000" w14:paraId="0000003A">
            <w:pPr>
              <w:ind w:right="284"/>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Показник</w:t>
            </w:r>
            <w:r w:rsidDel="00000000" w:rsidR="00000000" w:rsidRPr="00000000">
              <w:rPr>
                <w:rtl w:val="0"/>
              </w:rPr>
            </w:r>
          </w:p>
          <w:p w:rsidR="00000000" w:rsidDel="00000000" w:rsidP="00000000" w:rsidRDefault="00000000" w:rsidRPr="00000000" w14:paraId="0000003B">
            <w:pPr>
              <w:ind w:right="284"/>
              <w:jc w:val="center"/>
              <w:rPr>
                <w:rFonts w:ascii="Times New Roman" w:cs="Times New Roman" w:eastAsia="Times New Roman" w:hAnsi="Times New Roman"/>
              </w:rPr>
            </w:pPr>
            <w:r w:rsidDel="00000000" w:rsidR="00000000" w:rsidRPr="00000000">
              <w:rPr>
                <w:rtl w:val="0"/>
              </w:rPr>
            </w:r>
          </w:p>
        </w:tc>
        <w:tc>
          <w:tcPr>
            <w:gridSpan w:val="2"/>
          </w:tcPr>
          <w:p w:rsidR="00000000" w:rsidDel="00000000" w:rsidP="00000000" w:rsidRDefault="00000000" w:rsidRPr="00000000" w14:paraId="0000003C">
            <w:pPr>
              <w:ind w:right="284"/>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Період</w:t>
            </w:r>
            <w:r w:rsidDel="00000000" w:rsidR="00000000" w:rsidRPr="00000000">
              <w:rPr>
                <w:rtl w:val="0"/>
              </w:rPr>
            </w:r>
          </w:p>
        </w:tc>
      </w:tr>
      <w:tr>
        <w:tc>
          <w:tcPr>
            <w:vMerge w:val="continue"/>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звітний</w:t>
            </w:r>
            <w:r w:rsidDel="00000000" w:rsidR="00000000" w:rsidRPr="00000000">
              <w:rPr>
                <w:rtl w:val="0"/>
              </w:rPr>
            </w:r>
          </w:p>
          <w:p w:rsidR="00000000" w:rsidDel="00000000" w:rsidP="00000000" w:rsidRDefault="00000000" w:rsidRPr="00000000" w14:paraId="0000004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2019 р.</w:t>
            </w:r>
            <w:r w:rsidDel="00000000" w:rsidR="00000000" w:rsidRPr="00000000">
              <w:rPr>
                <w:rtl w:val="0"/>
              </w:rPr>
            </w:r>
          </w:p>
        </w:tc>
        <w:tc>
          <w:tcPr/>
          <w:p w:rsidR="00000000" w:rsidDel="00000000" w:rsidP="00000000" w:rsidRDefault="00000000" w:rsidRPr="00000000" w14:paraId="0000004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попередній</w:t>
            </w:r>
            <w:r w:rsidDel="00000000" w:rsidR="00000000" w:rsidRPr="00000000">
              <w:rPr>
                <w:rtl w:val="0"/>
              </w:rPr>
            </w:r>
          </w:p>
          <w:p w:rsidR="00000000" w:rsidDel="00000000" w:rsidP="00000000" w:rsidRDefault="00000000" w:rsidRPr="00000000" w14:paraId="0000004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2018 р.</w:t>
            </w:r>
            <w:r w:rsidDel="00000000" w:rsidR="00000000" w:rsidRPr="00000000">
              <w:rPr>
                <w:rtl w:val="0"/>
              </w:rPr>
            </w:r>
          </w:p>
        </w:tc>
        <w:tc>
          <w:tcPr>
            <w:vMerge w:val="continue"/>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4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звітний</w:t>
            </w:r>
            <w:r w:rsidDel="00000000" w:rsidR="00000000" w:rsidRPr="00000000">
              <w:rPr>
                <w:rtl w:val="0"/>
              </w:rPr>
            </w:r>
          </w:p>
          <w:p w:rsidR="00000000" w:rsidDel="00000000" w:rsidP="00000000" w:rsidRDefault="00000000" w:rsidRPr="00000000" w14:paraId="0000004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2019 р.</w:t>
            </w:r>
            <w:r w:rsidDel="00000000" w:rsidR="00000000" w:rsidRPr="00000000">
              <w:rPr>
                <w:rtl w:val="0"/>
              </w:rPr>
            </w:r>
          </w:p>
        </w:tc>
        <w:tc>
          <w:tcPr/>
          <w:p w:rsidR="00000000" w:rsidDel="00000000" w:rsidP="00000000" w:rsidRDefault="00000000" w:rsidRPr="00000000" w14:paraId="0000004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попередній</w:t>
            </w:r>
            <w:r w:rsidDel="00000000" w:rsidR="00000000" w:rsidRPr="00000000">
              <w:rPr>
                <w:rtl w:val="0"/>
              </w:rPr>
            </w:r>
          </w:p>
          <w:p w:rsidR="00000000" w:rsidDel="00000000" w:rsidP="00000000" w:rsidRDefault="00000000" w:rsidRPr="00000000" w14:paraId="0000004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2018р.</w:t>
            </w:r>
            <w:r w:rsidDel="00000000" w:rsidR="00000000" w:rsidRPr="00000000">
              <w:rPr>
                <w:rtl w:val="0"/>
              </w:rPr>
            </w:r>
          </w:p>
        </w:tc>
      </w:tr>
      <w:tr>
        <w:tc>
          <w:tcPr/>
          <w:p w:rsidR="00000000" w:rsidDel="00000000" w:rsidP="00000000" w:rsidRDefault="00000000" w:rsidRPr="00000000" w14:paraId="00000048">
            <w:pPr>
              <w:ind w:right="32"/>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Усього активів</w:t>
            </w:r>
            <w:r w:rsidDel="00000000" w:rsidR="00000000" w:rsidRPr="00000000">
              <w:rPr>
                <w:rtl w:val="0"/>
              </w:rPr>
            </w:r>
          </w:p>
        </w:tc>
        <w:tc>
          <w:tcPr/>
          <w:p w:rsidR="00000000" w:rsidDel="00000000" w:rsidP="00000000" w:rsidRDefault="00000000" w:rsidRPr="00000000" w14:paraId="00000049">
            <w:pPr>
              <w:ind w:right="-108"/>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7177,9</w:t>
            </w:r>
          </w:p>
        </w:tc>
        <w:tc>
          <w:tcPr/>
          <w:p w:rsidR="00000000" w:rsidDel="00000000" w:rsidP="00000000" w:rsidRDefault="00000000" w:rsidRPr="00000000" w14:paraId="0000004A">
            <w:pPr>
              <w:ind w:right="-108"/>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6645.0</w:t>
            </w:r>
            <w:r w:rsidDel="00000000" w:rsidR="00000000" w:rsidRPr="00000000">
              <w:rPr>
                <w:rtl w:val="0"/>
              </w:rPr>
            </w:r>
          </w:p>
        </w:tc>
        <w:tc>
          <w:tcPr/>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Зареєстрований (пайовий/статутний) капітал</w:t>
            </w:r>
            <w:r w:rsidDel="00000000" w:rsidR="00000000" w:rsidRPr="00000000">
              <w:rPr>
                <w:rtl w:val="0"/>
              </w:rPr>
            </w:r>
          </w:p>
        </w:tc>
        <w:tc>
          <w:tcPr/>
          <w:p w:rsidR="00000000" w:rsidDel="00000000" w:rsidP="00000000" w:rsidRDefault="00000000" w:rsidRPr="00000000" w14:paraId="0000004C">
            <w:pPr>
              <w:ind w:right="-108"/>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0,7</w:t>
            </w:r>
            <w:r w:rsidDel="00000000" w:rsidR="00000000" w:rsidRPr="00000000">
              <w:rPr>
                <w:rtl w:val="0"/>
              </w:rPr>
            </w:r>
          </w:p>
        </w:tc>
        <w:tc>
          <w:tcPr/>
          <w:p w:rsidR="00000000" w:rsidDel="00000000" w:rsidP="00000000" w:rsidRDefault="00000000" w:rsidRPr="00000000" w14:paraId="0000004D">
            <w:pPr>
              <w:ind w:right="-108"/>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0.7</w:t>
            </w:r>
            <w:r w:rsidDel="00000000" w:rsidR="00000000" w:rsidRPr="00000000">
              <w:rPr>
                <w:rtl w:val="0"/>
              </w:rPr>
            </w:r>
          </w:p>
        </w:tc>
      </w:tr>
      <w:tr>
        <w:tc>
          <w:tcPr/>
          <w:p w:rsidR="00000000" w:rsidDel="00000000" w:rsidP="00000000" w:rsidRDefault="00000000" w:rsidRPr="00000000" w14:paraId="0000004E">
            <w:pPr>
              <w:ind w:right="32"/>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Основні засоби (за залишковою вартістю)</w:t>
            </w:r>
            <w:r w:rsidDel="00000000" w:rsidR="00000000" w:rsidRPr="00000000">
              <w:rPr>
                <w:rtl w:val="0"/>
              </w:rPr>
            </w:r>
          </w:p>
        </w:tc>
        <w:tc>
          <w:tcPr/>
          <w:p w:rsidR="00000000" w:rsidDel="00000000" w:rsidP="00000000" w:rsidRDefault="00000000" w:rsidRPr="00000000" w14:paraId="0000004F">
            <w:pPr>
              <w:ind w:right="-108"/>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2831,7</w:t>
            </w:r>
          </w:p>
        </w:tc>
        <w:tc>
          <w:tcPr/>
          <w:p w:rsidR="00000000" w:rsidDel="00000000" w:rsidP="00000000" w:rsidRDefault="00000000" w:rsidRPr="00000000" w14:paraId="00000050">
            <w:pPr>
              <w:ind w:right="-108"/>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2497.0</w:t>
            </w:r>
            <w:r w:rsidDel="00000000" w:rsidR="00000000" w:rsidRPr="00000000">
              <w:rPr>
                <w:rtl w:val="0"/>
              </w:rPr>
            </w:r>
          </w:p>
        </w:tc>
        <w:tc>
          <w:tcPr/>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Довгострокові зобов'язання і забезпечення</w:t>
            </w:r>
            <w:r w:rsidDel="00000000" w:rsidR="00000000" w:rsidRPr="00000000">
              <w:rPr>
                <w:rtl w:val="0"/>
              </w:rPr>
            </w:r>
          </w:p>
        </w:tc>
        <w:tc>
          <w:tcPr/>
          <w:p w:rsidR="00000000" w:rsidDel="00000000" w:rsidP="00000000" w:rsidRDefault="00000000" w:rsidRPr="00000000" w14:paraId="00000052">
            <w:pPr>
              <w:ind w:right="-108"/>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53">
            <w:pPr>
              <w:ind w:right="-108"/>
              <w:jc w:val="center"/>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054">
            <w:pPr>
              <w:ind w:right="32"/>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Сумарна дебіторська заборгованість</w:t>
            </w:r>
            <w:r w:rsidDel="00000000" w:rsidR="00000000" w:rsidRPr="00000000">
              <w:rPr>
                <w:rtl w:val="0"/>
              </w:rPr>
            </w:r>
          </w:p>
        </w:tc>
        <w:tc>
          <w:tcPr/>
          <w:p w:rsidR="00000000" w:rsidDel="00000000" w:rsidP="00000000" w:rsidRDefault="00000000" w:rsidRPr="00000000" w14:paraId="00000055">
            <w:pPr>
              <w:ind w:right="-108"/>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581,5</w:t>
            </w:r>
          </w:p>
        </w:tc>
        <w:tc>
          <w:tcPr/>
          <w:p w:rsidR="00000000" w:rsidDel="00000000" w:rsidP="00000000" w:rsidRDefault="00000000" w:rsidRPr="00000000" w14:paraId="00000056">
            <w:pPr>
              <w:ind w:right="-108"/>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465.4</w:t>
            </w:r>
            <w:r w:rsidDel="00000000" w:rsidR="00000000" w:rsidRPr="00000000">
              <w:rPr>
                <w:rtl w:val="0"/>
              </w:rPr>
            </w:r>
          </w:p>
        </w:tc>
        <w:tc>
          <w:tcPr/>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Поточні зобов'язання і забезпечення</w:t>
            </w:r>
            <w:r w:rsidDel="00000000" w:rsidR="00000000" w:rsidRPr="00000000">
              <w:rPr>
                <w:rtl w:val="0"/>
              </w:rPr>
            </w:r>
          </w:p>
        </w:tc>
        <w:tc>
          <w:tcPr/>
          <w:p w:rsidR="00000000" w:rsidDel="00000000" w:rsidP="00000000" w:rsidRDefault="00000000" w:rsidRPr="00000000" w14:paraId="00000058">
            <w:pPr>
              <w:ind w:right="-108"/>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6264,9</w:t>
            </w:r>
          </w:p>
        </w:tc>
        <w:tc>
          <w:tcPr/>
          <w:p w:rsidR="00000000" w:rsidDel="00000000" w:rsidP="00000000" w:rsidRDefault="00000000" w:rsidRPr="00000000" w14:paraId="00000059">
            <w:pPr>
              <w:ind w:right="-108"/>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5773.4</w:t>
            </w:r>
            <w:r w:rsidDel="00000000" w:rsidR="00000000" w:rsidRPr="00000000">
              <w:rPr>
                <w:rtl w:val="0"/>
              </w:rPr>
            </w:r>
          </w:p>
        </w:tc>
      </w:tr>
      <w:tr>
        <w:tc>
          <w:tcPr/>
          <w:p w:rsidR="00000000" w:rsidDel="00000000" w:rsidP="00000000" w:rsidRDefault="00000000" w:rsidRPr="00000000" w14:paraId="0000005A">
            <w:pPr>
              <w:ind w:right="32"/>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Запаси</w:t>
            </w:r>
            <w:r w:rsidDel="00000000" w:rsidR="00000000" w:rsidRPr="00000000">
              <w:rPr>
                <w:rtl w:val="0"/>
              </w:rPr>
            </w:r>
          </w:p>
          <w:p w:rsidR="00000000" w:rsidDel="00000000" w:rsidP="00000000" w:rsidRDefault="00000000" w:rsidRPr="00000000" w14:paraId="0000005B">
            <w:pPr>
              <w:ind w:right="32"/>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5C">
            <w:pPr>
              <w:ind w:right="-108"/>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2149,8</w:t>
            </w:r>
          </w:p>
        </w:tc>
        <w:tc>
          <w:tcPr/>
          <w:p w:rsidR="00000000" w:rsidDel="00000000" w:rsidP="00000000" w:rsidRDefault="00000000" w:rsidRPr="00000000" w14:paraId="0000005D">
            <w:pPr>
              <w:ind w:right="-108"/>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1957.0</w:t>
            </w:r>
            <w:r w:rsidDel="00000000" w:rsidR="00000000" w:rsidRPr="00000000">
              <w:rPr>
                <w:rtl w:val="0"/>
              </w:rPr>
            </w:r>
          </w:p>
        </w:tc>
        <w:tc>
          <w:tcPr/>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Чистий фінансовий результат: прибуток (збиток)</w:t>
            </w:r>
            <w:r w:rsidDel="00000000" w:rsidR="00000000" w:rsidRPr="00000000">
              <w:rPr>
                <w:rtl w:val="0"/>
              </w:rPr>
            </w:r>
          </w:p>
        </w:tc>
        <w:tc>
          <w:tcPr/>
          <w:p w:rsidR="00000000" w:rsidDel="00000000" w:rsidP="00000000" w:rsidRDefault="00000000" w:rsidRPr="00000000" w14:paraId="0000005F">
            <w:pPr>
              <w:ind w:right="-108"/>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41,4</w:t>
            </w:r>
          </w:p>
        </w:tc>
        <w:tc>
          <w:tcPr/>
          <w:p w:rsidR="00000000" w:rsidDel="00000000" w:rsidP="00000000" w:rsidRDefault="00000000" w:rsidRPr="00000000" w14:paraId="00000060">
            <w:pPr>
              <w:ind w:right="-108"/>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42.7</w:t>
            </w:r>
            <w:r w:rsidDel="00000000" w:rsidR="00000000" w:rsidRPr="00000000">
              <w:rPr>
                <w:rtl w:val="0"/>
              </w:rPr>
            </w:r>
          </w:p>
        </w:tc>
      </w:tr>
      <w:tr>
        <w:tc>
          <w:tcPr/>
          <w:p w:rsidR="00000000" w:rsidDel="00000000" w:rsidP="00000000" w:rsidRDefault="00000000" w:rsidRPr="00000000" w14:paraId="00000061">
            <w:pPr>
              <w:ind w:right="32"/>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Гроші та їх еквіваленти </w:t>
            </w:r>
            <w:r w:rsidDel="00000000" w:rsidR="00000000" w:rsidRPr="00000000">
              <w:rPr>
                <w:rtl w:val="0"/>
              </w:rPr>
            </w:r>
          </w:p>
        </w:tc>
        <w:tc>
          <w:tcPr/>
          <w:p w:rsidR="00000000" w:rsidDel="00000000" w:rsidP="00000000" w:rsidRDefault="00000000" w:rsidRPr="00000000" w14:paraId="00000062">
            <w:pPr>
              <w:ind w:right="-108"/>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16,0</w:t>
            </w:r>
          </w:p>
        </w:tc>
        <w:tc>
          <w:tcPr/>
          <w:p w:rsidR="00000000" w:rsidDel="00000000" w:rsidP="00000000" w:rsidRDefault="00000000" w:rsidRPr="00000000" w14:paraId="00000063">
            <w:pPr>
              <w:ind w:right="-108"/>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135.7</w:t>
            </w:r>
            <w:r w:rsidDel="00000000" w:rsidR="00000000" w:rsidRPr="00000000">
              <w:rPr>
                <w:rtl w:val="0"/>
              </w:rPr>
            </w:r>
          </w:p>
        </w:tc>
        <w:tc>
          <w:tcPr/>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Середньорічна кількість акцій (шт.)</w:t>
            </w:r>
            <w:r w:rsidDel="00000000" w:rsidR="00000000" w:rsidRPr="00000000">
              <w:rPr>
                <w:rtl w:val="0"/>
              </w:rPr>
            </w:r>
          </w:p>
        </w:tc>
        <w:tc>
          <w:tcPr/>
          <w:p w:rsidR="00000000" w:rsidDel="00000000" w:rsidP="00000000" w:rsidRDefault="00000000" w:rsidRPr="00000000" w14:paraId="00000065">
            <w:pPr>
              <w:ind w:right="-108"/>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100</w:t>
            </w:r>
            <w:r w:rsidDel="00000000" w:rsidR="00000000" w:rsidRPr="00000000">
              <w:rPr>
                <w:rtl w:val="0"/>
              </w:rPr>
            </w:r>
          </w:p>
        </w:tc>
        <w:tc>
          <w:tcPr/>
          <w:p w:rsidR="00000000" w:rsidDel="00000000" w:rsidP="00000000" w:rsidRDefault="00000000" w:rsidRPr="00000000" w14:paraId="00000066">
            <w:pPr>
              <w:ind w:right="-108"/>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100</w:t>
            </w:r>
            <w:r w:rsidDel="00000000" w:rsidR="00000000" w:rsidRPr="00000000">
              <w:rPr>
                <w:rtl w:val="0"/>
              </w:rPr>
            </w:r>
          </w:p>
        </w:tc>
      </w:tr>
      <w:tr>
        <w:tc>
          <w:tcPr/>
          <w:p w:rsidR="00000000" w:rsidDel="00000000" w:rsidP="00000000" w:rsidRDefault="00000000" w:rsidRPr="00000000" w14:paraId="00000067">
            <w:pPr>
              <w:ind w:right="32"/>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Нерозподілений прибуток (непокритий збиток)</w:t>
            </w:r>
            <w:r w:rsidDel="00000000" w:rsidR="00000000" w:rsidRPr="00000000">
              <w:rPr>
                <w:rtl w:val="0"/>
              </w:rPr>
            </w:r>
          </w:p>
        </w:tc>
        <w:tc>
          <w:tcPr/>
          <w:p w:rsidR="00000000" w:rsidDel="00000000" w:rsidP="00000000" w:rsidRDefault="00000000" w:rsidRPr="00000000" w14:paraId="00000068">
            <w:pPr>
              <w:tabs>
                <w:tab w:val="left" w:pos="764"/>
              </w:tabs>
              <w:ind w:right="-108"/>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648,3</w:t>
            </w:r>
          </w:p>
        </w:tc>
        <w:tc>
          <w:tcPr/>
          <w:p w:rsidR="00000000" w:rsidDel="00000000" w:rsidP="00000000" w:rsidRDefault="00000000" w:rsidRPr="00000000" w14:paraId="00000069">
            <w:pPr>
              <w:tabs>
                <w:tab w:val="left" w:pos="764"/>
              </w:tabs>
              <w:ind w:right="-108"/>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604.4</w:t>
            </w:r>
            <w:r w:rsidDel="00000000" w:rsidR="00000000" w:rsidRPr="00000000">
              <w:rPr>
                <w:rtl w:val="0"/>
              </w:rPr>
            </w:r>
          </w:p>
        </w:tc>
        <w:tc>
          <w:tcPr/>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Чистий прибуток (збиток) на одну просту акцію </w:t>
            </w:r>
            <w:r w:rsidDel="00000000" w:rsidR="00000000" w:rsidRPr="00000000">
              <w:rPr>
                <w:rtl w:val="0"/>
              </w:rPr>
            </w:r>
          </w:p>
        </w:tc>
        <w:tc>
          <w:tcPr/>
          <w:p w:rsidR="00000000" w:rsidDel="00000000" w:rsidP="00000000" w:rsidRDefault="00000000" w:rsidRPr="00000000" w14:paraId="0000006B">
            <w:pPr>
              <w:ind w:right="-108"/>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0,414</w:t>
            </w:r>
          </w:p>
        </w:tc>
        <w:tc>
          <w:tcPr/>
          <w:p w:rsidR="00000000" w:rsidDel="00000000" w:rsidP="00000000" w:rsidRDefault="00000000" w:rsidRPr="00000000" w14:paraId="0000006C">
            <w:pPr>
              <w:ind w:right="-108"/>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0.427</w:t>
            </w:r>
            <w:r w:rsidDel="00000000" w:rsidR="00000000" w:rsidRPr="00000000">
              <w:rPr>
                <w:rtl w:val="0"/>
              </w:rPr>
            </w:r>
          </w:p>
        </w:tc>
      </w:tr>
      <w:tr>
        <w:tc>
          <w:tcPr/>
          <w:p w:rsidR="00000000" w:rsidDel="00000000" w:rsidP="00000000" w:rsidRDefault="00000000" w:rsidRPr="00000000" w14:paraId="0000006D">
            <w:pPr>
              <w:ind w:right="32"/>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Власний капітал</w:t>
            </w:r>
            <w:r w:rsidDel="00000000" w:rsidR="00000000" w:rsidRPr="00000000">
              <w:rPr>
                <w:rtl w:val="0"/>
              </w:rPr>
            </w:r>
          </w:p>
        </w:tc>
        <w:tc>
          <w:tcPr/>
          <w:p w:rsidR="00000000" w:rsidDel="00000000" w:rsidP="00000000" w:rsidRDefault="00000000" w:rsidRPr="00000000" w14:paraId="0000006E">
            <w:pPr>
              <w:tabs>
                <w:tab w:val="left" w:pos="764"/>
              </w:tabs>
              <w:ind w:right="-108"/>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913,0</w:t>
            </w:r>
          </w:p>
        </w:tc>
        <w:tc>
          <w:tcPr/>
          <w:p w:rsidR="00000000" w:rsidDel="00000000" w:rsidP="00000000" w:rsidRDefault="00000000" w:rsidRPr="00000000" w14:paraId="0000006F">
            <w:pPr>
              <w:tabs>
                <w:tab w:val="left" w:pos="764"/>
              </w:tabs>
              <w:ind w:right="-108"/>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871.6</w:t>
            </w:r>
            <w:r w:rsidDel="00000000" w:rsidR="00000000" w:rsidRPr="00000000">
              <w:rPr>
                <w:rtl w:val="0"/>
              </w:rPr>
            </w:r>
          </w:p>
        </w:tc>
        <w:tc>
          <w:tcPr/>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71">
            <w:pPr>
              <w:ind w:right="284"/>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72">
            <w:pPr>
              <w:ind w:right="284"/>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73">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4">
      <w:pPr>
        <w:ind w:firstLine="708"/>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Адреса власного веб-сайту, на якому розміщена інформація з проектом рішень щодо кожного з питань, включених до проекту порядку денного, а також інформацію, зазначену в частині четвертій статті 35 Закону України «Про акціонерні товариства»: budmarket-kiev.com.ua.</w:t>
      </w:r>
    </w:p>
    <w:p w:rsidR="00000000" w:rsidDel="00000000" w:rsidP="00000000" w:rsidRDefault="00000000" w:rsidRPr="00000000" w14:paraId="00000075">
      <w:pPr>
        <w:ind w:firstLine="708"/>
        <w:rPr>
          <w:rFonts w:ascii="Times New Roman" w:cs="Times New Roman" w:eastAsia="Times New Roman" w:hAnsi="Times New Roman"/>
          <w:color w:val="ff0000"/>
          <w:sz w:val="22"/>
          <w:szCs w:val="22"/>
        </w:rPr>
      </w:pPr>
      <w:bookmarkStart w:colFirst="0" w:colLast="0" w:name="_gjdgxs" w:id="0"/>
      <w:bookmarkEnd w:id="0"/>
      <w:r w:rsidDel="00000000" w:rsidR="00000000" w:rsidRPr="00000000">
        <w:rPr>
          <w:rFonts w:ascii="Times New Roman" w:cs="Times New Roman" w:eastAsia="Times New Roman" w:hAnsi="Times New Roman"/>
          <w:sz w:val="22"/>
          <w:szCs w:val="22"/>
          <w:rtl w:val="0"/>
        </w:rPr>
        <w:t xml:space="preserve">Порядок ознайомлення акціонерів з матеріалами, з якими вони можуть ознайомитися під час підготовки до загальних зборів: Від дати надіслання повідомлення про проведення загальних зборів до дати проведення загальних зборів, акціонери можуть ознайомитися з документами, необхідними для прийняття рішень з питань порядку денного, у робочі дні з 10-00 до 15-00 за адресою: вул. Бориспільська, 7, м. Київ, п/і 02099, 2-й поверх,  кабінет Голови правління, а в день проведення загальних зборів - також у місці їх  проведення. Посадовою  особою товариства, яка відповідає за порядок ознайомлення акціонерів з документами, є Голова правління – Царкозенко Ігор Васильович.</w:t>
      </w:r>
      <w:r w:rsidDel="00000000" w:rsidR="00000000" w:rsidRPr="00000000">
        <w:rPr>
          <w:rtl w:val="0"/>
        </w:rPr>
      </w:r>
    </w:p>
    <w:p w:rsidR="00000000" w:rsidDel="00000000" w:rsidP="00000000" w:rsidRDefault="00000000" w:rsidRPr="00000000" w14:paraId="00000076">
      <w:pPr>
        <w:ind w:firstLine="708"/>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Загальна кількість акцій станом на дату складання переліку осіб (20.02.2020 року), яким надсилається повідомлення про проведення загальних зборів –  100 штук простих іменних акцій.</w:t>
      </w:r>
    </w:p>
    <w:p w:rsidR="00000000" w:rsidDel="00000000" w:rsidP="00000000" w:rsidRDefault="00000000" w:rsidRPr="00000000" w14:paraId="00000077">
      <w:pPr>
        <w:ind w:firstLine="708"/>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Загальна кількість голосуючих  акцій станом на дату складання переліку осіб (20.02.2020 року), яким надсилається повідомлення про проведення загальних зборів – 80 штук простих іменних акцій.</w:t>
      </w:r>
    </w:p>
    <w:p w:rsidR="00000000" w:rsidDel="00000000" w:rsidP="00000000" w:rsidRDefault="00000000" w:rsidRPr="00000000" w14:paraId="00000078">
      <w:pPr>
        <w:ind w:firstLine="708"/>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Про права, надані акціонерам відповідно до вимог статей 36 та 38 Закону України «Про акціонерні товариства», якими вони можуть користуватися після отримання повідомлення про проведення загальних зборів, а також строк, протягом якого такі права можуть використовуватися:  Акціонерне товариство до початку загальних зборів у встановленому ним порядку зобов'язане надавати письмові відповіді на письмові запитання акціонерів щодо питань, включених до проекту порядку денного загальних зборів та порядку денного загальних зборів до дати проведення загальних зборів. Акціонерне товариство може надати одну загальну відповідь на всі запитання однакового змісту. Кожний акціонер має право внести пропозиції щодо питань, включених до проекту порядку денного загальних зборів акціонерного товариства, а також щодо нових кандидатів до складу органів товариства, кількість яких не може перевищувати кількісного складу кожного з органів.  Пропозиції вносяться не пізніше ніж за 20 днів до дати проведення загальних зборів акціонерного товариства, а щодо кандидатів до складу органів товариства - не пізніше ніж за сім днів до дати проведення загальних зборів. Пропозиції щодо включення нових питань до проекту порядку денного повинні містити відповідні проекти рішень з цих питань. Пропозиції щодо кандидатів у члени наглядової ради акціонерного товариства мають містити інформацію про те, чи є запропонований кандидат представником акціонера (акціонерів), або про те, що кандидат пропонується на посаду члена наглядової ради - незалежного директора. Пропозиція до проекту порядку денного загальних зборів акціонерного товариства подається в письмовій формі із зазначенням прізвища (найменування) акціонера, який її вносить, кількості, типу та/або класу належних йому акцій, змісту пропозиції до питання та/або проекту рішення, а також кількості, типу та/або класу акцій, що належать кандидату, який пропонується цим акціонером до складу органів товариства. Пропозиції акціонерів (акціонера), які сукупно є власниками 5 або більше відсотків голосуючих акцій, підлягають обов'язковому включенню до проекту порядку денного загальних зборів. У такому разі рішення наглядової ради про включення питання до проекту порядку денного не вимагається, а пропозиція вважається включеною до проекту порядку денного, якщо вона подана з дотриманням вимог статті 38 Закону України «Про акціонерні товариства». У разі подання акціонером пропозиції до проекту порядку денного загальних зборів щодо дострокового припинення повноважень голови колегіального виконавчого органу (особи, яка здійснює повноваження одноосібного виконавчого органу) одночасно обов'язково подається пропозиція щодо кандидатури для обрання голови колегіального виконавчого органу акціонерного товариства (особи, яка здійснює повноваження одноосібного виконавчого органу) або призначення особи, яка тимчасово здійснюватиме його повноваження. Зміни до проекту порядку денного загальних зборів вносяться лише шляхом включення нових питань та проектів рішень із запропонованих питань. Товариство не має права вносити зміни до запропонованих акціонерами питань або проектів рішень. Рішення про відмову у включенні до проекту порядку денного загальних зборів акціонерного товариства пропозиції акціонерів (акціонера), які сукупно є власниками 5 або більше відсотків голосуючих акцій, а також пропозиції комітету при наглядовій раді публічного акціонерного товариства з питань призначень незалежних директорів, може бути прийнято тільки у разі: недотримання акціонерами строку, встановленого абзацом першим частини другої статті 38 Закону України «Про акціонерні товариства»; неповноти даних, передбачених абзацом першим частини другої або частиною третьою статті 38 Закону України «Про акціонерні товариства». Рішення про відмову у включенні до проекту порядку денного загальних зборів акціонерного товариства пропозицій акціонерів (акціонера), яким належать менше 5 відсотків голосуючих акцій, може бути прийнято з підстав, передбачених абзацом другим та/або третім частини шостої статті 38 Закону України «Про акціонерні товариства», у разі неподання акціонерами жодного проекту рішення із запропонованих ними питань порядку денного та з інших підстав, визначених статутом акціонерного товариства та/або положенням про загальні збори акціонерного товариства. Мотивоване рішення про відмову у включенні пропозиції до проекту порядку денного загальних зборів акціонерного товариства надсилається наглядовою радою акціонеру протягом трьох днів з моменту його прийняття. У разі внесення змін до проекту порядку денного загальних зборів акціонерне товариство не пізніше ніж за 10 днів до дати проведення загальних зборів повідомляє акціонерів про такі зміни та направляє/вручає порядок денний, а також проекти рішень, що додаються на підставі пропозицій акціонерів. Оскарження акціонером рішення товариства про відмову у включенні його пропозицій до проекту порядку денного до суду не зупиняє проведення загальних зборів. Суд за результатами розгляду справи може постановити рішення про зобов'язання товариства провести загальні збори з питання, у включенні якого до проекту порядку денного було безпідставно відмовлено акціонеру.</w:t>
      </w:r>
    </w:p>
    <w:p w:rsidR="00000000" w:rsidDel="00000000" w:rsidP="00000000" w:rsidRDefault="00000000" w:rsidRPr="00000000" w14:paraId="00000079">
      <w:pPr>
        <w:ind w:firstLine="708"/>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A">
      <w:pPr>
        <w:ind w:firstLine="708"/>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Порядок участі та голосування на загальних зборах за довіреністю: Для участі у річних загальних зборах акціонер має надати  паспорт, представник акціонера – додатково довіреність, оформлену відповідно до вимог чинного законодавства України. Довіреність на право участі та голосування на загальних зборах, видана фізичною особою, посвідчується нотаріусом або іншими посадовими особами, які вчиняють нотаріальні дії, а також може посвідчуватися депозитарною установою у встановленому Національною комісією з цінних паперів та фондового ринку порядку. Довіреність на право участі та голосування на загальних зборах від імені юридичної особи видається її органом або іншою особою, уповноваженою на це її установчими документами. Довіреність на право участі та голосування на загальних зборах акціонерного товариства може містити завдання щодо голосування, тобто перелік питань, порядку денного загальних зборів із зазначенням того, як і за яке (проти якого) рішення потрібно проголосувати. Під час голосування на загальних зборах представник повинен голосувати саме так, як передбачено завданням щодо голосування. Якщо довіреність не містить завдання щодо голосування, представник вирішує всі питання щодо голосування на загальних зборах акціонерів на свій розсуд. Акціонер має право видати довіреність на право участі та голосування на загальних зборах декільком своїм представникам. Акціонер має право у будь-який час відкликати чи замінити свого представника на загальних зборах акціонерного товариства. Надання довіреності на право участі та голосування на загальних зборах не виключає право участі на цих загальних зборах акціонера, який видав довіреність, замість свого представника. </w:t>
      </w:r>
    </w:p>
    <w:p w:rsidR="00000000" w:rsidDel="00000000" w:rsidP="00000000" w:rsidRDefault="00000000" w:rsidRPr="00000000" w14:paraId="0000007B">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Довідки за телефоном: (044)  5660008.                                  Голова правління.</w:t>
      </w:r>
    </w:p>
    <w:p w:rsidR="00000000" w:rsidDel="00000000" w:rsidP="00000000" w:rsidRDefault="00000000" w:rsidRPr="00000000" w14:paraId="0000007D">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2"/>
          <w:szCs w:val="22"/>
        </w:rPr>
      </w:pPr>
      <w:r w:rsidDel="00000000" w:rsidR="00000000" w:rsidRPr="00000000">
        <w:rPr>
          <w:rtl w:val="0"/>
        </w:rPr>
      </w:r>
    </w:p>
    <w:sectPr>
      <w:pgSz w:h="16838" w:w="11906"/>
      <w:pgMar w:bottom="850" w:top="850" w:left="900" w:right="56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uk-UA"/>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