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98AB3D" w14:textId="77777777" w:rsidR="0095086D" w:rsidRPr="001A7A21" w:rsidRDefault="0095086D" w:rsidP="0095086D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Министерство образования Республики Беларусь</w:t>
      </w:r>
    </w:p>
    <w:p w14:paraId="53EE02D9" w14:textId="77777777" w:rsidR="0095086D" w:rsidRPr="001A7A21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CF027CE" w14:textId="77777777" w:rsidR="0095086D" w:rsidRPr="001A7A21" w:rsidRDefault="0095086D" w:rsidP="0095086D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Учреждение образования</w:t>
      </w:r>
    </w:p>
    <w:p w14:paraId="687275D5" w14:textId="34DFA43F" w:rsidR="0095086D" w:rsidRPr="001A7A21" w:rsidRDefault="00B24AE1" w:rsidP="0095086D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БЕЛОРУССКИЙ ГОСУДАРСТВЕННЫЙ УНИВЕРСИТЕТ ИНФОРМАТИКИ И РАДИОЭЛЕКТРОНИКИ</w:t>
      </w:r>
    </w:p>
    <w:p w14:paraId="2D84A037" w14:textId="77777777" w:rsidR="009713CD" w:rsidRPr="00F15598" w:rsidRDefault="009713CD" w:rsidP="009713C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5403326C" w14:textId="77777777" w:rsidR="009713CD" w:rsidRPr="001A7A21" w:rsidRDefault="009713CD" w:rsidP="009713C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Факультет компьютерных систем и сетей</w:t>
      </w:r>
    </w:p>
    <w:p w14:paraId="19B24E46" w14:textId="77777777" w:rsidR="009713CD" w:rsidRPr="001A7A21" w:rsidRDefault="009713CD" w:rsidP="009713C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871A2A0" w14:textId="77777777" w:rsidR="009713CD" w:rsidRPr="001A7A21" w:rsidRDefault="009713CD" w:rsidP="009713C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Кафедра электронных вычислительных машин</w:t>
      </w:r>
    </w:p>
    <w:p w14:paraId="6A78D41A" w14:textId="77777777" w:rsidR="009713CD" w:rsidRPr="001A7A21" w:rsidRDefault="009713CD" w:rsidP="009713C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386DCC94" w14:textId="77777777" w:rsidR="009713CD" w:rsidRPr="00E1591C" w:rsidRDefault="009713CD" w:rsidP="009713C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 xml:space="preserve">Дисциплина: </w:t>
      </w:r>
      <w:r>
        <w:rPr>
          <w:rFonts w:eastAsia="Times New Roman" w:cs="Times New Roman"/>
          <w:color w:val="000000"/>
          <w:szCs w:val="28"/>
          <w:lang w:eastAsia="be-BY"/>
        </w:rPr>
        <w:t>Хранение и управление данными</w:t>
      </w:r>
    </w:p>
    <w:p w14:paraId="15D3D8C5" w14:textId="77777777" w:rsidR="0095086D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1A4FE1F0" w14:textId="3D8DFA42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59B7827" w14:textId="71EC2B39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C431515" w14:textId="048C8559" w:rsidR="00B24AE1" w:rsidRDefault="00B24AE1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1DE45C15" w14:textId="5CAD66AC" w:rsidR="00B24AE1" w:rsidRDefault="00B24AE1" w:rsidP="009713CD">
      <w:pPr>
        <w:spacing w:after="240" w:line="276" w:lineRule="auto"/>
        <w:rPr>
          <w:rFonts w:eastAsia="Times New Roman" w:cs="Times New Roman"/>
          <w:sz w:val="24"/>
          <w:szCs w:val="24"/>
          <w:lang w:eastAsia="be-BY"/>
        </w:rPr>
      </w:pPr>
    </w:p>
    <w:p w14:paraId="0348B48C" w14:textId="77777777" w:rsidR="00B24AE1" w:rsidRPr="001A7A21" w:rsidRDefault="00B24AE1" w:rsidP="009713CD">
      <w:pPr>
        <w:spacing w:after="240" w:line="276" w:lineRule="auto"/>
        <w:rPr>
          <w:rFonts w:eastAsia="Times New Roman" w:cs="Times New Roman"/>
          <w:sz w:val="24"/>
          <w:szCs w:val="24"/>
          <w:lang w:eastAsia="be-BY"/>
        </w:rPr>
      </w:pPr>
    </w:p>
    <w:p w14:paraId="0B0AA81F" w14:textId="252B4EF4" w:rsidR="001254F4" w:rsidRPr="006C4DD2" w:rsidRDefault="001254F4" w:rsidP="009713CD">
      <w:pPr>
        <w:spacing w:line="276" w:lineRule="auto"/>
        <w:ind w:right="-2"/>
        <w:jc w:val="center"/>
        <w:rPr>
          <w:rFonts w:eastAsia="Times New Roman" w:cs="Times New Roman"/>
          <w:color w:val="000000"/>
          <w:szCs w:val="28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КОНТРОЛЬНАЯ РАБОТА</w:t>
      </w:r>
      <w:r w:rsidR="00E1591C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3229DD">
        <w:rPr>
          <w:rFonts w:eastAsia="Times New Roman" w:cs="Times New Roman"/>
          <w:color w:val="000000"/>
          <w:szCs w:val="28"/>
          <w:lang w:eastAsia="be-BY"/>
        </w:rPr>
        <w:t/>
      </w:r>
      <w:r w:rsidR="006C4DD2" w:rsidRPr="006C4DD2">
        <w:rPr>
          <w:rFonts w:eastAsia="Times New Roman" w:cs="Times New Roman"/>
          <w:color w:val="000000"/>
          <w:szCs w:val="28"/>
          <w:lang w:eastAsia="be-BY"/>
        </w:rPr>
        <w:t xml:space="preserve"> </w:t>
      </w:r>
    </w:p>
    <w:p w14:paraId="27626BAB" w14:textId="320F2BA8" w:rsidR="0095086D" w:rsidRPr="001A7A21" w:rsidRDefault="0095086D" w:rsidP="009713CD">
      <w:pPr>
        <w:spacing w:line="276" w:lineRule="auto"/>
        <w:ind w:right="-2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на тему</w:t>
      </w:r>
    </w:p>
    <w:p w14:paraId="504361F0" w14:textId="122EE689" w:rsidR="00B24AE1" w:rsidRDefault="009713CD" w:rsidP="009713CD">
      <w:pPr>
        <w:spacing w:after="240" w:line="276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«</w:t>
      </w:r>
      <w:r w:rsidR="003229DD">
        <w:rPr>
          <w:rFonts w:eastAsia="Times New Roman" w:cs="Times New Roman"/>
          <w:color w:val="000000"/>
          <w:szCs w:val="28"/>
          <w:lang w:eastAsia="be-BY"/>
        </w:rPr>
        <w:t>ОБЛАЧНЫЕ ВЫЧИСЛЕНИЯ: ВИДЫ РАЗВЕРТЫВАНИЯ ОБЛАКА, ИНФРАСТРУКТУРА ОБЛАЧНЫХ ВЫЧИСЛЕНИЙ И ОСНОВНЫЕ АСПЕКТЫ ПЕРЕХОДА К ОБЛАЧНОЙ ИНФРАСТРУКТУРЕ</w:t>
      </w:r>
      <w:r>
        <w:rPr>
          <w:rFonts w:eastAsia="Times New Roman" w:cs="Times New Roman"/>
          <w:color w:val="000000"/>
          <w:szCs w:val="28"/>
          <w:lang w:eastAsia="be-BY"/>
        </w:rPr>
        <w:t>»</w:t>
      </w:r>
    </w:p>
    <w:p w14:paraId="72465162" w14:textId="77777777" w:rsidR="00B24AE1" w:rsidRDefault="00B24AE1" w:rsidP="00B24AE1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5525BF6F" w14:textId="0EAD1085" w:rsidR="0095086D" w:rsidRPr="001A7A21" w:rsidRDefault="0095086D" w:rsidP="00B24AE1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242DE1DD" w14:textId="72457082" w:rsidR="0095086D" w:rsidRPr="001A7A21" w:rsidRDefault="00B24AE1" w:rsidP="0095086D">
      <w:pPr>
        <w:spacing w:line="360" w:lineRule="auto"/>
        <w:jc w:val="both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Выполнил: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>                                                           </w:t>
      </w:r>
      <w:r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> </w:t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5086D">
        <w:rPr>
          <w:rFonts w:eastAsia="Times New Roman" w:cs="Times New Roman"/>
          <w:color w:val="000000"/>
          <w:szCs w:val="28"/>
          <w:lang w:eastAsia="be-BY"/>
        </w:rPr>
        <w:t>Р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95086D">
        <w:rPr>
          <w:rFonts w:eastAsia="Times New Roman" w:cs="Times New Roman"/>
          <w:color w:val="000000"/>
          <w:szCs w:val="28"/>
          <w:lang w:eastAsia="be-BY"/>
        </w:rPr>
        <w:t>Е.</w:t>
      </w:r>
      <w:r w:rsidR="00C16893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C16893" w:rsidRPr="001A7A21">
        <w:rPr>
          <w:rFonts w:eastAsia="Times New Roman" w:cs="Times New Roman"/>
          <w:color w:val="000000"/>
          <w:szCs w:val="28"/>
          <w:lang w:eastAsia="be-BY"/>
        </w:rPr>
        <w:t>Власов</w:t>
      </w:r>
    </w:p>
    <w:p w14:paraId="0F3E9B47" w14:textId="3E2E1C6C" w:rsidR="0095086D" w:rsidRPr="00A55BC8" w:rsidRDefault="00B24AE1" w:rsidP="0095086D">
      <w:pPr>
        <w:spacing w:line="240" w:lineRule="auto"/>
        <w:jc w:val="both"/>
        <w:rPr>
          <w:rFonts w:eastAsia="Times New Roman" w:cs="Times New Roman"/>
          <w:sz w:val="24"/>
          <w:szCs w:val="24"/>
          <w:lang w:eastAsia="be-BY"/>
        </w:rPr>
      </w:pPr>
      <w:proofErr w:type="gramStart"/>
      <w:r>
        <w:rPr>
          <w:rFonts w:eastAsia="Times New Roman" w:cs="Times New Roman"/>
          <w:color w:val="000000"/>
          <w:szCs w:val="28"/>
          <w:lang w:eastAsia="be-BY"/>
        </w:rPr>
        <w:t>Проверил</w:t>
      </w:r>
      <w:r w:rsidR="009713CD">
        <w:rPr>
          <w:rFonts w:eastAsia="Times New Roman" w:cs="Times New Roman"/>
          <w:color w:val="000000"/>
          <w:szCs w:val="28"/>
          <w:lang w:eastAsia="be-BY"/>
        </w:rPr>
        <w:t>а</w:t>
      </w:r>
      <w:r>
        <w:rPr>
          <w:rFonts w:eastAsia="Times New Roman" w:cs="Times New Roman"/>
          <w:color w:val="000000"/>
          <w:szCs w:val="28"/>
          <w:lang w:eastAsia="be-BY"/>
        </w:rPr>
        <w:t xml:space="preserve">: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  </w:t>
      </w:r>
      <w:proofErr w:type="gramEnd"/>
      <w:r w:rsidR="00460DCF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        </w:t>
      </w:r>
      <w:r>
        <w:rPr>
          <w:rFonts w:eastAsia="Times New Roman" w:cs="Times New Roman"/>
          <w:color w:val="000000"/>
          <w:szCs w:val="28"/>
          <w:lang w:eastAsia="be-BY"/>
        </w:rPr>
        <w:tab/>
        <w:t xml:space="preserve">       </w:t>
      </w:r>
      <w:r w:rsidR="00460DCF">
        <w:rPr>
          <w:rFonts w:eastAsia="Times New Roman" w:cs="Times New Roman"/>
          <w:color w:val="000000"/>
          <w:szCs w:val="28"/>
          <w:lang w:eastAsia="be-BY"/>
        </w:rPr>
        <w:tab/>
        <w:t xml:space="preserve">   </w:t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0A4AFE">
        <w:rPr>
          <w:rFonts w:eastAsia="Times New Roman" w:cs="Times New Roman"/>
          <w:color w:val="000000"/>
          <w:szCs w:val="28"/>
          <w:lang w:eastAsia="be-BY"/>
        </w:rPr>
        <w:t>Д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0A4AFE">
        <w:rPr>
          <w:rFonts w:eastAsia="Times New Roman" w:cs="Times New Roman"/>
          <w:color w:val="000000"/>
          <w:szCs w:val="28"/>
          <w:lang w:eastAsia="be-BY"/>
        </w:rPr>
        <w:t>В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0A4AFE">
        <w:rPr>
          <w:rFonts w:eastAsia="Times New Roman" w:cs="Times New Roman"/>
          <w:color w:val="000000"/>
          <w:szCs w:val="28"/>
          <w:lang w:eastAsia="be-BY"/>
        </w:rPr>
        <w:t>Куприянова</w:t>
      </w:r>
    </w:p>
    <w:p w14:paraId="6FD7AAE9" w14:textId="57420C90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sz w:val="24"/>
          <w:szCs w:val="24"/>
          <w:lang w:eastAsia="be-BY"/>
        </w:rPr>
        <w:br/>
      </w:r>
      <w:r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3FC4AEB8" w14:textId="77777777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7241439E" w14:textId="77777777" w:rsidR="003651AB" w:rsidRDefault="003651AB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5E832718" w14:textId="77777777" w:rsidR="006F4E44" w:rsidRPr="001A7A21" w:rsidRDefault="006F4E44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A5B16A0" w14:textId="29F28349" w:rsidR="00BA703D" w:rsidRDefault="0095086D" w:rsidP="00BB5D18">
      <w:pPr>
        <w:spacing w:line="240" w:lineRule="auto"/>
        <w:ind w:right="-2"/>
        <w:jc w:val="center"/>
        <w:rPr>
          <w:rFonts w:eastAsia="Times New Roman" w:cs="Times New Roman"/>
          <w:color w:val="000000"/>
          <w:szCs w:val="28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М</w:t>
      </w:r>
      <w:r w:rsidR="009713CD">
        <w:rPr>
          <w:rFonts w:eastAsia="Times New Roman" w:cs="Times New Roman"/>
          <w:color w:val="000000"/>
          <w:szCs w:val="28"/>
          <w:lang w:eastAsia="be-BY"/>
        </w:rPr>
        <w:t>инск</w:t>
      </w:r>
      <w:r w:rsidRPr="001A7A21">
        <w:rPr>
          <w:rFonts w:eastAsia="Times New Roman" w:cs="Times New Roman"/>
          <w:color w:val="000000"/>
          <w:szCs w:val="28"/>
          <w:lang w:eastAsia="be-BY"/>
        </w:rPr>
        <w:t xml:space="preserve"> 202</w:t>
      </w:r>
      <w:r w:rsidR="00B24AE1">
        <w:rPr>
          <w:rFonts w:eastAsia="Times New Roman" w:cs="Times New Roman"/>
          <w:color w:val="000000"/>
          <w:szCs w:val="28"/>
          <w:lang w:eastAsia="be-BY"/>
        </w:rPr>
        <w:t>6</w:t>
      </w:r>
    </w:p>
    <w:p w14:paraId="20B72DE9" w14:textId="77777777" w:rsidR="009713CD" w:rsidRPr="00AA1330" w:rsidRDefault="009713CD" w:rsidP="009713CD">
      <w:pPr>
        <w:pStyle w:val="a5"/>
        <w:pageBreakBefore/>
        <w:rPr>
          <w:b w:val="0"/>
          <w:bCs w:val="0"/>
        </w:rPr>
      </w:pPr>
      <w:r w:rsidRPr="00AA1330">
        <w:rPr>
          <w:b w:val="0"/>
          <w:bCs w:val="0"/>
        </w:rPr>
        <w:t>Содержание</w:t>
      </w:r>
    </w:p>
    <w:p>
      <w:pPr>
        <w:pStyle w:val="a7"/>
        <w:rPr>
          <w:lang w:val="ru-RU" w:eastAsia="en-US"/>
        </w:rPr>
      </w:pPr>
    </w:p>
    <w:tbl>
      <w:tblPr>
        <w:tblStyle w:val="afa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2"/>
        <w:gridCol w:w="496"/>
      </w:tblGrid>
      <w:tr>
        <w:tc>
          <w:tcPr>
            <w:tcW w:w="9182" w:type="dxa"/>
            <w:vAlign w:val="center"/>
          </w:tcPr>
          <w:p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Введение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>
        <w:tc>
          <w:tcPr>
            <w:tcW w:w="9182" w:type="dxa"/>
            <w:vAlign w:val="center"/>
          </w:tcPr>
          <w:p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1 Понятие облака и сервисные модели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>
        <w:tc>
          <w:tcPr>
            <w:tcW w:w="9182" w:type="dxa"/>
            <w:vAlign w:val="center"/>
          </w:tcPr>
          <w:p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2 Виды развертывания облака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>
        <w:tc>
          <w:tcPr>
            <w:tcW w:w="9182" w:type="dxa"/>
            <w:vAlign w:val="center"/>
          </w:tcPr>
          <w:p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3 Инфраструктура облачных вычислений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>
        <w:tc>
          <w:tcPr>
            <w:tcW w:w="9182" w:type="dxa"/>
            <w:vAlign w:val="center"/>
          </w:tcPr>
          <w:p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4 Переход к облачной инфраструктуре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>
        <w:tc>
          <w:tcPr>
            <w:tcW w:w="9182" w:type="dxa"/>
            <w:vAlign w:val="center"/>
          </w:tcPr>
          <w:p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5 Пример выбора облачной модели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>
        <w:tc>
          <w:tcPr>
            <w:tcW w:w="9182" w:type="dxa"/>
            <w:vAlign w:val="center"/>
          </w:tcPr>
          <w:p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Заключение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>
        <w:tc>
          <w:tcPr>
            <w:tcW w:w="9182" w:type="dxa"/>
            <w:vAlign w:val="center"/>
          </w:tcPr>
          <w:p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Список использованных источников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</w:tbl>
    <w:p>
      <w:pPr>
        <w:pStyle w:val="a5"/>
        <w:pageBreakBefore/>
        <w:rPr>
          <w:lang w:val="ru-RU" w:eastAsia="en-US"/>
        </w:rPr>
      </w:pPr>
      <w:r>
        <w:rPr>
          <w:lang w:val="ru-RU" w:eastAsia="en-US"/>
        </w:rPr>
        <w:t xml:space="preserve">Введение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Облачные вычисления позволяют организации получать вычислительные ресурсы без покупки собственного оборудования. Организация арендует у провайдера серверы, место для хранения данных или готовые приложения и платит за то, что использует. При этом меняется распределение работы по хранению и управлению данными: часть задач переходит к провайдеру, а часть остаётся за клиентом.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Цель работы – рассмотреть облачные вычисления с точки зрения организации, которая собирается перенести в облако свои системы. Для этого в работе рассматриваются понятие облака и сервисные модели, виды развертывания облака, состав облачной инфраструктуры, основные аспекты и этапы перехода к облачной инфраструктуре. В завершение разбирается пример выбора облачных моделей для интернет-магазина.</w:t>
      </w:r>
    </w:p>
    <w:p>
      <w:pPr>
        <w:pStyle w:val="a"/>
        <w:pageBreakBefore/>
        <w:ind w:left="0" w:firstLine="709"/>
        <w:rPr>
          <w:lang w:val="ru-RU" w:eastAsia="en-US"/>
        </w:rPr>
      </w:pPr>
      <w:r>
        <w:rPr>
          <w:lang w:val="ru-RU" w:eastAsia="en-US"/>
        </w:rPr>
        <w:t xml:space="preserve">Понятие облака и сервисные модели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Облачные вычисления (cloud computing) представляют собой модель доступа через сеть к общему набору вычислительных ресурсов по запросу пользователя [1]. К таким ресурсам относятся серверы, системы хранения данных, сети, приложения и сервисы. Поставщик услуги, или провайдер, выделяет ресурсы и обеспечивает работу своей инфраструктуры. Пользователь создаёт серверы, получает место для данных или работает с готовыми приложениями, и ему не нужно знать, где физически находится оборудование.</w:t>
      </w:r>
    </w:p>
    <w:p>
      <w:pPr>
        <w:pStyle w:val="a7"/>
        <w:keepNext/>
        <w:rPr>
          <w:lang w:val="ru-RU" w:eastAsia="en-US"/>
        </w:rPr>
      </w:pPr>
      <w:r>
        <w:rPr>
          <w:lang w:val="ru-RU" w:eastAsia="en-US"/>
        </w:rPr>
        <w:t xml:space="preserve">Национальный институт стандартов и технологий США (NIST) выделяет пять основных признаков облака [1]: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1) Самообслуживание по запросу. Пользователь получает ресурсы через панель управления без обращения к сотруднику провайдера.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2) Доступ по сети. Пользователь подключается с компьютера или другого устройства через интернет либо внутреннюю сеть.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3) Объединение ресурсов. Провайдер распределяет общий запас мощностей между потребителями с разделением доступа.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4) Эластичность. Пользователь может быстро увеличить ресурсы при росте нагрузки и освободить их после её снижения.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5) Учёт потребления. Провайдер измеряет использование ресурсов. Способ оплаты зависит от условий услуги.</w:t>
      </w:r>
    </w:p>
    <w:p>
      <w:pPr>
        <w:pStyle w:val="a7"/>
        <w:keepNext/>
        <w:rPr>
          <w:lang w:val="ru-RU" w:eastAsia="en-US"/>
        </w:rPr>
      </w:pPr>
      <w:r>
        <w:rPr>
          <w:lang w:val="ru-RU" w:eastAsia="en-US"/>
        </w:rPr>
        <w:t xml:space="preserve">Облака классифицируют по двум признакам: по сервисной модели, которая определяет, какую часть работы берёт на себя провайдер, и по модели развертывания [1]. Выделяют следующие сервисные модели: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1) IaaS (Infrastructure as a Service, инфраструктура как услуга). Организация арендует у провайдера виртуальные серверы, системы хранения данных и сети. Клиент сам устанавливает и обновляет операционную систему и приложения и управляет данными. Провайдер может предоставлять и заранее настроенные машины для типовых задач, например для баз данных или почтовых серверов.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2) PaaS (Platform as a Service, платформа как услуга). Кроме инфраструктуры провайдер предоставляет готовую среду для разработки и запуска приложений: операционную систему, базы данных и инструменты. Клиент разрабатывает приложение и управляет его настройками и данными, а ресурсы для работы приложения платформа выделяет автоматически.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3) SaaS (Software as a Service, программное обеспечение как услуга). Клиент работает с готовым приложением через браузер или мобильный клиент, обычно по подписке. Провайдер размещает приложение, обслуживает его и выпускает обновления и исправления безопасности. Примерами SaaS служат веб-почта, CRM-системы, Jira и Confluence.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4) FaaS (Function as a Service, функции как услуга), или бессерверные вычисления. Клиент передаёт провайдеру код отдельной функции. Провайдер запускает его по событию, выделяет ресурсы на время выполнения, возвращает результат и освобождает ресурсы. Клиент не создаёт и не обслуживает серверы.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Основные сервисные модели сравниваются в таблице 1.1.</w:t>
      </w:r>
    </w:p>
    <w:p>
      <w:pPr>
        <w:pStyle w:val="a7"/>
        <w:keepNext/>
        <w:spacing w:before="240" w:after="0"/>
        <w:ind w:firstLine="0"/>
        <w:jc w:val="left"/>
        <w:rPr>
          <w:lang w:val="ru-RU" w:eastAsia="en-US"/>
        </w:rPr>
      </w:pPr>
      <w:r>
        <w:rPr>
          <w:lang w:val="ru-RU" w:eastAsia="en-US"/>
        </w:rPr>
        <w:t xml:space="preserve">Таблица 1.1 – Сравнение сервисных моделей</w:t>
      </w:r>
    </w:p>
    <w:tbl>
      <w:tblPr>
        <w:tblStyle w:val="afa"/>
        <w:tblW w:w="9355" w:type="dxa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4252"/>
      </w:tblGrid>
      <w:tr>
        <w:trPr>
          <w:cantSplit/>
          <w:tblHeader/>
        </w:trPr>
        <w:tc>
          <w:tcPr>
            <w:tcW w:w="1701" w:type="dxa"/>
          </w:tcPr>
          <w:p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Модель</w:t>
            </w:r>
          </w:p>
        </w:tc>
        <w:tc>
          <w:tcPr>
            <w:tcW w:w="3402" w:type="dxa"/>
          </w:tcPr>
          <w:p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Что получает клиент</w:t>
            </w:r>
          </w:p>
        </w:tc>
        <w:tc>
          <w:tcPr>
            <w:tcW w:w="4252" w:type="dxa"/>
          </w:tcPr>
          <w:p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Что делает клиент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IaaS</w:t>
            </w:r>
          </w:p>
        </w:tc>
        <w:tc>
          <w:tcPr>
            <w:tcW w:w="3402" w:type="dxa"/>
          </w:tcPr>
          <w:p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Виртуальные серверы, диски и сеть</w:t>
            </w:r>
          </w:p>
        </w:tc>
        <w:tc>
          <w:tcPr>
            <w:tcW w:w="4252" w:type="dxa"/>
          </w:tcPr>
          <w:p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Устанавливает и обновляет операционную систему и приложения, управляет данными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PaaS</w:t>
            </w:r>
          </w:p>
        </w:tc>
        <w:tc>
          <w:tcPr>
            <w:tcW w:w="3402" w:type="dxa"/>
          </w:tcPr>
          <w:p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Среду для запуска своего приложения</w:t>
            </w:r>
          </w:p>
        </w:tc>
        <w:tc>
          <w:tcPr>
            <w:tcW w:w="4252" w:type="dxa"/>
          </w:tcPr>
          <w:p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Разрабатывает приложение, управляет его настройками и данными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pStyle w:val="a7"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SaaS</w:t>
            </w:r>
          </w:p>
        </w:tc>
        <w:tc>
          <w:tcPr>
            <w:tcW w:w="3402" w:type="dxa"/>
          </w:tcPr>
          <w:p>
            <w:pPr>
              <w:pStyle w:val="a7"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Готовое приложение, например почту</w:t>
            </w:r>
          </w:p>
        </w:tc>
        <w:tc>
          <w:tcPr>
            <w:tcW w:w="4252" w:type="dxa"/>
          </w:tcPr>
          <w:p>
            <w:pPr>
              <w:pStyle w:val="a7"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Работает с приложением и управляет доступными настройками и доступом</w:t>
            </w:r>
          </w:p>
        </w:tc>
      </w:tr>
    </w:tbl>
    <w:p>
      <w:pPr>
        <w:pStyle w:val="a7"/>
        <w:spacing w:before="320"/>
        <w:rPr>
          <w:lang w:val="ru-RU" w:eastAsia="en-US"/>
        </w:rPr>
      </w:pPr>
      <w:r>
        <w:rPr>
          <w:lang w:val="ru-RU" w:eastAsia="en-US"/>
        </w:rPr>
        <w:t xml:space="preserve">Сервисные модели различаются тем, какой объём администрирования остаётся у клиента: в IaaS он наибольший, в SaaS наименьший.</w:t>
      </w:r>
    </w:p>
    <w:p>
      <w:pPr>
        <w:pStyle w:val="a"/>
        <w:keepNext/>
        <w:ind w:left="0" w:firstLine="709"/>
        <w:rPr>
          <w:lang w:val="ru-RU" w:eastAsia="en-US"/>
        </w:rPr>
      </w:pPr>
      <w:r>
        <w:rPr>
          <w:lang w:val="ru-RU" w:eastAsia="en-US"/>
        </w:rPr>
        <w:t xml:space="preserve">Виды развертывания облака</w:t>
      </w:r>
    </w:p>
    <w:p>
      <w:pPr>
        <w:pStyle w:val="a7"/>
        <w:keepNext/>
        <w:rPr>
          <w:lang w:val="ru-RU" w:eastAsia="en-US"/>
        </w:rPr>
      </w:pPr>
      <w:r>
        <w:rPr>
          <w:lang w:val="ru-RU" w:eastAsia="en-US"/>
        </w:rPr>
        <w:t xml:space="preserve">Модель развертывания определяет круг пользователей облака и организацию облачной среды. Классификация NIST выделяет четыре модели [1]: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1) Публичное облако (public cloud). Инфраструктура принадлежит провайдеру, её ресурсами пользуются многие клиенты. Это самый распространённый вариант.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2) Частное облако (private cloud). Облако предназначено для одной организации. Оно может размещаться в её центре обработки данных или у провайдера, но изолированно от других клиентов. Частное облако выбирают, когда важны контроль и безопасность.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3) Гибридное облако (hybrid cloud). Объединяет частную и публичную среды. Например, критичные данные хранятся в частной части, а внешние сервисы работают в публичной.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4) Облако сообщества (community cloud). Инфраструктуру совместно используют несколько организаций с общими требованиями, например университеты или медицинские учреждения.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Кроме того, на практике применяется мультиоблако (multi-cloud): организация пользуется услугами нескольких провайдеров, например хранит данные у одного, а вычисления выполняет у другого. Это снижает зависимость от одного поставщика. Мультиоблако не входит в классификацию NIST и может сочетаться с гибридной моделью.</w:t>
      </w:r>
    </w:p>
    <w:p>
      <w:pPr>
        <w:pStyle w:val="a"/>
        <w:keepNext/>
        <w:ind w:left="0" w:firstLine="709"/>
        <w:rPr>
          <w:lang w:val="ru-RU" w:eastAsia="en-US"/>
        </w:rPr>
      </w:pPr>
      <w:r>
        <w:rPr>
          <w:lang w:val="ru-RU" w:eastAsia="en-US"/>
        </w:rPr>
        <w:t xml:space="preserve">Инфраструктура облачных вычислений</w:t>
      </w:r>
    </w:p>
    <w:p>
      <w:pPr>
        <w:pStyle w:val="a7"/>
        <w:keepNext/>
        <w:rPr>
          <w:lang w:val="ru-RU" w:eastAsia="en-US"/>
        </w:rPr>
      </w:pPr>
      <w:r>
        <w:rPr>
          <w:lang w:val="ru-RU" w:eastAsia="en-US"/>
        </w:rPr>
        <w:t xml:space="preserve">Облачная инфраструктура объединяет оборудование и программные средства, с помощью которых провайдер предоставляет услуги [2]. В ней можно выделить следующие составляющие: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1) Физическая основа. В центре обработки данных (ЦОД) размещают серверы, системы хранения и сетевое оборудование. Оператор ЦОД обеспечивает электропитание, охлаждение и физическую защиту.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2) Распределение ресурсов. С помощью виртуализации на одном физическом сервере запускают несколько виртуальных машин, каждая со своей операционной системой. В контейнере размещают приложение и его зависимости, при этом контейнеры совместно используют ядро операционной системы. Провайдер автоматизирует выделение и освобождение ресурсов.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3) Сеть. Через физические и виртуальные сети пользователи и приложения обмениваются данными. Администратор ограничивает соединения правилами доступа и настраивает защищённую связь между площадками.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4) Хранение. Блочное хранилище используют как диск виртуальной машины. Файловое хранилище даёт сотрудникам и приложениям доступ к общим папкам. В объектном хранилище хранят архивы и файлы приложений.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5) Управление и защита. Через панель управления или программный интерфейс клиент создаёт ресурсы и меняет настройки. Администратор назначает права доступа, следит за нагрузкой и ошибками, настраивает резервное копирование и проверяет восстановление.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Для надёжной работы инфраструктуры важно различать три механизма [5]. Резервирование помогает сохранить работу при отказе оборудования. Резервная копия нужна, чтобы вернуть данные к сохранённому состоянию, например после ошибочного удаления. Репликация поддерживает копии текущих данных на других узлах и поэтому может перенести на них и ошибку.</w:t>
      </w:r>
    </w:p>
    <w:p>
      <w:pPr>
        <w:pStyle w:val="a"/>
        <w:keepNext/>
        <w:ind w:left="0" w:firstLine="709"/>
        <w:rPr>
          <w:lang w:val="ru-RU" w:eastAsia="en-US"/>
        </w:rPr>
      </w:pPr>
      <w:r>
        <w:rPr>
          <w:lang w:val="ru-RU" w:eastAsia="en-US"/>
        </w:rPr>
        <w:t xml:space="preserve">Переход к облачной инфраструктуре</w:t>
      </w:r>
    </w:p>
    <w:p>
      <w:pPr>
        <w:pStyle w:val="a7"/>
        <w:keepNext/>
        <w:rPr>
          <w:lang w:val="ru-RU" w:eastAsia="en-US"/>
        </w:rPr>
      </w:pPr>
      <w:r>
        <w:rPr>
          <w:lang w:val="ru-RU" w:eastAsia="en-US"/>
        </w:rPr>
        <w:t xml:space="preserve">Перед переходом к облачной инфраструктуре организация определяет его цель, например запуск нового сервиса или обработку пиковых нагрузок. Затем она оценивает четыре основных аспекта [4]: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1) Приложения и данные. Специалисты составляют перечень систем, проверяют их связи, совместимость и лицензии. Для данных определяют объём, требования к хранению и доступу, для приложений – качество связи и допустимый простой.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2) Расходы. Организация сравнивает стоимость своей инфраструктуры с расходами на облачные вычисления, хранение, передачу данных, поддержку и перенос. Публичное облако может сократить первоначальные вложения, но потребует регулярных платежей. После миграции расходы нужно контролировать и отключать ненужные ресурсы.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3) Безопасность и ответственность. Провайдер защищает инфраструктуру своей услуги. Клиент управляет данными, правами пользователей и доступными ему настройками защиты, а в IaaS также обновляет свою операционную систему и приложения. Точную границу обязанностей определяют выбранная услуга и договор [3].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4) Условия работы. Организация проверяет место хранения данных, требования к их защите и возможность выгрузить данные при смене провайдера. Она назначает ответственных за сервисы, обучает сотрудников и согласует порядок действий при сбое.</w:t>
      </w:r>
    </w:p>
    <w:p>
      <w:pPr>
        <w:pStyle w:val="a7"/>
        <w:keepNext/>
        <w:rPr>
          <w:lang w:val="ru-RU" w:eastAsia="en-US"/>
        </w:rPr>
      </w:pPr>
      <w:r>
        <w:rPr>
          <w:lang w:val="ru-RU" w:eastAsia="en-US"/>
        </w:rPr>
        <w:t xml:space="preserve">Перенос проводят поэтапно [4]: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1) Выбирают модель и провайдера, рассчитывают ресурсы и расходы.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2) Настраивают сеть, учётные записи, права доступа и резервное копирование.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3) Переносят тестовую систему и проверяют её работу, скорость и восстановление данных.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4) Переносят остальные системы с учётом их связей. Перед переключением готовят план возврата к прежней среде.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5) Проверяют полноту данных и работу сервисов, затем следят за нагрузкой, защитой и расходами.</w:t>
      </w:r>
    </w:p>
    <w:p>
      <w:pPr>
        <w:pStyle w:val="a"/>
        <w:keepNext/>
        <w:ind w:left="0" w:firstLine="709"/>
        <w:rPr>
          <w:lang w:val="ru-RU" w:eastAsia="en-US"/>
        </w:rPr>
      </w:pPr>
      <w:r>
        <w:rPr>
          <w:lang w:val="ru-RU" w:eastAsia="en-US"/>
        </w:rPr>
        <w:t xml:space="preserve">Пример выбора облачной модели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Рассмотрим условный интернет-магазин, которому нужно выдерживать рост посещений во время распродаж. Команда может разместить сайт на PaaS в публичном облаке и настроить добавление ресурсов при росте нагрузки. Для почты подойдёт SaaS. Если у старой учётной системы есть особые требования к операционной системе, её можно разместить в IaaS после проверки совместимости. Перед переносом команда проверяет связь между сайтом и учётной системой, настраивает доступ и проверяет восстановление из резервной копии.</w:t>
      </w:r>
    </w:p>
    <w:p>
      <w:pPr>
        <w:pStyle w:val="a5"/>
        <w:pageBreakBefore/>
        <w:rPr>
          <w:lang w:val="ru-RU" w:eastAsia="en-US"/>
        </w:rPr>
      </w:pPr>
      <w:r>
        <w:rPr>
          <w:lang w:val="ru-RU" w:eastAsia="en-US"/>
        </w:rPr>
        <w:t xml:space="preserve">Заключение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В работе рассмотрены понятие облачных вычислений, сервисные модели и модели развертывания облака, состав облачной инфраструктуры, а также основные аспекты и этапы перехода к ней.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Организация выбирает сервисную модель по объёму работ, который готова выполнять сама, а модель развертывания – по требованиям к среде. Для перехода ей нужно проверить приложения и данные, рассчитать расходы, распределить ответственность с провайдером и испытать перенос на тестовой системе. Экономию и надёжность оценивают по результатам работы выбранной системы.</w:t>
      </w:r>
    </w:p>
    <w:p>
      <w:pPr>
        <w:pStyle w:val="a5"/>
        <w:pageBreakBefore/>
        <w:rPr>
          <w:lang w:val="ru-RU" w:eastAsia="en-US"/>
        </w:rPr>
      </w:pPr>
      <w:r>
        <w:rPr>
          <w:lang w:val="ru-RU" w:eastAsia="en-US"/>
        </w:rPr>
        <w:t xml:space="preserve">Список использованных источников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1. Mell, P. The NIST Definition of Cloud Computing : NIST Special Publication 800-145 [Electronic resource] / P. Mell, T. Grance. – Gaithersburg : NIST, 2011. – Mode of access: https://doi.org/10.6028/NIST.SP.800-145. – Date of access: 11.10.2026.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2. Liu, F. NIST Cloud Computing Reference Architecture : NIST Special Publication 500-292 [Electronic resource] / F. Liu [et al.]. – Gaithersburg : NIST, 2011. – Mode of access: https://doi.org/10.6028/NIST.SP.500-292. – Date of access: 11.10.2026.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3. Shared Responsibility Model [Electronic resource] / Amazon Web Services. – Mode of access: https://aws.amazon.com/compliance/shared-responsibility-model/. – Date of access: 11.10.2026.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4. Plan your migration [Electronic resource] // Microsoft Cloud Adoption Framework. – Mode of access: https://learn.microsoft.com/en-us/azure/cloud-adoption-framework/migrate/plan-migration. – Date of access: 11.10.2026.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5. Redundancy, replication, and backup [Electronic resource] // Microsoft Learn. – Mode of access: https://learn.microsoft.com/en-us/azure/reliability/concept-redundancy-replication-backup. – Date of access: 11.10.2026.</w:t>
      </w:r>
    </w:p>
    <w:sectPr w:rsidR="006726E9" w:rsidRPr="000D72C7" w:rsidSect="00343A2E">
      <w:footerReference w:type="default" r:id="rId34"/>
      <w:pgSz w:w="11906" w:h="16838"/>
      <w:pgMar w:top="1134" w:right="851" w:bottom="1531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89B610" w14:textId="77777777" w:rsidR="00B057DE" w:rsidRDefault="00B057DE" w:rsidP="009853DE">
      <w:pPr>
        <w:spacing w:line="240" w:lineRule="auto"/>
      </w:pPr>
      <w:r>
        <w:separator/>
      </w:r>
    </w:p>
  </w:endnote>
  <w:endnote w:type="continuationSeparator" w:id="0">
    <w:p w14:paraId="50672949" w14:textId="77777777" w:rsidR="00B057DE" w:rsidRDefault="00B057DE" w:rsidP="009853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T1918o00">
    <w:altName w:val="Cambria"/>
    <w:panose1 w:val="020B0604020202020204"/>
    <w:charset w:val="00"/>
    <w:family w:val="roman"/>
    <w:notTrueType/>
    <w:pitch w:val="default"/>
  </w:font>
  <w:font w:name="TT1976o00">
    <w:altName w:val="Cambria"/>
    <w:panose1 w:val="020B0604020202020204"/>
    <w:charset w:val="00"/>
    <w:family w:val="roman"/>
    <w:notTrueType/>
    <w:pitch w:val="default"/>
  </w:font>
  <w:font w:name="TT1977o00">
    <w:altName w:val="Cambria"/>
    <w:panose1 w:val="020B0604020202020204"/>
    <w:charset w:val="00"/>
    <w:family w:val="roman"/>
    <w:notTrueType/>
    <w:pitch w:val="default"/>
  </w:font>
  <w:font w:name="TT1975o00">
    <w:altName w:val="Cambria"/>
    <w:panose1 w:val="020B0604020202020204"/>
    <w:charset w:val="00"/>
    <w:family w:val="roman"/>
    <w:notTrueType/>
    <w:pitch w:val="default"/>
  </w:font>
  <w:font w:name="TT1979o00">
    <w:altName w:val="Cambria"/>
    <w:panose1 w:val="020B0604020202020204"/>
    <w:charset w:val="00"/>
    <w:family w:val="roman"/>
    <w:notTrueType/>
    <w:pitch w:val="default"/>
  </w:font>
  <w:font w:name="TT197Ao00">
    <w:altName w:val="Cambria"/>
    <w:panose1 w:val="020B0604020202020204"/>
    <w:charset w:val="00"/>
    <w:family w:val="roman"/>
    <w:notTrueType/>
    <w:pitch w:val="default"/>
  </w:font>
  <w:font w:name="TT1978o00">
    <w:altName w:val="Cambria"/>
    <w:panose1 w:val="020B0604020202020204"/>
    <w:charset w:val="00"/>
    <w:family w:val="roman"/>
    <w:notTrueType/>
    <w:pitch w:val="default"/>
  </w:font>
  <w:font w:name="TT191Ao00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453645282"/>
      <w:docPartObj>
        <w:docPartGallery w:val="Page Numbers (Bottom of Page)"/>
        <w:docPartUnique/>
      </w:docPartObj>
    </w:sdtPr>
    <w:sdtContent>
      <w:p w14:paraId="642A7B97" w14:textId="03C332A8" w:rsidR="00343A2E" w:rsidRDefault="00343A2E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B1C394" w14:textId="77777777" w:rsidR="009853DE" w:rsidRDefault="009853D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3D36CE" w14:textId="77777777" w:rsidR="00B057DE" w:rsidRDefault="00B057DE" w:rsidP="009853DE">
      <w:pPr>
        <w:spacing w:line="240" w:lineRule="auto"/>
      </w:pPr>
      <w:r>
        <w:separator/>
      </w:r>
    </w:p>
  </w:footnote>
  <w:footnote w:type="continuationSeparator" w:id="0">
    <w:p w14:paraId="3C21A343" w14:textId="77777777" w:rsidR="00B057DE" w:rsidRDefault="00B057DE" w:rsidP="009853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C4282E"/>
    <w:multiLevelType w:val="hybridMultilevel"/>
    <w:tmpl w:val="73EA3518"/>
    <w:lvl w:ilvl="0" w:tplc="B7AA9498">
      <w:start w:val="1"/>
      <w:numFmt w:val="decimal"/>
      <w:suff w:val="space"/>
      <w:lvlText w:val="%1"/>
      <w:lvlJc w:val="left"/>
      <w:pPr>
        <w:ind w:left="2136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8" w:hanging="360"/>
      </w:pPr>
    </w:lvl>
    <w:lvl w:ilvl="2" w:tplc="0423001B" w:tentative="1">
      <w:start w:val="1"/>
      <w:numFmt w:val="lowerRoman"/>
      <w:lvlText w:val="%3."/>
      <w:lvlJc w:val="right"/>
      <w:pPr>
        <w:ind w:left="2868" w:hanging="180"/>
      </w:pPr>
    </w:lvl>
    <w:lvl w:ilvl="3" w:tplc="0423000F" w:tentative="1">
      <w:start w:val="1"/>
      <w:numFmt w:val="decimal"/>
      <w:lvlText w:val="%4."/>
      <w:lvlJc w:val="left"/>
      <w:pPr>
        <w:ind w:left="3588" w:hanging="360"/>
      </w:pPr>
    </w:lvl>
    <w:lvl w:ilvl="4" w:tplc="04230019" w:tentative="1">
      <w:start w:val="1"/>
      <w:numFmt w:val="lowerLetter"/>
      <w:lvlText w:val="%5."/>
      <w:lvlJc w:val="left"/>
      <w:pPr>
        <w:ind w:left="4308" w:hanging="360"/>
      </w:pPr>
    </w:lvl>
    <w:lvl w:ilvl="5" w:tplc="0423001B" w:tentative="1">
      <w:start w:val="1"/>
      <w:numFmt w:val="lowerRoman"/>
      <w:lvlText w:val="%6."/>
      <w:lvlJc w:val="right"/>
      <w:pPr>
        <w:ind w:left="5028" w:hanging="180"/>
      </w:pPr>
    </w:lvl>
    <w:lvl w:ilvl="6" w:tplc="0423000F" w:tentative="1">
      <w:start w:val="1"/>
      <w:numFmt w:val="decimal"/>
      <w:lvlText w:val="%7."/>
      <w:lvlJc w:val="left"/>
      <w:pPr>
        <w:ind w:left="5748" w:hanging="360"/>
      </w:pPr>
    </w:lvl>
    <w:lvl w:ilvl="7" w:tplc="04230019" w:tentative="1">
      <w:start w:val="1"/>
      <w:numFmt w:val="lowerLetter"/>
      <w:lvlText w:val="%8."/>
      <w:lvlJc w:val="left"/>
      <w:pPr>
        <w:ind w:left="6468" w:hanging="360"/>
      </w:pPr>
    </w:lvl>
    <w:lvl w:ilvl="8" w:tplc="042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F512E87"/>
    <w:multiLevelType w:val="hybridMultilevel"/>
    <w:tmpl w:val="69E01AC2"/>
    <w:lvl w:ilvl="0" w:tplc="D78A7EF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9B6A7B"/>
    <w:multiLevelType w:val="hybridMultilevel"/>
    <w:tmpl w:val="5FC43C02"/>
    <w:lvl w:ilvl="0" w:tplc="DDF2320A">
      <w:start w:val="1"/>
      <w:numFmt w:val="bullet"/>
      <w:suff w:val="space"/>
      <w:lvlText w:val="-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8841101"/>
    <w:multiLevelType w:val="hybridMultilevel"/>
    <w:tmpl w:val="178CC206"/>
    <w:lvl w:ilvl="0" w:tplc="F0324084">
      <w:start w:val="1"/>
      <w:numFmt w:val="decimal"/>
      <w:suff w:val="space"/>
      <w:lvlText w:val="%1"/>
      <w:lvlJc w:val="left"/>
      <w:pPr>
        <w:ind w:left="1429" w:hanging="72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2EE12A9"/>
    <w:multiLevelType w:val="hybridMultilevel"/>
    <w:tmpl w:val="CCB6DF52"/>
    <w:lvl w:ilvl="0" w:tplc="5E1247D2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3838497E">
      <w:start w:val="1"/>
      <w:numFmt w:val="lowerLetter"/>
      <w:suff w:val="space"/>
      <w:lvlText w:val="%2."/>
      <w:lvlJc w:val="left"/>
      <w:pPr>
        <w:ind w:left="2149" w:hanging="360"/>
      </w:pPr>
      <w:rPr>
        <w:rFonts w:hint="default"/>
      </w:r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9633EF2"/>
    <w:multiLevelType w:val="hybridMultilevel"/>
    <w:tmpl w:val="FC7E367C"/>
    <w:lvl w:ilvl="0" w:tplc="B7AA9498">
      <w:start w:val="1"/>
      <w:numFmt w:val="decimal"/>
      <w:suff w:val="space"/>
      <w:lvlText w:val="%1"/>
      <w:lvlJc w:val="left"/>
      <w:pPr>
        <w:ind w:left="1428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8" w:hanging="360"/>
      </w:pPr>
    </w:lvl>
    <w:lvl w:ilvl="2" w:tplc="0423001B" w:tentative="1">
      <w:start w:val="1"/>
      <w:numFmt w:val="lowerRoman"/>
      <w:lvlText w:val="%3."/>
      <w:lvlJc w:val="right"/>
      <w:pPr>
        <w:ind w:left="2868" w:hanging="180"/>
      </w:pPr>
    </w:lvl>
    <w:lvl w:ilvl="3" w:tplc="0423000F" w:tentative="1">
      <w:start w:val="1"/>
      <w:numFmt w:val="decimal"/>
      <w:lvlText w:val="%4."/>
      <w:lvlJc w:val="left"/>
      <w:pPr>
        <w:ind w:left="3588" w:hanging="360"/>
      </w:pPr>
    </w:lvl>
    <w:lvl w:ilvl="4" w:tplc="04230019" w:tentative="1">
      <w:start w:val="1"/>
      <w:numFmt w:val="lowerLetter"/>
      <w:lvlText w:val="%5."/>
      <w:lvlJc w:val="left"/>
      <w:pPr>
        <w:ind w:left="4308" w:hanging="360"/>
      </w:pPr>
    </w:lvl>
    <w:lvl w:ilvl="5" w:tplc="0423001B" w:tentative="1">
      <w:start w:val="1"/>
      <w:numFmt w:val="lowerRoman"/>
      <w:lvlText w:val="%6."/>
      <w:lvlJc w:val="right"/>
      <w:pPr>
        <w:ind w:left="5028" w:hanging="180"/>
      </w:pPr>
    </w:lvl>
    <w:lvl w:ilvl="6" w:tplc="0423000F" w:tentative="1">
      <w:start w:val="1"/>
      <w:numFmt w:val="decimal"/>
      <w:lvlText w:val="%7."/>
      <w:lvlJc w:val="left"/>
      <w:pPr>
        <w:ind w:left="5748" w:hanging="360"/>
      </w:pPr>
    </w:lvl>
    <w:lvl w:ilvl="7" w:tplc="04230019" w:tentative="1">
      <w:start w:val="1"/>
      <w:numFmt w:val="lowerLetter"/>
      <w:lvlText w:val="%8."/>
      <w:lvlJc w:val="left"/>
      <w:pPr>
        <w:ind w:left="6468" w:hanging="360"/>
      </w:pPr>
    </w:lvl>
    <w:lvl w:ilvl="8" w:tplc="042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499A5709"/>
    <w:multiLevelType w:val="hybridMultilevel"/>
    <w:tmpl w:val="3240494C"/>
    <w:lvl w:ilvl="0" w:tplc="9238F16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28E567F"/>
    <w:multiLevelType w:val="hybridMultilevel"/>
    <w:tmpl w:val="C430F8BC"/>
    <w:lvl w:ilvl="0" w:tplc="026EA58E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color w:val="000000" w:themeColor="text1"/>
        <w:sz w:val="28"/>
        <w:szCs w:val="28"/>
        <w:u w:val="none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BEB2153"/>
    <w:multiLevelType w:val="hybridMultilevel"/>
    <w:tmpl w:val="9E6C208A"/>
    <w:lvl w:ilvl="0" w:tplc="E80A4508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C34087D"/>
    <w:multiLevelType w:val="multilevel"/>
    <w:tmpl w:val="696A6670"/>
    <w:lvl w:ilvl="0">
      <w:start w:val="1"/>
      <w:numFmt w:val="decimal"/>
      <w:pStyle w:val="a"/>
      <w:suff w:val="space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pStyle w:val="a0"/>
      <w:isLgl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0" w15:restartNumberingAfterBreak="0">
    <w:nsid w:val="6BB24818"/>
    <w:multiLevelType w:val="hybridMultilevel"/>
    <w:tmpl w:val="78220CDE"/>
    <w:lvl w:ilvl="0" w:tplc="8A00C78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5185DC1"/>
    <w:multiLevelType w:val="hybridMultilevel"/>
    <w:tmpl w:val="35683856"/>
    <w:lvl w:ilvl="0" w:tplc="DDF2320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15017504">
    <w:abstractNumId w:val="9"/>
  </w:num>
  <w:num w:numId="2" w16cid:durableId="958338698">
    <w:abstractNumId w:val="6"/>
  </w:num>
  <w:num w:numId="3" w16cid:durableId="1017266490">
    <w:abstractNumId w:val="4"/>
  </w:num>
  <w:num w:numId="4" w16cid:durableId="274143616">
    <w:abstractNumId w:val="3"/>
  </w:num>
  <w:num w:numId="5" w16cid:durableId="531116630">
    <w:abstractNumId w:val="9"/>
  </w:num>
  <w:num w:numId="6" w16cid:durableId="1870332678">
    <w:abstractNumId w:val="7"/>
  </w:num>
  <w:num w:numId="7" w16cid:durableId="651367658">
    <w:abstractNumId w:val="1"/>
  </w:num>
  <w:num w:numId="8" w16cid:durableId="218445826">
    <w:abstractNumId w:val="11"/>
  </w:num>
  <w:num w:numId="9" w16cid:durableId="1365522064">
    <w:abstractNumId w:val="2"/>
  </w:num>
  <w:num w:numId="10" w16cid:durableId="893008249">
    <w:abstractNumId w:val="9"/>
  </w:num>
  <w:num w:numId="11" w16cid:durableId="738727">
    <w:abstractNumId w:val="9"/>
  </w:num>
  <w:num w:numId="12" w16cid:durableId="600801191">
    <w:abstractNumId w:val="9"/>
  </w:num>
  <w:num w:numId="13" w16cid:durableId="463281838">
    <w:abstractNumId w:val="9"/>
  </w:num>
  <w:num w:numId="14" w16cid:durableId="522595750">
    <w:abstractNumId w:val="10"/>
  </w:num>
  <w:num w:numId="15" w16cid:durableId="866068469">
    <w:abstractNumId w:val="5"/>
  </w:num>
  <w:num w:numId="16" w16cid:durableId="339354460">
    <w:abstractNumId w:val="0"/>
  </w:num>
  <w:num w:numId="17" w16cid:durableId="1444307893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08"/>
  <w:hyphenationZone w:val="14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8AF"/>
    <w:rsid w:val="000016A5"/>
    <w:rsid w:val="00001C69"/>
    <w:rsid w:val="00017F41"/>
    <w:rsid w:val="0002001C"/>
    <w:rsid w:val="000279AC"/>
    <w:rsid w:val="000367E6"/>
    <w:rsid w:val="00040615"/>
    <w:rsid w:val="000408A2"/>
    <w:rsid w:val="0004637A"/>
    <w:rsid w:val="00054682"/>
    <w:rsid w:val="000558A5"/>
    <w:rsid w:val="000677BC"/>
    <w:rsid w:val="00067CEA"/>
    <w:rsid w:val="00070B61"/>
    <w:rsid w:val="00071223"/>
    <w:rsid w:val="00073188"/>
    <w:rsid w:val="0007468B"/>
    <w:rsid w:val="000802FF"/>
    <w:rsid w:val="0008694D"/>
    <w:rsid w:val="0009278B"/>
    <w:rsid w:val="00093FCB"/>
    <w:rsid w:val="000940C5"/>
    <w:rsid w:val="0009661F"/>
    <w:rsid w:val="000A4AFE"/>
    <w:rsid w:val="000B4B65"/>
    <w:rsid w:val="000C1475"/>
    <w:rsid w:val="000C389E"/>
    <w:rsid w:val="000C6948"/>
    <w:rsid w:val="000D3F19"/>
    <w:rsid w:val="000D43B8"/>
    <w:rsid w:val="000D5182"/>
    <w:rsid w:val="000D72C7"/>
    <w:rsid w:val="000F5B86"/>
    <w:rsid w:val="00101581"/>
    <w:rsid w:val="00101E49"/>
    <w:rsid w:val="00103F16"/>
    <w:rsid w:val="001243CB"/>
    <w:rsid w:val="001254F4"/>
    <w:rsid w:val="00130151"/>
    <w:rsid w:val="001326E8"/>
    <w:rsid w:val="00135527"/>
    <w:rsid w:val="001364DB"/>
    <w:rsid w:val="00137950"/>
    <w:rsid w:val="001402F5"/>
    <w:rsid w:val="00143DE2"/>
    <w:rsid w:val="00147364"/>
    <w:rsid w:val="0015008D"/>
    <w:rsid w:val="00156122"/>
    <w:rsid w:val="00161BDB"/>
    <w:rsid w:val="001671BF"/>
    <w:rsid w:val="001678FF"/>
    <w:rsid w:val="00180658"/>
    <w:rsid w:val="00186EA5"/>
    <w:rsid w:val="001A6136"/>
    <w:rsid w:val="001B2BD5"/>
    <w:rsid w:val="001D4764"/>
    <w:rsid w:val="001F3840"/>
    <w:rsid w:val="001F4182"/>
    <w:rsid w:val="0020003F"/>
    <w:rsid w:val="00204D8F"/>
    <w:rsid w:val="00215C29"/>
    <w:rsid w:val="002416DB"/>
    <w:rsid w:val="00251F0E"/>
    <w:rsid w:val="00252E4F"/>
    <w:rsid w:val="00252F54"/>
    <w:rsid w:val="0025615E"/>
    <w:rsid w:val="00257DD7"/>
    <w:rsid w:val="002711B6"/>
    <w:rsid w:val="0027151B"/>
    <w:rsid w:val="002724AE"/>
    <w:rsid w:val="00282C6E"/>
    <w:rsid w:val="00287CC0"/>
    <w:rsid w:val="002A0444"/>
    <w:rsid w:val="002A4E7C"/>
    <w:rsid w:val="002A68FC"/>
    <w:rsid w:val="002A7208"/>
    <w:rsid w:val="002B482C"/>
    <w:rsid w:val="002C6508"/>
    <w:rsid w:val="002C68CF"/>
    <w:rsid w:val="002E302C"/>
    <w:rsid w:val="002E601A"/>
    <w:rsid w:val="002F0FB0"/>
    <w:rsid w:val="00317F1D"/>
    <w:rsid w:val="003229DD"/>
    <w:rsid w:val="003316B8"/>
    <w:rsid w:val="00341838"/>
    <w:rsid w:val="00343A2E"/>
    <w:rsid w:val="00347B29"/>
    <w:rsid w:val="003513D8"/>
    <w:rsid w:val="0035396B"/>
    <w:rsid w:val="00355407"/>
    <w:rsid w:val="00362734"/>
    <w:rsid w:val="00362B24"/>
    <w:rsid w:val="003651AB"/>
    <w:rsid w:val="003671E9"/>
    <w:rsid w:val="00370351"/>
    <w:rsid w:val="00384FD5"/>
    <w:rsid w:val="00385603"/>
    <w:rsid w:val="00393F1E"/>
    <w:rsid w:val="00395DE2"/>
    <w:rsid w:val="003A531F"/>
    <w:rsid w:val="003A57F1"/>
    <w:rsid w:val="003B3CA4"/>
    <w:rsid w:val="003B718E"/>
    <w:rsid w:val="003C1D4D"/>
    <w:rsid w:val="003D388D"/>
    <w:rsid w:val="003E10CA"/>
    <w:rsid w:val="003E6E12"/>
    <w:rsid w:val="00402ACA"/>
    <w:rsid w:val="00407721"/>
    <w:rsid w:val="0042612A"/>
    <w:rsid w:val="00441E87"/>
    <w:rsid w:val="004442DF"/>
    <w:rsid w:val="00444DC6"/>
    <w:rsid w:val="00445F62"/>
    <w:rsid w:val="00452F00"/>
    <w:rsid w:val="00456CBA"/>
    <w:rsid w:val="00460122"/>
    <w:rsid w:val="00460690"/>
    <w:rsid w:val="00460DCF"/>
    <w:rsid w:val="00467DFB"/>
    <w:rsid w:val="00472D9E"/>
    <w:rsid w:val="004752EA"/>
    <w:rsid w:val="004802D4"/>
    <w:rsid w:val="004835BA"/>
    <w:rsid w:val="004A3E2C"/>
    <w:rsid w:val="004B29AF"/>
    <w:rsid w:val="004B7786"/>
    <w:rsid w:val="004B7ECC"/>
    <w:rsid w:val="004D6C2E"/>
    <w:rsid w:val="004E1385"/>
    <w:rsid w:val="004E3175"/>
    <w:rsid w:val="004F6FA4"/>
    <w:rsid w:val="00505152"/>
    <w:rsid w:val="00535284"/>
    <w:rsid w:val="00542144"/>
    <w:rsid w:val="00551193"/>
    <w:rsid w:val="00562826"/>
    <w:rsid w:val="005704AB"/>
    <w:rsid w:val="00571977"/>
    <w:rsid w:val="005746F7"/>
    <w:rsid w:val="00577869"/>
    <w:rsid w:val="005850D1"/>
    <w:rsid w:val="00592848"/>
    <w:rsid w:val="005A5DC6"/>
    <w:rsid w:val="005D1A7B"/>
    <w:rsid w:val="005D5400"/>
    <w:rsid w:val="005E29FC"/>
    <w:rsid w:val="00602DBB"/>
    <w:rsid w:val="006058CC"/>
    <w:rsid w:val="00610267"/>
    <w:rsid w:val="006122F7"/>
    <w:rsid w:val="006223E7"/>
    <w:rsid w:val="006240C5"/>
    <w:rsid w:val="00625B89"/>
    <w:rsid w:val="00633ABF"/>
    <w:rsid w:val="006345BB"/>
    <w:rsid w:val="00640961"/>
    <w:rsid w:val="00651C07"/>
    <w:rsid w:val="00653AC9"/>
    <w:rsid w:val="00667780"/>
    <w:rsid w:val="006726E9"/>
    <w:rsid w:val="00676E8B"/>
    <w:rsid w:val="00677780"/>
    <w:rsid w:val="00681BAB"/>
    <w:rsid w:val="00685021"/>
    <w:rsid w:val="006A4EC5"/>
    <w:rsid w:val="006A717B"/>
    <w:rsid w:val="006B016F"/>
    <w:rsid w:val="006C3E7F"/>
    <w:rsid w:val="006C4DD2"/>
    <w:rsid w:val="006C670A"/>
    <w:rsid w:val="006C7465"/>
    <w:rsid w:val="006D2217"/>
    <w:rsid w:val="006E621B"/>
    <w:rsid w:val="006F4E44"/>
    <w:rsid w:val="00700911"/>
    <w:rsid w:val="00701855"/>
    <w:rsid w:val="00705F11"/>
    <w:rsid w:val="0071623E"/>
    <w:rsid w:val="00716AD6"/>
    <w:rsid w:val="0072128D"/>
    <w:rsid w:val="00730C51"/>
    <w:rsid w:val="00736B4E"/>
    <w:rsid w:val="00741450"/>
    <w:rsid w:val="0075210D"/>
    <w:rsid w:val="00755897"/>
    <w:rsid w:val="00760647"/>
    <w:rsid w:val="00770E04"/>
    <w:rsid w:val="007862EF"/>
    <w:rsid w:val="007A4F4D"/>
    <w:rsid w:val="007B1509"/>
    <w:rsid w:val="007B67DE"/>
    <w:rsid w:val="007B69EE"/>
    <w:rsid w:val="007D39BC"/>
    <w:rsid w:val="007D4AC1"/>
    <w:rsid w:val="007D6390"/>
    <w:rsid w:val="007D684F"/>
    <w:rsid w:val="007F203A"/>
    <w:rsid w:val="00813F59"/>
    <w:rsid w:val="00814DB7"/>
    <w:rsid w:val="00815E4A"/>
    <w:rsid w:val="00821F43"/>
    <w:rsid w:val="00845FED"/>
    <w:rsid w:val="008460C5"/>
    <w:rsid w:val="00856B02"/>
    <w:rsid w:val="0086459E"/>
    <w:rsid w:val="00864CCF"/>
    <w:rsid w:val="008755E8"/>
    <w:rsid w:val="0087665A"/>
    <w:rsid w:val="00876E6E"/>
    <w:rsid w:val="008947F8"/>
    <w:rsid w:val="008A7962"/>
    <w:rsid w:val="008B51B2"/>
    <w:rsid w:val="008D4026"/>
    <w:rsid w:val="008D7939"/>
    <w:rsid w:val="008E45E4"/>
    <w:rsid w:val="008E4AEC"/>
    <w:rsid w:val="008E75EA"/>
    <w:rsid w:val="008E7E18"/>
    <w:rsid w:val="008F512A"/>
    <w:rsid w:val="008F73E0"/>
    <w:rsid w:val="008F7FF2"/>
    <w:rsid w:val="0090597D"/>
    <w:rsid w:val="00905B2C"/>
    <w:rsid w:val="009077BD"/>
    <w:rsid w:val="00911C53"/>
    <w:rsid w:val="00911F35"/>
    <w:rsid w:val="009146EA"/>
    <w:rsid w:val="0095086D"/>
    <w:rsid w:val="00953764"/>
    <w:rsid w:val="00955BD4"/>
    <w:rsid w:val="00970967"/>
    <w:rsid w:val="009713CD"/>
    <w:rsid w:val="00980BEC"/>
    <w:rsid w:val="009853DE"/>
    <w:rsid w:val="00987ADB"/>
    <w:rsid w:val="00987B19"/>
    <w:rsid w:val="009A3755"/>
    <w:rsid w:val="009B2994"/>
    <w:rsid w:val="009B4584"/>
    <w:rsid w:val="009C193D"/>
    <w:rsid w:val="009C1DBF"/>
    <w:rsid w:val="009D2EAC"/>
    <w:rsid w:val="009D5E02"/>
    <w:rsid w:val="00A36BCB"/>
    <w:rsid w:val="00A402B9"/>
    <w:rsid w:val="00A433BD"/>
    <w:rsid w:val="00A4392C"/>
    <w:rsid w:val="00A449C6"/>
    <w:rsid w:val="00A55628"/>
    <w:rsid w:val="00A62DF0"/>
    <w:rsid w:val="00A659C7"/>
    <w:rsid w:val="00A70724"/>
    <w:rsid w:val="00A71681"/>
    <w:rsid w:val="00A837F3"/>
    <w:rsid w:val="00A869AB"/>
    <w:rsid w:val="00A973CF"/>
    <w:rsid w:val="00AA72D6"/>
    <w:rsid w:val="00AA76E8"/>
    <w:rsid w:val="00AB20E8"/>
    <w:rsid w:val="00AB4E41"/>
    <w:rsid w:val="00AB68A0"/>
    <w:rsid w:val="00AC0203"/>
    <w:rsid w:val="00AD2608"/>
    <w:rsid w:val="00AD3E8B"/>
    <w:rsid w:val="00B05708"/>
    <w:rsid w:val="00B057DE"/>
    <w:rsid w:val="00B06CCB"/>
    <w:rsid w:val="00B214F8"/>
    <w:rsid w:val="00B22DCB"/>
    <w:rsid w:val="00B235FB"/>
    <w:rsid w:val="00B24AE1"/>
    <w:rsid w:val="00B2541F"/>
    <w:rsid w:val="00B2626D"/>
    <w:rsid w:val="00B328BF"/>
    <w:rsid w:val="00B40E10"/>
    <w:rsid w:val="00B57AF8"/>
    <w:rsid w:val="00B60A9E"/>
    <w:rsid w:val="00B61612"/>
    <w:rsid w:val="00B65BA9"/>
    <w:rsid w:val="00B83760"/>
    <w:rsid w:val="00B8609F"/>
    <w:rsid w:val="00B86885"/>
    <w:rsid w:val="00B90D9F"/>
    <w:rsid w:val="00B94888"/>
    <w:rsid w:val="00BA4814"/>
    <w:rsid w:val="00BA703D"/>
    <w:rsid w:val="00BB4D55"/>
    <w:rsid w:val="00BB5D18"/>
    <w:rsid w:val="00BB7DD7"/>
    <w:rsid w:val="00BC0A64"/>
    <w:rsid w:val="00BC0F56"/>
    <w:rsid w:val="00BC528A"/>
    <w:rsid w:val="00BD20AD"/>
    <w:rsid w:val="00BE5890"/>
    <w:rsid w:val="00BF4BC4"/>
    <w:rsid w:val="00BF6101"/>
    <w:rsid w:val="00C06B45"/>
    <w:rsid w:val="00C11EA9"/>
    <w:rsid w:val="00C16893"/>
    <w:rsid w:val="00C30665"/>
    <w:rsid w:val="00C3390C"/>
    <w:rsid w:val="00C45C7D"/>
    <w:rsid w:val="00C51FD3"/>
    <w:rsid w:val="00C614DD"/>
    <w:rsid w:val="00C65DFE"/>
    <w:rsid w:val="00C80AC2"/>
    <w:rsid w:val="00C8668D"/>
    <w:rsid w:val="00CA18C4"/>
    <w:rsid w:val="00CD1097"/>
    <w:rsid w:val="00CD5E58"/>
    <w:rsid w:val="00CE78A4"/>
    <w:rsid w:val="00CF2170"/>
    <w:rsid w:val="00CF2616"/>
    <w:rsid w:val="00D015F6"/>
    <w:rsid w:val="00D044F8"/>
    <w:rsid w:val="00D07297"/>
    <w:rsid w:val="00D07B47"/>
    <w:rsid w:val="00D24D7B"/>
    <w:rsid w:val="00D36C4A"/>
    <w:rsid w:val="00D478C9"/>
    <w:rsid w:val="00D545AC"/>
    <w:rsid w:val="00D61508"/>
    <w:rsid w:val="00D703F4"/>
    <w:rsid w:val="00D70885"/>
    <w:rsid w:val="00D708EF"/>
    <w:rsid w:val="00D75B58"/>
    <w:rsid w:val="00D75E22"/>
    <w:rsid w:val="00D76A46"/>
    <w:rsid w:val="00D81658"/>
    <w:rsid w:val="00D842A2"/>
    <w:rsid w:val="00D84962"/>
    <w:rsid w:val="00DA24F9"/>
    <w:rsid w:val="00DA2750"/>
    <w:rsid w:val="00DA2BD1"/>
    <w:rsid w:val="00DA3424"/>
    <w:rsid w:val="00DA3665"/>
    <w:rsid w:val="00DD61D7"/>
    <w:rsid w:val="00DE1351"/>
    <w:rsid w:val="00DF6EE9"/>
    <w:rsid w:val="00E06E0D"/>
    <w:rsid w:val="00E1591C"/>
    <w:rsid w:val="00E17977"/>
    <w:rsid w:val="00E22ED3"/>
    <w:rsid w:val="00E2741B"/>
    <w:rsid w:val="00E46A23"/>
    <w:rsid w:val="00E46F78"/>
    <w:rsid w:val="00E5591C"/>
    <w:rsid w:val="00E559A3"/>
    <w:rsid w:val="00E602F3"/>
    <w:rsid w:val="00E827DA"/>
    <w:rsid w:val="00E92E5F"/>
    <w:rsid w:val="00E95A50"/>
    <w:rsid w:val="00EB01C9"/>
    <w:rsid w:val="00EB7D28"/>
    <w:rsid w:val="00ED18AF"/>
    <w:rsid w:val="00ED47DE"/>
    <w:rsid w:val="00EE6CFA"/>
    <w:rsid w:val="00EF1A03"/>
    <w:rsid w:val="00F03017"/>
    <w:rsid w:val="00F03460"/>
    <w:rsid w:val="00F0465F"/>
    <w:rsid w:val="00F15598"/>
    <w:rsid w:val="00F22AA2"/>
    <w:rsid w:val="00F2330B"/>
    <w:rsid w:val="00F23DA1"/>
    <w:rsid w:val="00F27CE6"/>
    <w:rsid w:val="00F37008"/>
    <w:rsid w:val="00F37AA4"/>
    <w:rsid w:val="00F412AF"/>
    <w:rsid w:val="00F43CE8"/>
    <w:rsid w:val="00F51FFF"/>
    <w:rsid w:val="00F52BC7"/>
    <w:rsid w:val="00F63DDD"/>
    <w:rsid w:val="00F97940"/>
    <w:rsid w:val="00FA3BC5"/>
    <w:rsid w:val="00FB2E9C"/>
    <w:rsid w:val="00FC6310"/>
    <w:rsid w:val="00FE3B2D"/>
    <w:rsid w:val="00FE4F6A"/>
    <w:rsid w:val="00FF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4BB82"/>
  <w15:chartTrackingRefBased/>
  <w15:docId w15:val="{FEF3F744-6D3D-4BC7-BA52-849D22692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505152"/>
    <w:pPr>
      <w:spacing w:after="0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CE78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D044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044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044F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044F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Заголовок без нумерации"/>
    <w:basedOn w:val="1"/>
    <w:link w:val="a6"/>
    <w:qFormat/>
    <w:rsid w:val="00CE78A4"/>
    <w:pPr>
      <w:spacing w:after="320" w:line="240" w:lineRule="auto"/>
      <w:ind w:right="-2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eastAsia="be-BY"/>
    </w:rPr>
  </w:style>
  <w:style w:type="paragraph" w:customStyle="1" w:styleId="a7">
    <w:name w:val="Осн текст"/>
    <w:basedOn w:val="a1"/>
    <w:link w:val="a8"/>
    <w:qFormat/>
    <w:rsid w:val="00955BD4"/>
    <w:pPr>
      <w:spacing w:line="240" w:lineRule="auto"/>
      <w:ind w:right="-2" w:firstLine="708"/>
      <w:jc w:val="both"/>
    </w:pPr>
    <w:rPr>
      <w:rFonts w:eastAsia="Times New Roman" w:cs="Times New Roman"/>
      <w:color w:val="000000"/>
      <w:szCs w:val="28"/>
      <w:lang w:val="en-US" w:eastAsia="be-BY"/>
    </w:rPr>
  </w:style>
  <w:style w:type="character" w:customStyle="1" w:styleId="a6">
    <w:name w:val="Заголовок без нумерации Знак"/>
    <w:basedOn w:val="a2"/>
    <w:link w:val="a5"/>
    <w:rsid w:val="00A449C6"/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val="ru-RU" w:eastAsia="be-BY"/>
    </w:rPr>
  </w:style>
  <w:style w:type="paragraph" w:customStyle="1" w:styleId="a">
    <w:name w:val="заголовок номерной"/>
    <w:basedOn w:val="1"/>
    <w:next w:val="a7"/>
    <w:link w:val="a9"/>
    <w:autoRedefine/>
    <w:qFormat/>
    <w:rsid w:val="00856B02"/>
    <w:pPr>
      <w:numPr>
        <w:numId w:val="1"/>
      </w:numPr>
      <w:spacing w:before="320" w:after="320" w:line="240" w:lineRule="auto"/>
    </w:pPr>
    <w:rPr>
      <w:rFonts w:ascii="Times New Roman" w:eastAsia="Times New Roman" w:hAnsi="Times New Roman" w:cs="Times New Roman"/>
      <w:b/>
      <w:caps/>
      <w:color w:val="000000"/>
      <w:sz w:val="28"/>
      <w:szCs w:val="28"/>
      <w:lang w:eastAsia="be-BY"/>
    </w:rPr>
  </w:style>
  <w:style w:type="character" w:customStyle="1" w:styleId="a8">
    <w:name w:val="Осн текст Знак"/>
    <w:basedOn w:val="a2"/>
    <w:link w:val="a7"/>
    <w:rsid w:val="00955BD4"/>
    <w:rPr>
      <w:rFonts w:ascii="Times New Roman" w:eastAsia="Times New Roman" w:hAnsi="Times New Roman" w:cs="Times New Roman"/>
      <w:color w:val="000000"/>
      <w:sz w:val="28"/>
      <w:szCs w:val="28"/>
      <w:lang w:val="en-US" w:eastAsia="be-BY"/>
    </w:rPr>
  </w:style>
  <w:style w:type="paragraph" w:styleId="aa">
    <w:name w:val="header"/>
    <w:basedOn w:val="a1"/>
    <w:link w:val="ab"/>
    <w:uiPriority w:val="99"/>
    <w:unhideWhenUsed/>
    <w:rsid w:val="009853D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заголовок номерной Знак"/>
    <w:basedOn w:val="a2"/>
    <w:link w:val="a"/>
    <w:rsid w:val="00856B02"/>
    <w:rPr>
      <w:rFonts w:ascii="Times New Roman" w:eastAsia="Times New Roman" w:hAnsi="Times New Roman" w:cs="Times New Roman"/>
      <w:b/>
      <w:caps/>
      <w:color w:val="000000"/>
      <w:sz w:val="28"/>
      <w:szCs w:val="28"/>
      <w:lang w:val="ru-RU" w:eastAsia="be-BY"/>
    </w:rPr>
  </w:style>
  <w:style w:type="character" w:customStyle="1" w:styleId="ab">
    <w:name w:val="Верхний колонтитул Знак"/>
    <w:basedOn w:val="a2"/>
    <w:link w:val="aa"/>
    <w:uiPriority w:val="99"/>
    <w:rsid w:val="009853DE"/>
    <w:rPr>
      <w:rFonts w:ascii="Times New Roman" w:hAnsi="Times New Roman"/>
      <w:sz w:val="28"/>
      <w:lang w:val="ru-RU"/>
    </w:rPr>
  </w:style>
  <w:style w:type="paragraph" w:styleId="ac">
    <w:name w:val="footer"/>
    <w:basedOn w:val="a1"/>
    <w:link w:val="ad"/>
    <w:uiPriority w:val="99"/>
    <w:unhideWhenUsed/>
    <w:rsid w:val="009853DE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853DE"/>
    <w:rPr>
      <w:rFonts w:ascii="Times New Roman" w:hAnsi="Times New Roman"/>
      <w:sz w:val="28"/>
      <w:lang w:val="ru-RU"/>
    </w:rPr>
  </w:style>
  <w:style w:type="character" w:customStyle="1" w:styleId="10">
    <w:name w:val="Заголовок 1 Знак"/>
    <w:basedOn w:val="a2"/>
    <w:link w:val="1"/>
    <w:uiPriority w:val="9"/>
    <w:rsid w:val="00CE78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11">
    <w:name w:val="toc 1"/>
    <w:basedOn w:val="a1"/>
    <w:next w:val="a1"/>
    <w:autoRedefine/>
    <w:uiPriority w:val="39"/>
    <w:unhideWhenUsed/>
    <w:rsid w:val="00CE78A4"/>
    <w:pPr>
      <w:spacing w:after="100"/>
    </w:pPr>
  </w:style>
  <w:style w:type="paragraph" w:styleId="ae">
    <w:name w:val="TOC Heading"/>
    <w:basedOn w:val="1"/>
    <w:next w:val="a1"/>
    <w:uiPriority w:val="39"/>
    <w:unhideWhenUsed/>
    <w:qFormat/>
    <w:rsid w:val="00CE78A4"/>
    <w:pPr>
      <w:outlineLvl w:val="9"/>
    </w:pPr>
    <w:rPr>
      <w:lang w:val="be-BY" w:eastAsia="be-BY"/>
    </w:rPr>
  </w:style>
  <w:style w:type="character" w:styleId="af">
    <w:name w:val="Hyperlink"/>
    <w:basedOn w:val="a2"/>
    <w:uiPriority w:val="99"/>
    <w:unhideWhenUsed/>
    <w:rsid w:val="00CE78A4"/>
    <w:rPr>
      <w:color w:val="0563C1" w:themeColor="hyperlink"/>
      <w:u w:val="single"/>
    </w:rPr>
  </w:style>
  <w:style w:type="paragraph" w:styleId="af0">
    <w:name w:val="Title"/>
    <w:basedOn w:val="a1"/>
    <w:next w:val="a1"/>
    <w:link w:val="af1"/>
    <w:uiPriority w:val="10"/>
    <w:qFormat/>
    <w:rsid w:val="00CE78A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2"/>
    <w:link w:val="af0"/>
    <w:uiPriority w:val="10"/>
    <w:rsid w:val="00CE78A4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20">
    <w:name w:val="Заголовок 2 Знак"/>
    <w:basedOn w:val="a2"/>
    <w:link w:val="2"/>
    <w:uiPriority w:val="9"/>
    <w:semiHidden/>
    <w:rsid w:val="00D044F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D044F8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D044F8"/>
    <w:rPr>
      <w:rFonts w:asciiTheme="majorHAnsi" w:eastAsiaTheme="majorEastAsia" w:hAnsiTheme="majorHAnsi" w:cstheme="majorBidi"/>
      <w:color w:val="2F5496" w:themeColor="accent1" w:themeShade="BF"/>
      <w:sz w:val="28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D044F8"/>
    <w:rPr>
      <w:rFonts w:asciiTheme="majorHAnsi" w:eastAsiaTheme="majorEastAsia" w:hAnsiTheme="majorHAnsi" w:cstheme="majorBidi"/>
      <w:color w:val="1F3763" w:themeColor="accent1" w:themeShade="7F"/>
      <w:sz w:val="28"/>
      <w:lang w:val="ru-RU"/>
    </w:rPr>
  </w:style>
  <w:style w:type="paragraph" w:customStyle="1" w:styleId="a0">
    <w:name w:val="подзаголовок"/>
    <w:basedOn w:val="2"/>
    <w:next w:val="a7"/>
    <w:link w:val="af2"/>
    <w:autoRedefine/>
    <w:qFormat/>
    <w:rsid w:val="005746F7"/>
    <w:pPr>
      <w:numPr>
        <w:ilvl w:val="1"/>
        <w:numId w:val="1"/>
      </w:numPr>
      <w:spacing w:before="320" w:after="320" w:line="240" w:lineRule="auto"/>
    </w:pPr>
    <w:rPr>
      <w:rFonts w:ascii="Times New Roman" w:hAnsi="Times New Roman"/>
      <w:b/>
      <w:color w:val="000000" w:themeColor="text1"/>
      <w:sz w:val="28"/>
    </w:rPr>
  </w:style>
  <w:style w:type="character" w:customStyle="1" w:styleId="af2">
    <w:name w:val="подзаголовок Знак"/>
    <w:basedOn w:val="20"/>
    <w:link w:val="a0"/>
    <w:rsid w:val="005746F7"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/>
    </w:rPr>
  </w:style>
  <w:style w:type="paragraph" w:styleId="21">
    <w:name w:val="toc 2"/>
    <w:basedOn w:val="a1"/>
    <w:next w:val="a1"/>
    <w:autoRedefine/>
    <w:uiPriority w:val="39"/>
    <w:unhideWhenUsed/>
    <w:rsid w:val="00813F59"/>
    <w:pPr>
      <w:spacing w:after="100"/>
      <w:ind w:left="280"/>
    </w:pPr>
  </w:style>
  <w:style w:type="character" w:styleId="af3">
    <w:name w:val="Placeholder Text"/>
    <w:basedOn w:val="a2"/>
    <w:uiPriority w:val="99"/>
    <w:semiHidden/>
    <w:rsid w:val="004B29AF"/>
    <w:rPr>
      <w:color w:val="808080"/>
    </w:rPr>
  </w:style>
  <w:style w:type="character" w:customStyle="1" w:styleId="fontstyle01">
    <w:name w:val="fontstyle01"/>
    <w:basedOn w:val="a2"/>
    <w:rsid w:val="00B235FB"/>
    <w:rPr>
      <w:rFonts w:ascii="TT1918o00" w:hAnsi="TT1918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2"/>
    <w:rsid w:val="00B235FB"/>
    <w:rPr>
      <w:rFonts w:ascii="TT1976o00" w:hAnsi="TT1976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2"/>
    <w:rsid w:val="00B235FB"/>
    <w:rPr>
      <w:rFonts w:ascii="TT1977o00" w:hAnsi="TT1977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a2"/>
    <w:rsid w:val="00B235FB"/>
    <w:rPr>
      <w:rFonts w:ascii="TT1975o00" w:hAnsi="TT1975o00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51">
    <w:name w:val="fontstyle51"/>
    <w:basedOn w:val="a2"/>
    <w:rsid w:val="00B235FB"/>
    <w:rPr>
      <w:rFonts w:ascii="TT1979o00" w:hAnsi="TT1979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61">
    <w:name w:val="fontstyle61"/>
    <w:basedOn w:val="a2"/>
    <w:rsid w:val="00B235FB"/>
    <w:rPr>
      <w:rFonts w:ascii="TT197Ao00" w:hAnsi="TT197A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71">
    <w:name w:val="fontstyle71"/>
    <w:basedOn w:val="a2"/>
    <w:rsid w:val="00B235FB"/>
    <w:rPr>
      <w:rFonts w:ascii="TT1978o00" w:hAnsi="TT1978o00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81">
    <w:name w:val="fontstyle81"/>
    <w:basedOn w:val="a2"/>
    <w:rsid w:val="00B235FB"/>
    <w:rPr>
      <w:rFonts w:ascii="TT191Ao00" w:hAnsi="TT191Ao00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PlainText">
    <w:name w:val="PlainText"/>
    <w:basedOn w:val="af4"/>
    <w:link w:val="PlainText0"/>
    <w:qFormat/>
    <w:rsid w:val="00071223"/>
    <w:pPr>
      <w:spacing w:after="320" w:line="240" w:lineRule="auto"/>
      <w:ind w:left="0" w:firstLine="709"/>
      <w:jc w:val="both"/>
    </w:pPr>
    <w:rPr>
      <w:rFonts w:cs="Times New Roman"/>
      <w:color w:val="000000" w:themeColor="text1"/>
      <w:szCs w:val="28"/>
    </w:rPr>
  </w:style>
  <w:style w:type="character" w:customStyle="1" w:styleId="PlainText0">
    <w:name w:val="PlainText Знак"/>
    <w:basedOn w:val="a2"/>
    <w:link w:val="PlainText"/>
    <w:rsid w:val="00071223"/>
    <w:rPr>
      <w:rFonts w:ascii="Times New Roman" w:hAnsi="Times New Roman" w:cs="Times New Roman"/>
      <w:color w:val="000000" w:themeColor="text1"/>
      <w:sz w:val="28"/>
      <w:szCs w:val="28"/>
      <w:lang w:val="ru-RU"/>
    </w:rPr>
  </w:style>
  <w:style w:type="paragraph" w:styleId="af4">
    <w:name w:val="List Paragraph"/>
    <w:basedOn w:val="a1"/>
    <w:uiPriority w:val="34"/>
    <w:qFormat/>
    <w:rsid w:val="00071223"/>
    <w:pPr>
      <w:ind w:left="720"/>
      <w:contextualSpacing/>
    </w:pPr>
  </w:style>
  <w:style w:type="character" w:styleId="af5">
    <w:name w:val="annotation reference"/>
    <w:basedOn w:val="a2"/>
    <w:uiPriority w:val="99"/>
    <w:semiHidden/>
    <w:unhideWhenUsed/>
    <w:rsid w:val="00F2330B"/>
    <w:rPr>
      <w:sz w:val="16"/>
      <w:szCs w:val="16"/>
    </w:rPr>
  </w:style>
  <w:style w:type="paragraph" w:styleId="af6">
    <w:name w:val="annotation text"/>
    <w:basedOn w:val="a1"/>
    <w:link w:val="af7"/>
    <w:uiPriority w:val="99"/>
    <w:semiHidden/>
    <w:unhideWhenUsed/>
    <w:rsid w:val="00F2330B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2"/>
    <w:link w:val="af6"/>
    <w:uiPriority w:val="99"/>
    <w:semiHidden/>
    <w:rsid w:val="00F2330B"/>
    <w:rPr>
      <w:rFonts w:ascii="Times New Roman" w:hAnsi="Times New Roman"/>
      <w:sz w:val="20"/>
      <w:szCs w:val="20"/>
      <w:lang w:val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F2330B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F2330B"/>
    <w:rPr>
      <w:rFonts w:ascii="Times New Roman" w:hAnsi="Times New Roman"/>
      <w:b/>
      <w:bCs/>
      <w:sz w:val="20"/>
      <w:szCs w:val="20"/>
      <w:lang w:val="ru-RU"/>
    </w:rPr>
  </w:style>
  <w:style w:type="table" w:styleId="afa">
    <w:name w:val="Table Grid"/>
    <w:basedOn w:val="a3"/>
    <w:uiPriority w:val="39"/>
    <w:rsid w:val="00C51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b">
    <w:name w:val="Обычный (ГОСТ)"/>
    <w:basedOn w:val="afc"/>
    <w:link w:val="afd"/>
    <w:qFormat/>
    <w:rsid w:val="00D07B47"/>
    <w:pPr>
      <w:spacing w:line="240" w:lineRule="auto"/>
      <w:ind w:left="0" w:firstLine="709"/>
      <w:jc w:val="both"/>
    </w:pPr>
    <w:rPr>
      <w:rFonts w:eastAsia="Times New Roman" w:cs="Times New Roman"/>
      <w:szCs w:val="28"/>
      <w:lang w:eastAsia="ru-RU"/>
    </w:rPr>
  </w:style>
  <w:style w:type="character" w:customStyle="1" w:styleId="afd">
    <w:name w:val="Обычный (ГОСТ) Знак"/>
    <w:basedOn w:val="a2"/>
    <w:link w:val="afb"/>
    <w:rsid w:val="00D07B47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afc">
    <w:name w:val="Normal Indent"/>
    <w:basedOn w:val="a1"/>
    <w:uiPriority w:val="99"/>
    <w:semiHidden/>
    <w:unhideWhenUsed/>
    <w:rsid w:val="00D07B47"/>
    <w:pPr>
      <w:ind w:left="708"/>
    </w:pPr>
  </w:style>
  <w:style w:type="paragraph" w:styleId="afe">
    <w:name w:val="Body Text"/>
    <w:basedOn w:val="a1"/>
    <w:link w:val="aff"/>
    <w:rsid w:val="009713CD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jc w:val="both"/>
      <w:textAlignment w:val="baseline"/>
    </w:pPr>
    <w:rPr>
      <w:rFonts w:eastAsia="Times New Roman" w:cs="Times New Roman"/>
      <w:sz w:val="22"/>
      <w:szCs w:val="20"/>
      <w:lang w:eastAsia="ru-RU"/>
    </w:rPr>
  </w:style>
  <w:style w:type="character" w:customStyle="1" w:styleId="aff">
    <w:name w:val="Основной текст Знак"/>
    <w:basedOn w:val="a2"/>
    <w:link w:val="afe"/>
    <w:rsid w:val="009713CD"/>
    <w:rPr>
      <w:rFonts w:ascii="Times New Roman" w:eastAsia="Times New Roman" w:hAnsi="Times New Roman" w:cs="Times New Roman"/>
      <w:szCs w:val="20"/>
      <w:lang w:val="ru-RU" w:eastAsia="ru-RU"/>
    </w:rPr>
  </w:style>
  <w:style w:type="paragraph" w:styleId="aff0">
    <w:name w:val="Normal (Web)"/>
    <w:basedOn w:val="a1"/>
    <w:uiPriority w:val="99"/>
    <w:semiHidden/>
    <w:unhideWhenUsed/>
    <w:rsid w:val="000463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BY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2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3008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7574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8249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4732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0016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1228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929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4" Type="http://schemas.openxmlformats.org/officeDocument/2006/relationships/settings" Target="settings.xm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A38B1-B5C6-4F16-A217-7546E7132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2125</Words>
  <Characters>15527</Characters>
  <Application>Microsoft Office Word</Application>
  <DocSecurity>0</DocSecurity>
  <Lines>421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СХД. Лабораторная работа №1. Среда системы хранения</vt:lpstr>
    </vt:vector>
  </TitlesOfParts>
  <Company/>
  <LinksUpToDate>false</LinksUpToDate>
  <CharactersWithSpaces>17643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ХиУД. Контрольная работа. Облачные вычисления</dc:title>
  <dc:subject>Системы хранения данных</dc:subject>
  <dc:creator>Власов Р. Е.</dc:creator>
  <cp:keywords/>
  <dc:description/>
  <cp:lastModifiedBy>Власов Р. Е.</cp:lastModifiedBy>
  <cp:revision>3</cp:revision>
  <dcterms:created xsi:type="dcterms:W3CDTF">2026-10-25T20:54:00Z</dcterms:created>
  <dcterms:modified xsi:type="dcterms:W3CDTF">2026-10-25T20:55:00Z</dcterms:modified>
</cp:coreProperties>
</file>