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98AB3D" w14:textId="77777777" w:rsidR="0095086D" w:rsidRPr="001A7A21" w:rsidRDefault="0095086D" w:rsidP="0095086D">
      <w:pPr>
        <w:spacing w:line="240" w:lineRule="auto"/>
        <w:jc w:val="center"/>
        <w:rPr>
          <w:rFonts w:eastAsia="Times New Roman" w:cs="Times New Roman"/>
          <w:sz w:val="24"/>
          <w:szCs w:val="24"/>
          <w:lang w:eastAsia="be-BY"/>
        </w:rPr>
      </w:pPr>
      <w:r w:rsidRPr="001A7A21">
        <w:rPr>
          <w:rFonts w:eastAsia="Times New Roman" w:cs="Times New Roman"/>
          <w:color w:val="000000"/>
          <w:szCs w:val="28"/>
          <w:lang w:eastAsia="be-BY"/>
        </w:rPr>
        <w:t>Министерство образования Республики Беларусь</w:t>
      </w:r>
    </w:p>
    <w:p w14:paraId="53EE02D9" w14:textId="77777777" w:rsidR="0095086D" w:rsidRPr="001A7A21" w:rsidRDefault="0095086D" w:rsidP="0095086D">
      <w:pPr>
        <w:spacing w:line="240" w:lineRule="auto"/>
        <w:rPr>
          <w:rFonts w:eastAsia="Times New Roman" w:cs="Times New Roman"/>
          <w:sz w:val="24"/>
          <w:szCs w:val="24"/>
          <w:lang w:eastAsia="be-BY"/>
        </w:rPr>
      </w:pPr>
    </w:p>
    <w:p w14:paraId="6CF027CE" w14:textId="77777777" w:rsidR="0095086D" w:rsidRPr="001A7A21" w:rsidRDefault="0095086D" w:rsidP="0095086D">
      <w:pPr>
        <w:spacing w:line="240" w:lineRule="auto"/>
        <w:ind w:firstLine="709"/>
        <w:jc w:val="center"/>
        <w:rPr>
          <w:rFonts w:eastAsia="Times New Roman" w:cs="Times New Roman"/>
          <w:sz w:val="24"/>
          <w:szCs w:val="24"/>
          <w:lang w:eastAsia="be-BY"/>
        </w:rPr>
      </w:pPr>
      <w:r w:rsidRPr="001A7A21">
        <w:rPr>
          <w:rFonts w:eastAsia="Times New Roman" w:cs="Times New Roman"/>
          <w:color w:val="000000"/>
          <w:szCs w:val="28"/>
          <w:lang w:eastAsia="be-BY"/>
        </w:rPr>
        <w:t>Учреждение образования</w:t>
      </w:r>
    </w:p>
    <w:p w14:paraId="687275D5" w14:textId="34DFA43F" w:rsidR="0095086D" w:rsidRPr="001A7A21" w:rsidRDefault="00B24AE1" w:rsidP="0095086D">
      <w:pPr>
        <w:spacing w:line="240" w:lineRule="auto"/>
        <w:ind w:firstLine="709"/>
        <w:jc w:val="center"/>
        <w:rPr>
          <w:rFonts w:eastAsia="Times New Roman" w:cs="Times New Roman"/>
          <w:sz w:val="24"/>
          <w:szCs w:val="24"/>
          <w:lang w:eastAsia="be-BY"/>
        </w:rPr>
      </w:pPr>
      <w:r>
        <w:rPr>
          <w:rFonts w:eastAsia="Times New Roman" w:cs="Times New Roman"/>
          <w:color w:val="000000"/>
          <w:szCs w:val="28"/>
          <w:lang w:eastAsia="be-BY"/>
        </w:rPr>
        <w:t>БЕЛОРУССКИЙ ГОСУДАРСТВЕННЫЙ УНИВЕРСИТЕТ ИНФОРМАТИКИ И РАДИОЭЛЕКТРОНИКИ</w:t>
      </w:r>
    </w:p>
    <w:p w14:paraId="2D84A037" w14:textId="77777777" w:rsidR="009713CD" w:rsidRPr="00F15598" w:rsidRDefault="009713CD" w:rsidP="009713CD">
      <w:pPr>
        <w:spacing w:line="240" w:lineRule="auto"/>
        <w:rPr>
          <w:rFonts w:eastAsia="Times New Roman" w:cs="Times New Roman"/>
          <w:sz w:val="24"/>
          <w:szCs w:val="24"/>
          <w:lang w:eastAsia="be-BY"/>
        </w:rPr>
      </w:pPr>
    </w:p>
    <w:p w14:paraId="5403326C" w14:textId="77777777" w:rsidR="009713CD" w:rsidRPr="001A7A21"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Факультет компьютерных систем и сетей</w:t>
      </w:r>
    </w:p>
    <w:p w14:paraId="19B24E46" w14:textId="77777777" w:rsidR="009713CD" w:rsidRPr="001A7A21" w:rsidRDefault="009713CD" w:rsidP="009713CD">
      <w:pPr>
        <w:spacing w:line="240" w:lineRule="auto"/>
        <w:rPr>
          <w:rFonts w:eastAsia="Times New Roman" w:cs="Times New Roman"/>
          <w:sz w:val="24"/>
          <w:szCs w:val="24"/>
          <w:lang w:eastAsia="be-BY"/>
        </w:rPr>
      </w:pPr>
    </w:p>
    <w:p w14:paraId="6871A2A0" w14:textId="77777777" w:rsidR="009713CD" w:rsidRPr="001A7A21"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Кафедра электронных вычислительных машин</w:t>
      </w:r>
    </w:p>
    <w:p w14:paraId="6A78D41A" w14:textId="77777777" w:rsidR="009713CD" w:rsidRPr="001A7A21" w:rsidRDefault="009713CD" w:rsidP="009713CD">
      <w:pPr>
        <w:spacing w:line="240" w:lineRule="auto"/>
        <w:rPr>
          <w:rFonts w:eastAsia="Times New Roman" w:cs="Times New Roman"/>
          <w:sz w:val="24"/>
          <w:szCs w:val="24"/>
          <w:lang w:eastAsia="be-BY"/>
        </w:rPr>
      </w:pPr>
    </w:p>
    <w:p w14:paraId="386DCC94" w14:textId="77777777" w:rsidR="009713CD" w:rsidRPr="00E1591C"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 xml:space="preserve">Дисциплина: </w:t>
      </w:r>
      <w:r>
        <w:rPr>
          <w:rFonts w:eastAsia="Times New Roman" w:cs="Times New Roman"/>
          <w:color w:val="000000"/>
          <w:szCs w:val="28"/>
          <w:lang w:eastAsia="be-BY"/>
        </w:rPr>
        <w:t>Хранение и управление данными</w:t>
      </w:r>
    </w:p>
    <w:p w14:paraId="15D3D8C5" w14:textId="77777777" w:rsidR="0095086D" w:rsidRDefault="0095086D" w:rsidP="0095086D">
      <w:pPr>
        <w:spacing w:line="240" w:lineRule="auto"/>
        <w:rPr>
          <w:rFonts w:eastAsia="Times New Roman" w:cs="Times New Roman"/>
          <w:sz w:val="24"/>
          <w:szCs w:val="24"/>
          <w:lang w:eastAsia="be-BY"/>
        </w:rPr>
      </w:pPr>
    </w:p>
    <w:p w14:paraId="1A4FE1F0" w14:textId="3D8DFA42" w:rsidR="0095086D" w:rsidRDefault="0095086D" w:rsidP="0095086D">
      <w:pPr>
        <w:spacing w:after="240" w:line="240" w:lineRule="auto"/>
        <w:rPr>
          <w:rFonts w:eastAsia="Times New Roman" w:cs="Times New Roman"/>
          <w:sz w:val="24"/>
          <w:szCs w:val="24"/>
          <w:lang w:eastAsia="be-BY"/>
        </w:rPr>
      </w:pPr>
    </w:p>
    <w:p w14:paraId="059B7827" w14:textId="71EC2B39" w:rsidR="0095086D" w:rsidRDefault="0095086D" w:rsidP="0095086D">
      <w:pPr>
        <w:spacing w:after="240" w:line="240" w:lineRule="auto"/>
        <w:rPr>
          <w:rFonts w:eastAsia="Times New Roman" w:cs="Times New Roman"/>
          <w:sz w:val="24"/>
          <w:szCs w:val="24"/>
          <w:lang w:eastAsia="be-BY"/>
        </w:rPr>
      </w:pPr>
    </w:p>
    <w:p w14:paraId="0C431515" w14:textId="048C8559" w:rsidR="00B24AE1" w:rsidRDefault="00B24AE1" w:rsidP="0095086D">
      <w:pPr>
        <w:spacing w:after="240" w:line="240" w:lineRule="auto"/>
        <w:rPr>
          <w:rFonts w:eastAsia="Times New Roman" w:cs="Times New Roman"/>
          <w:sz w:val="24"/>
          <w:szCs w:val="24"/>
          <w:lang w:eastAsia="be-BY"/>
        </w:rPr>
      </w:pPr>
    </w:p>
    <w:p w14:paraId="1DE45C15" w14:textId="5CAD66AC" w:rsidR="00B24AE1" w:rsidRDefault="00B24AE1" w:rsidP="009713CD">
      <w:pPr>
        <w:spacing w:after="240" w:line="276" w:lineRule="auto"/>
        <w:rPr>
          <w:rFonts w:eastAsia="Times New Roman" w:cs="Times New Roman"/>
          <w:sz w:val="24"/>
          <w:szCs w:val="24"/>
          <w:lang w:eastAsia="be-BY"/>
        </w:rPr>
      </w:pPr>
    </w:p>
    <w:p w14:paraId="0348B48C" w14:textId="77777777" w:rsidR="00B24AE1" w:rsidRPr="001A7A21" w:rsidRDefault="00B24AE1" w:rsidP="009713CD">
      <w:pPr>
        <w:spacing w:after="240" w:line="276" w:lineRule="auto"/>
        <w:rPr>
          <w:rFonts w:eastAsia="Times New Roman" w:cs="Times New Roman"/>
          <w:sz w:val="24"/>
          <w:szCs w:val="24"/>
          <w:lang w:eastAsia="be-BY"/>
        </w:rPr>
      </w:pPr>
    </w:p>
    <w:p w14:paraId="0B0AA81F" w14:textId="252B4EF4" w:rsidR="001254F4" w:rsidRPr="006C4DD2" w:rsidRDefault="001254F4" w:rsidP="009713CD">
      <w:pPr>
        <w:spacing w:line="276" w:lineRule="auto"/>
        <w:ind w:right="-2"/>
        <w:jc w:val="center"/>
        <w:rPr>
          <w:rFonts w:eastAsia="Times New Roman" w:cs="Times New Roman"/>
          <w:color w:val="000000"/>
          <w:szCs w:val="28"/>
          <w:lang w:eastAsia="be-BY"/>
        </w:rPr>
      </w:pPr>
      <w:r>
        <w:rPr>
          <w:rFonts w:eastAsia="Times New Roman" w:cs="Times New Roman"/>
          <w:color w:val="000000"/>
          <w:szCs w:val="28"/>
          <w:lang w:eastAsia="be-BY"/>
        </w:rPr>
        <w:t>ЛАБОРАТОРНАЯ РАБОТА</w:t>
      </w:r>
      <w:r w:rsidR="00E1591C">
        <w:rPr>
          <w:rFonts w:eastAsia="Times New Roman" w:cs="Times New Roman"/>
          <w:color w:val="000000"/>
          <w:szCs w:val="28"/>
          <w:lang w:eastAsia="be-BY"/>
        </w:rPr>
        <w:t xml:space="preserve"> </w:t>
      </w:r>
      <w:r w:rsidR="003229DD">
        <w:rPr>
          <w:rFonts w:eastAsia="Times New Roman" w:cs="Times New Roman"/>
          <w:color w:val="000000"/>
          <w:szCs w:val="28"/>
          <w:lang w:eastAsia="be-BY"/>
        </w:rPr>
        <w:t>№2</w:t>
      </w:r>
      <w:r w:rsidR="006C4DD2" w:rsidRPr="006C4DD2">
        <w:rPr>
          <w:rFonts w:eastAsia="Times New Roman" w:cs="Times New Roman"/>
          <w:color w:val="000000"/>
          <w:szCs w:val="28"/>
          <w:lang w:eastAsia="be-BY"/>
        </w:rPr>
        <w:t xml:space="preserve"> </w:t>
      </w:r>
    </w:p>
    <w:p w14:paraId="27626BAB" w14:textId="320F2BA8" w:rsidR="0095086D" w:rsidRPr="001A7A21" w:rsidRDefault="0095086D" w:rsidP="009713CD">
      <w:pPr>
        <w:spacing w:line="276" w:lineRule="auto"/>
        <w:ind w:right="-2"/>
        <w:jc w:val="center"/>
        <w:rPr>
          <w:rFonts w:eastAsia="Times New Roman" w:cs="Times New Roman"/>
          <w:sz w:val="24"/>
          <w:szCs w:val="24"/>
          <w:lang w:eastAsia="be-BY"/>
        </w:rPr>
      </w:pPr>
      <w:r w:rsidRPr="001A7A21">
        <w:rPr>
          <w:rFonts w:eastAsia="Times New Roman" w:cs="Times New Roman"/>
          <w:color w:val="000000"/>
          <w:szCs w:val="28"/>
          <w:lang w:eastAsia="be-BY"/>
        </w:rPr>
        <w:t>на тему</w:t>
      </w:r>
    </w:p>
    <w:p w14:paraId="504361F0" w14:textId="122EE689" w:rsidR="00B24AE1" w:rsidRDefault="009713CD" w:rsidP="009713CD">
      <w:pPr>
        <w:spacing w:after="240" w:line="276" w:lineRule="auto"/>
        <w:jc w:val="center"/>
        <w:rPr>
          <w:rFonts w:eastAsia="Times New Roman" w:cs="Times New Roman"/>
          <w:sz w:val="24"/>
          <w:szCs w:val="24"/>
          <w:lang w:eastAsia="be-BY"/>
        </w:rPr>
      </w:pPr>
      <w:r>
        <w:rPr>
          <w:rFonts w:eastAsia="Times New Roman" w:cs="Times New Roman"/>
          <w:color w:val="000000"/>
          <w:szCs w:val="28"/>
          <w:lang w:eastAsia="be-BY"/>
        </w:rPr>
        <w:t>«</w:t>
      </w:r>
      <w:r w:rsidR="003229DD">
        <w:rPr>
          <w:rFonts w:eastAsia="Times New Roman" w:cs="Times New Roman"/>
          <w:color w:val="000000"/>
          <w:szCs w:val="28"/>
          <w:lang w:eastAsia="be-BY"/>
        </w:rPr>
        <w:t>СРЕДА СИСТЕМЫ ХРАНЕНИЯ</w:t>
      </w:r>
      <w:r>
        <w:rPr>
          <w:rFonts w:eastAsia="Times New Roman" w:cs="Times New Roman"/>
          <w:color w:val="000000"/>
          <w:szCs w:val="28"/>
          <w:lang w:eastAsia="be-BY"/>
        </w:rPr>
        <w:t>»</w:t>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p>
    <w:p w14:paraId="72465162" w14:textId="77777777" w:rsidR="00B24AE1" w:rsidRDefault="00B24AE1" w:rsidP="00B24AE1">
      <w:pPr>
        <w:spacing w:after="240" w:line="240" w:lineRule="auto"/>
        <w:jc w:val="center"/>
        <w:rPr>
          <w:rFonts w:eastAsia="Times New Roman" w:cs="Times New Roman"/>
          <w:sz w:val="24"/>
          <w:szCs w:val="24"/>
          <w:lang w:eastAsia="be-BY"/>
        </w:rPr>
      </w:pPr>
    </w:p>
    <w:p w14:paraId="5525BF6F" w14:textId="0EAD1085" w:rsidR="0095086D" w:rsidRPr="001A7A21" w:rsidRDefault="0095086D" w:rsidP="00B24AE1">
      <w:pPr>
        <w:spacing w:after="240" w:line="240" w:lineRule="auto"/>
        <w:jc w:val="center"/>
        <w:rPr>
          <w:rFonts w:eastAsia="Times New Roman" w:cs="Times New Roman"/>
          <w:sz w:val="24"/>
          <w:szCs w:val="24"/>
          <w:lang w:eastAsia="be-BY"/>
        </w:rPr>
      </w:pPr>
      <w:r w:rsidRPr="001A7A21">
        <w:rPr>
          <w:rFonts w:eastAsia="Times New Roman" w:cs="Times New Roman"/>
          <w:sz w:val="24"/>
          <w:szCs w:val="24"/>
          <w:lang w:eastAsia="be-BY"/>
        </w:rPr>
        <w:br/>
      </w:r>
    </w:p>
    <w:p w14:paraId="242DE1DD" w14:textId="72457082" w:rsidR="0095086D" w:rsidRPr="001A7A21" w:rsidRDefault="00B24AE1" w:rsidP="0095086D">
      <w:pPr>
        <w:spacing w:line="360" w:lineRule="auto"/>
        <w:jc w:val="both"/>
        <w:rPr>
          <w:rFonts w:eastAsia="Times New Roman" w:cs="Times New Roman"/>
          <w:sz w:val="24"/>
          <w:szCs w:val="24"/>
          <w:lang w:eastAsia="be-BY"/>
        </w:rPr>
      </w:pPr>
      <w:r>
        <w:rPr>
          <w:rFonts w:eastAsia="Times New Roman" w:cs="Times New Roman"/>
          <w:color w:val="000000"/>
          <w:szCs w:val="28"/>
          <w:lang w:eastAsia="be-BY"/>
        </w:rPr>
        <w:t>Выполнил:</w:t>
      </w:r>
      <w:r w:rsidR="0095086D" w:rsidRPr="001A7A21">
        <w:rPr>
          <w:rFonts w:eastAsia="Times New Roman" w:cs="Times New Roman"/>
          <w:color w:val="000000"/>
          <w:szCs w:val="28"/>
          <w:lang w:eastAsia="be-BY"/>
        </w:rPr>
        <w:t>                                                           </w:t>
      </w:r>
      <w:r>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w:t>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5086D">
        <w:rPr>
          <w:rFonts w:eastAsia="Times New Roman" w:cs="Times New Roman"/>
          <w:color w:val="000000"/>
          <w:szCs w:val="28"/>
          <w:lang w:eastAsia="be-BY"/>
        </w:rPr>
        <w:t>Р</w:t>
      </w:r>
      <w:r w:rsidR="0095086D" w:rsidRPr="001A7A21">
        <w:rPr>
          <w:rFonts w:eastAsia="Times New Roman" w:cs="Times New Roman"/>
          <w:color w:val="000000"/>
          <w:szCs w:val="28"/>
          <w:lang w:eastAsia="be-BY"/>
        </w:rPr>
        <w:t xml:space="preserve">. </w:t>
      </w:r>
      <w:r w:rsidR="0095086D">
        <w:rPr>
          <w:rFonts w:eastAsia="Times New Roman" w:cs="Times New Roman"/>
          <w:color w:val="000000"/>
          <w:szCs w:val="28"/>
          <w:lang w:eastAsia="be-BY"/>
        </w:rPr>
        <w:t>Е.</w:t>
      </w:r>
      <w:r w:rsidR="00C16893">
        <w:rPr>
          <w:rFonts w:eastAsia="Times New Roman" w:cs="Times New Roman"/>
          <w:color w:val="000000"/>
          <w:szCs w:val="28"/>
          <w:lang w:eastAsia="be-BY"/>
        </w:rPr>
        <w:t xml:space="preserve"> </w:t>
      </w:r>
      <w:r w:rsidR="00C16893" w:rsidRPr="001A7A21">
        <w:rPr>
          <w:rFonts w:eastAsia="Times New Roman" w:cs="Times New Roman"/>
          <w:color w:val="000000"/>
          <w:szCs w:val="28"/>
          <w:lang w:eastAsia="be-BY"/>
        </w:rPr>
        <w:t>Власов</w:t>
      </w:r>
    </w:p>
    <w:p w14:paraId="0F3E9B47" w14:textId="3E2E1C6C" w:rsidR="0095086D" w:rsidRPr="00A55BC8" w:rsidRDefault="00B24AE1" w:rsidP="0095086D">
      <w:pPr>
        <w:spacing w:line="240" w:lineRule="auto"/>
        <w:jc w:val="both"/>
        <w:rPr>
          <w:rFonts w:eastAsia="Times New Roman" w:cs="Times New Roman"/>
          <w:sz w:val="24"/>
          <w:szCs w:val="24"/>
          <w:lang w:eastAsia="be-BY"/>
        </w:rPr>
      </w:pPr>
      <w:proofErr w:type="gramStart"/>
      <w:r>
        <w:rPr>
          <w:rFonts w:eastAsia="Times New Roman" w:cs="Times New Roman"/>
          <w:color w:val="000000"/>
          <w:szCs w:val="28"/>
          <w:lang w:eastAsia="be-BY"/>
        </w:rPr>
        <w:t>Проверил</w:t>
      </w:r>
      <w:r w:rsidR="009713CD">
        <w:rPr>
          <w:rFonts w:eastAsia="Times New Roman" w:cs="Times New Roman"/>
          <w:color w:val="000000"/>
          <w:szCs w:val="28"/>
          <w:lang w:eastAsia="be-BY"/>
        </w:rPr>
        <w:t>а</w:t>
      </w:r>
      <w:r>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xml:space="preserve">  </w:t>
      </w:r>
      <w:proofErr w:type="gramEnd"/>
      <w:r w:rsidR="00460DCF">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xml:space="preserve">        </w:t>
      </w:r>
      <w:r>
        <w:rPr>
          <w:rFonts w:eastAsia="Times New Roman" w:cs="Times New Roman"/>
          <w:color w:val="000000"/>
          <w:szCs w:val="28"/>
          <w:lang w:eastAsia="be-BY"/>
        </w:rPr>
        <w:tab/>
        <w:t xml:space="preserve">       </w:t>
      </w:r>
      <w:r w:rsidR="00460DCF">
        <w:rPr>
          <w:rFonts w:eastAsia="Times New Roman" w:cs="Times New Roman"/>
          <w:color w:val="000000"/>
          <w:szCs w:val="28"/>
          <w:lang w:eastAsia="be-BY"/>
        </w:rPr>
        <w:tab/>
        <w:t xml:space="preserve">   </w:t>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0A4AFE">
        <w:rPr>
          <w:rFonts w:eastAsia="Times New Roman" w:cs="Times New Roman"/>
          <w:color w:val="000000"/>
          <w:szCs w:val="28"/>
          <w:lang w:eastAsia="be-BY"/>
        </w:rPr>
        <w:t>Д</w:t>
      </w:r>
      <w:r w:rsidR="0095086D" w:rsidRPr="001A7A21">
        <w:rPr>
          <w:rFonts w:eastAsia="Times New Roman" w:cs="Times New Roman"/>
          <w:color w:val="000000"/>
          <w:szCs w:val="28"/>
          <w:lang w:eastAsia="be-BY"/>
        </w:rPr>
        <w:t xml:space="preserve">. </w:t>
      </w:r>
      <w:r w:rsidR="000A4AFE">
        <w:rPr>
          <w:rFonts w:eastAsia="Times New Roman" w:cs="Times New Roman"/>
          <w:color w:val="000000"/>
          <w:szCs w:val="28"/>
          <w:lang w:eastAsia="be-BY"/>
        </w:rPr>
        <w:t>В</w:t>
      </w:r>
      <w:r w:rsidR="0095086D" w:rsidRPr="001A7A21">
        <w:rPr>
          <w:rFonts w:eastAsia="Times New Roman" w:cs="Times New Roman"/>
          <w:color w:val="000000"/>
          <w:szCs w:val="28"/>
          <w:lang w:eastAsia="be-BY"/>
        </w:rPr>
        <w:t xml:space="preserve">. </w:t>
      </w:r>
      <w:r w:rsidR="000A4AFE">
        <w:rPr>
          <w:rFonts w:eastAsia="Times New Roman" w:cs="Times New Roman"/>
          <w:color w:val="000000"/>
          <w:szCs w:val="28"/>
          <w:lang w:eastAsia="be-BY"/>
        </w:rPr>
        <w:t>Куприянова</w:t>
      </w:r>
    </w:p>
    <w:p w14:paraId="6FD7AAE9" w14:textId="57420C90" w:rsidR="0095086D" w:rsidRDefault="0095086D" w:rsidP="0095086D">
      <w:pPr>
        <w:spacing w:after="240" w:line="240" w:lineRule="auto"/>
        <w:rPr>
          <w:rFonts w:eastAsia="Times New Roman" w:cs="Times New Roman"/>
          <w:sz w:val="24"/>
          <w:szCs w:val="24"/>
          <w:lang w:eastAsia="be-BY"/>
        </w:rPr>
      </w:pPr>
      <w:r w:rsidRPr="001A7A21">
        <w:rPr>
          <w:rFonts w:eastAsia="Times New Roman" w:cs="Times New Roman"/>
          <w:sz w:val="24"/>
          <w:szCs w:val="24"/>
          <w:lang w:eastAsia="be-BY"/>
        </w:rPr>
        <w:br/>
      </w:r>
      <w:r w:rsidRPr="001A7A21">
        <w:rPr>
          <w:rFonts w:eastAsia="Times New Roman" w:cs="Times New Roman"/>
          <w:sz w:val="24"/>
          <w:szCs w:val="24"/>
          <w:lang w:eastAsia="be-BY"/>
        </w:rPr>
        <w:br/>
      </w:r>
    </w:p>
    <w:p w14:paraId="3FC4AEB8" w14:textId="77777777" w:rsidR="0095086D" w:rsidRDefault="0095086D" w:rsidP="0095086D">
      <w:pPr>
        <w:spacing w:after="240" w:line="240" w:lineRule="auto"/>
        <w:rPr>
          <w:rFonts w:eastAsia="Times New Roman" w:cs="Times New Roman"/>
          <w:sz w:val="24"/>
          <w:szCs w:val="24"/>
          <w:lang w:eastAsia="be-BY"/>
        </w:rPr>
      </w:pPr>
    </w:p>
    <w:p w14:paraId="7241439E" w14:textId="77777777" w:rsidR="003651AB" w:rsidRDefault="003651AB" w:rsidP="0095086D">
      <w:pPr>
        <w:spacing w:after="240" w:line="240" w:lineRule="auto"/>
        <w:rPr>
          <w:rFonts w:eastAsia="Times New Roman" w:cs="Times New Roman"/>
          <w:sz w:val="24"/>
          <w:szCs w:val="24"/>
          <w:lang w:eastAsia="be-BY"/>
        </w:rPr>
      </w:pPr>
    </w:p>
    <w:p w14:paraId="5E832718" w14:textId="77777777" w:rsidR="006F4E44" w:rsidRPr="001A7A21" w:rsidRDefault="006F4E44" w:rsidP="0095086D">
      <w:pPr>
        <w:spacing w:after="240" w:line="240" w:lineRule="auto"/>
        <w:rPr>
          <w:rFonts w:eastAsia="Times New Roman" w:cs="Times New Roman"/>
          <w:sz w:val="24"/>
          <w:szCs w:val="24"/>
          <w:lang w:eastAsia="be-BY"/>
        </w:rPr>
      </w:pPr>
    </w:p>
    <w:p w14:paraId="6A5B16A0" w14:textId="29F28349" w:rsidR="00BA703D" w:rsidRDefault="0095086D" w:rsidP="00BB5D18">
      <w:pPr>
        <w:spacing w:line="240" w:lineRule="auto"/>
        <w:ind w:right="-2"/>
        <w:jc w:val="center"/>
        <w:rPr>
          <w:rFonts w:eastAsia="Times New Roman" w:cs="Times New Roman"/>
          <w:color w:val="000000"/>
          <w:szCs w:val="28"/>
          <w:lang w:eastAsia="be-BY"/>
        </w:rPr>
      </w:pPr>
      <w:r w:rsidRPr="001A7A21">
        <w:rPr>
          <w:rFonts w:eastAsia="Times New Roman" w:cs="Times New Roman"/>
          <w:color w:val="000000"/>
          <w:szCs w:val="28"/>
          <w:lang w:eastAsia="be-BY"/>
        </w:rPr>
        <w:t>М</w:t>
      </w:r>
      <w:r w:rsidR="009713CD">
        <w:rPr>
          <w:rFonts w:eastAsia="Times New Roman" w:cs="Times New Roman"/>
          <w:color w:val="000000"/>
          <w:szCs w:val="28"/>
          <w:lang w:eastAsia="be-BY"/>
        </w:rPr>
        <w:t>инск</w:t>
      </w:r>
      <w:r w:rsidRPr="001A7A21">
        <w:rPr>
          <w:rFonts w:eastAsia="Times New Roman" w:cs="Times New Roman"/>
          <w:color w:val="000000"/>
          <w:szCs w:val="28"/>
          <w:lang w:eastAsia="be-BY"/>
        </w:rPr>
        <w:t xml:space="preserve"> 202</w:t>
      </w:r>
      <w:r w:rsidR="00B24AE1">
        <w:rPr>
          <w:rFonts w:eastAsia="Times New Roman" w:cs="Times New Roman"/>
          <w:color w:val="000000"/>
          <w:szCs w:val="28"/>
          <w:lang w:eastAsia="be-BY"/>
        </w:rPr>
        <w:t>6</w:t>
      </w:r>
    </w:p>
    <w:p w14:paraId="20B72DE9" w14:textId="77777777" w:rsidR="009713CD" w:rsidRPr="00AA1330" w:rsidRDefault="009713CD" w:rsidP="009713CD">
      <w:pPr>
        <w:pStyle w:val="a5"/>
        <w:pageBreakBefore/>
        <w:rPr>
          <w:b w:val="0"/>
          <w:bCs w:val="0"/>
        </w:rPr>
      </w:pPr>
      <w:r w:rsidRPr="00AA1330">
        <w:rPr>
          <w:b w:val="0"/>
          <w:bCs w:val="0"/>
        </w:rPr>
        <w:t>Содержание</w:t>
      </w:r>
    </w:p>
    <w:p>
      <w:pPr>
        <w:pStyle w:val="a7"/>
        <w:rPr>
          <w:lang w:val="ru-RU" w:eastAsia="en-US"/>
        </w:rPr>
      </w:pPr>
    </w:p>
    <w:tbl>
      <w:tblPr>
        <w:tblStyle w:val="afa"/>
        <w:tblW w:w="96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182"/>
        <w:gridCol w:w="496"/>
      </w:tblGrid>
      <w:tr>
        <w:tc>
          <w:tcPr>
            <w:tcW w:w="9182" w:type="dxa"/>
            <w:vAlign w:val="center"/>
          </w:tcPr>
          <w:p>
            <w:pPr>
              <w:pStyle w:val="afe"/>
              <w:tabs>
                <w:tab w:val="right" w:leader="dot" w:pos="8962"/>
              </w:tabs>
              <w:spacing w:line="240" w:lineRule="atLeast"/>
              <w:ind w:firstLine="0"/>
              <w:jc w:val="left"/>
              <w:rPr>
                <w:sz w:val="28"/>
                <w:szCs w:val="28"/>
              </w:rPr>
            </w:pPr>
            <w:r>
              <w:rPr>
                <w:sz w:val="28"/>
                <w:szCs w:val="28"/>
                <w:lang w:val="ru-RU" w:eastAsia="en-US"/>
              </w:rPr>
              <w:t xml:space="preserve">Введение</w:t>
            </w:r>
            <w:r>
              <w:rPr>
                <w:sz w:val="28"/>
                <w:szCs w:val="28"/>
              </w:rPr>
              <w:tab/>
            </w:r>
          </w:p>
        </w:tc>
        <w:tc>
          <w:tcPr>
            <w:tcW w:w="496" w:type="dxa"/>
            <w:vAlign w:val="bottom"/>
          </w:tcPr>
          <w:p>
            <w:pPr>
              <w:pStyle w:val="afe"/>
              <w:spacing w:line="240" w:lineRule="atLeast"/>
              <w:ind w:firstLine="0"/>
              <w:jc w:val="center"/>
              <w:rPr>
                <w:sz w:val="28"/>
                <w:szCs w:val="28"/>
              </w:rPr>
            </w:pPr>
            <w:r>
              <w:rPr>
                <w:sz w:val="28"/>
                <w:szCs w:val="28"/>
              </w:rPr>
              <w:t>3</w:t>
            </w:r>
          </w:p>
        </w:tc>
      </w:tr>
      <w:tr>
        <w:tc>
          <w:tcPr>
            <w:tcW w:w="9182" w:type="dxa"/>
            <w:vAlign w:val="center"/>
          </w:tcPr>
          <w:p>
            <w:pPr>
              <w:pStyle w:val="afe"/>
              <w:tabs>
                <w:tab w:val="right" w:leader="dot" w:pos="8962"/>
              </w:tabs>
              <w:spacing w:line="240" w:lineRule="atLeast"/>
              <w:ind w:firstLine="0"/>
              <w:jc w:val="left"/>
              <w:rPr>
                <w:sz w:val="28"/>
                <w:szCs w:val="28"/>
              </w:rPr>
            </w:pPr>
            <w:r>
              <w:rPr>
                <w:sz w:val="28"/>
                <w:szCs w:val="28"/>
                <w:lang w:val="ru-RU" w:eastAsia="en-US"/>
              </w:rPr>
              <w:t xml:space="preserve">1 Выполнение работы</w:t>
            </w:r>
            <w:r>
              <w:rPr>
                <w:sz w:val="28"/>
                <w:szCs w:val="28"/>
              </w:rPr>
              <w:tab/>
            </w:r>
          </w:p>
        </w:tc>
        <w:tc>
          <w:tcPr>
            <w:tcW w:w="496" w:type="dxa"/>
            <w:vAlign w:val="bottom"/>
          </w:tcPr>
          <w:p>
            <w:pPr>
              <w:pStyle w:val="afe"/>
              <w:spacing w:line="240" w:lineRule="atLeast"/>
              <w:ind w:firstLine="0"/>
              <w:jc w:val="center"/>
              <w:rPr>
                <w:sz w:val="28"/>
                <w:szCs w:val="28"/>
              </w:rPr>
            </w:pPr>
            <w:r>
              <w:rPr>
                <w:sz w:val="28"/>
                <w:szCs w:val="28"/>
              </w:rPr>
              <w:t>4</w:t>
            </w:r>
          </w:p>
        </w:tc>
      </w:tr>
      <w:tr>
        <w:tc>
          <w:tcPr>
            <w:tcW w:w="9182" w:type="dxa"/>
            <w:vAlign w:val="center"/>
          </w:tcPr>
          <w:p>
            <w:pPr>
              <w:pStyle w:val="afe"/>
              <w:tabs>
                <w:tab w:val="right" w:leader="dot" w:pos="8962"/>
              </w:tabs>
              <w:spacing w:line="240" w:lineRule="atLeast"/>
              <w:ind w:firstLine="0"/>
              <w:jc w:val="left"/>
              <w:rPr>
                <w:sz w:val="28"/>
                <w:szCs w:val="28"/>
              </w:rPr>
            </w:pPr>
            <w:r>
              <w:rPr>
                <w:sz w:val="28"/>
                <w:szCs w:val="28"/>
                <w:lang w:val="ru-RU" w:eastAsia="en-US"/>
              </w:rPr>
              <w:t xml:space="preserve">1.1 Исследование системы хранения</w:t>
            </w:r>
            <w:r>
              <w:rPr>
                <w:sz w:val="28"/>
                <w:szCs w:val="28"/>
              </w:rPr>
              <w:tab/>
            </w:r>
          </w:p>
        </w:tc>
        <w:tc>
          <w:tcPr>
            <w:tcW w:w="496" w:type="dxa"/>
            <w:vAlign w:val="bottom"/>
          </w:tcPr>
          <w:p>
            <w:pPr>
              <w:pStyle w:val="afe"/>
              <w:spacing w:line="240" w:lineRule="atLeast"/>
              <w:ind w:firstLine="0"/>
              <w:jc w:val="center"/>
              <w:rPr>
                <w:sz w:val="28"/>
                <w:szCs w:val="28"/>
              </w:rPr>
            </w:pPr>
            <w:r>
              <w:rPr>
                <w:sz w:val="28"/>
                <w:szCs w:val="28"/>
              </w:rPr>
              <w:t>4</w:t>
            </w:r>
          </w:p>
        </w:tc>
      </w:tr>
      <w:tr>
        <w:tc>
          <w:tcPr>
            <w:tcW w:w="9182" w:type="dxa"/>
            <w:vAlign w:val="center"/>
          </w:tcPr>
          <w:p>
            <w:pPr>
              <w:pStyle w:val="afe"/>
              <w:tabs>
                <w:tab w:val="right" w:leader="dot" w:pos="8962"/>
              </w:tabs>
              <w:spacing w:line="240" w:lineRule="atLeast"/>
              <w:ind w:firstLine="0"/>
              <w:jc w:val="left"/>
              <w:rPr>
                <w:sz w:val="28"/>
                <w:szCs w:val="28"/>
              </w:rPr>
            </w:pPr>
            <w:r>
              <w:rPr>
                <w:sz w:val="28"/>
                <w:szCs w:val="28"/>
                <w:lang w:val="ru-RU" w:eastAsia="en-US"/>
              </w:rPr>
              <w:t xml:space="preserve">1.2 Создание блочного устройства</w:t>
            </w:r>
            <w:r>
              <w:rPr>
                <w:sz w:val="28"/>
                <w:szCs w:val="28"/>
              </w:rPr>
              <w:tab/>
            </w:r>
          </w:p>
        </w:tc>
        <w:tc>
          <w:tcPr>
            <w:tcW w:w="496" w:type="dxa"/>
            <w:vAlign w:val="bottom"/>
          </w:tcPr>
          <w:p>
            <w:pPr>
              <w:pStyle w:val="afe"/>
              <w:spacing w:line="240" w:lineRule="atLeast"/>
              <w:ind w:firstLine="0"/>
              <w:jc w:val="center"/>
              <w:rPr>
                <w:sz w:val="28"/>
                <w:szCs w:val="28"/>
              </w:rPr>
            </w:pPr>
            <w:r>
              <w:rPr>
                <w:sz w:val="28"/>
                <w:szCs w:val="28"/>
              </w:rPr>
              <w:t>15</w:t>
            </w:r>
          </w:p>
        </w:tc>
      </w:tr>
      <w:tr>
        <w:tc>
          <w:tcPr>
            <w:tcW w:w="9182" w:type="dxa"/>
            <w:vAlign w:val="center"/>
          </w:tcPr>
          <w:p>
            <w:pPr>
              <w:pStyle w:val="afe"/>
              <w:tabs>
                <w:tab w:val="right" w:leader="dot" w:pos="8962"/>
              </w:tabs>
              <w:spacing w:line="240" w:lineRule="atLeast"/>
              <w:ind w:firstLine="0"/>
              <w:jc w:val="left"/>
              <w:rPr>
                <w:sz w:val="28"/>
                <w:szCs w:val="28"/>
              </w:rPr>
            </w:pPr>
            <w:r>
              <w:rPr>
                <w:sz w:val="28"/>
                <w:szCs w:val="28"/>
                <w:lang w:val="ru-RU" w:eastAsia="en-US"/>
              </w:rPr>
              <w:t xml:space="preserve">1.3 Создание файловой системы</w:t>
            </w:r>
            <w:r>
              <w:rPr>
                <w:sz w:val="28"/>
                <w:szCs w:val="28"/>
              </w:rPr>
              <w:tab/>
            </w:r>
          </w:p>
        </w:tc>
        <w:tc>
          <w:tcPr>
            <w:tcW w:w="496" w:type="dxa"/>
            <w:vAlign w:val="bottom"/>
          </w:tcPr>
          <w:p>
            <w:pPr>
              <w:pStyle w:val="afe"/>
              <w:spacing w:line="240" w:lineRule="atLeast"/>
              <w:ind w:firstLine="0"/>
              <w:jc w:val="center"/>
              <w:rPr>
                <w:sz w:val="28"/>
                <w:szCs w:val="28"/>
              </w:rPr>
            </w:pPr>
            <w:r>
              <w:rPr>
                <w:sz w:val="28"/>
                <w:szCs w:val="28"/>
              </w:rPr>
              <w:t>19</w:t>
            </w:r>
          </w:p>
        </w:tc>
      </w:tr>
      <w:tr>
        <w:tc>
          <w:tcPr>
            <w:tcW w:w="9182" w:type="dxa"/>
            <w:vAlign w:val="center"/>
          </w:tcPr>
          <w:p>
            <w:pPr>
              <w:pStyle w:val="afe"/>
              <w:tabs>
                <w:tab w:val="right" w:leader="dot" w:pos="8962"/>
              </w:tabs>
              <w:spacing w:line="240" w:lineRule="atLeast"/>
              <w:ind w:firstLine="0"/>
              <w:jc w:val="left"/>
              <w:rPr>
                <w:sz w:val="28"/>
                <w:szCs w:val="28"/>
              </w:rPr>
            </w:pPr>
            <w:r>
              <w:rPr>
                <w:sz w:val="28"/>
                <w:szCs w:val="28"/>
                <w:lang w:val="ru-RU" w:eastAsia="en-US"/>
              </w:rPr>
              <w:t xml:space="preserve">Заключение</w:t>
            </w:r>
            <w:r>
              <w:rPr>
                <w:sz w:val="28"/>
                <w:szCs w:val="28"/>
              </w:rPr>
              <w:tab/>
            </w:r>
          </w:p>
        </w:tc>
        <w:tc>
          <w:tcPr>
            <w:tcW w:w="496" w:type="dxa"/>
            <w:vAlign w:val="bottom"/>
          </w:tcPr>
          <w:p>
            <w:pPr>
              <w:pStyle w:val="afe"/>
              <w:spacing w:line="240" w:lineRule="atLeast"/>
              <w:ind w:firstLine="0"/>
              <w:jc w:val="center"/>
              <w:rPr>
                <w:sz w:val="28"/>
                <w:szCs w:val="28"/>
              </w:rPr>
            </w:pPr>
            <w:r>
              <w:rPr>
                <w:sz w:val="28"/>
                <w:szCs w:val="28"/>
              </w:rPr>
              <w:t>27</w:t>
            </w:r>
          </w:p>
        </w:tc>
      </w:tr>
    </w:tbl>
    <w:p>
      <w:pPr>
        <w:pStyle w:val="a5"/>
        <w:pageBreakBefore/>
        <w:rPr>
          <w:lang w:val="ru-RU" w:eastAsia="en-US"/>
        </w:rPr>
      </w:pPr>
      <w:r>
        <w:rPr>
          <w:lang w:val="ru-RU" w:eastAsia="en-US"/>
        </w:rPr>
        <w:t xml:space="preserve">Введение</w:t>
      </w:r>
    </w:p>
    <w:p>
      <w:pPr>
        <w:pStyle w:val="a7"/>
        <w:rPr>
          <w:lang w:val="ru-RU" w:eastAsia="en-US"/>
        </w:rPr>
      </w:pPr>
      <w:r>
        <w:rPr>
          <w:lang w:val="ru-RU" w:eastAsia="en-US"/>
        </w:rPr>
        <w:t xml:space="preserve">В этой лабораторной работе мы продолжаем знакомство с системой хранения данных (СХД) EMC VNXe на демонстрационном симуляторе Unisphere VNXe Demo. В первой работе мы изучили аппаратный состав массива, его пулы, логические тома и подключённые хосты. Во второй работе мы переходим к управлению: проверяем конфигурацию массива и сами создаём на нём новые ресурсы хранения.</w:t>
      </w:r>
    </w:p>
    <w:p>
      <w:pPr>
        <w:pStyle w:val="a7"/>
        <w:rPr>
          <w:lang w:val="ru-RU" w:eastAsia="en-US"/>
        </w:rPr>
      </w:pPr>
      <w:r>
        <w:rPr>
          <w:lang w:val="ru-RU" w:eastAsia="en-US"/>
        </w:rPr>
        <w:t xml:space="preserve">Цель работы: исследовать интерфейс управления Unisphere и основные задачи, которые администратор выполняет в среде интеллектуальной системы хранения. Для этого мы проверяем правильность конфигурации системы хранения и проходим по шагам создание ресурсов хранения двух видов: блочного устройства и файловой системы.</w:t>
      </w:r>
    </w:p>
    <w:p>
      <w:pPr>
        <w:pStyle w:val="a7"/>
        <w:rPr>
          <w:lang w:val="ru-RU" w:eastAsia="en-US"/>
        </w:rPr>
      </w:pPr>
      <w:r>
        <w:rPr>
          <w:lang w:val="ru-RU" w:eastAsia="en-US"/>
        </w:rPr>
        <w:t xml:space="preserve">В первой части мы настраиваем рабочую область панели Dashboard, просматриваем состояние ресурсов хранения в разделе Storage Resource Health, изучаем параметры пула MultiTier и меняем у него порог оповещений. Затем разбираем подключение хоста Windows 2k8 и определяем протокол доступа, число инициаторов и число путей к массиву. Часть заканчивается просмотром настроек протокола iSCSI и конфигурации активных iSCSI-интерфейсов.</w:t>
      </w:r>
    </w:p>
    <w:p>
      <w:pPr>
        <w:pStyle w:val="a7"/>
        <w:rPr>
          <w:lang w:val="ru-RU" w:eastAsia="en-US"/>
        </w:rPr>
      </w:pPr>
      <w:r>
        <w:rPr>
          <w:lang w:val="ru-RU" w:eastAsia="en-US"/>
        </w:rPr>
        <w:t xml:space="preserve">Во второй части мы создаём блочное устройство. Блочный доступ хост получает через логические тома LUN (Logical Unit Number): массив выделяет в пуле область заданного размера, а хост видит её как локальный диск. Несколько LUN объединяются в группу LUN. Группа поддерживает согласованное состояние входящих в неё томов, и снимки (snapshots) всех LUN группы делаются в один момент времени. Мы создаём группу из десяти LUN двух конфигураций с тонким выделением (Thin) и открываем к ней доступ хосту по протоколу Fibre Channel (FC).</w:t>
      </w:r>
    </w:p>
    <w:p>
      <w:pPr>
        <w:pStyle w:val="a7"/>
        <w:rPr>
          <w:lang w:val="ru-RU" w:eastAsia="en-US"/>
        </w:rPr>
      </w:pPr>
      <w:r>
        <w:rPr>
          <w:lang w:val="ru-RU" w:eastAsia="en-US"/>
        </w:rPr>
        <w:t xml:space="preserve">В третьей части мы создаём файловую систему для хоста под управлением Windows. Файловая система отдаёт хостам данные на уровне файлов через сетевые протоколы CIFS или NFS. Мы выбираем протокол CIFS, задаём пул, политику размещения данных и размер, создаём общий ресурс (share) и подключаем расписание снимков.</w:t>
      </w:r>
    </w:p>
    <w:p>
      <w:pPr>
        <w:pStyle w:val="a7"/>
        <w:rPr>
          <w:lang w:val="ru-RU" w:eastAsia="en-US"/>
        </w:rPr>
      </w:pPr>
      <w:r>
        <w:rPr>
          <w:lang w:val="ru-RU" w:eastAsia="en-US"/>
        </w:rPr>
        <w:t xml:space="preserve">Работу мы выполняем в симуляторе Unisphere VNXe Demo, установленном в первой лабораторной работе. Симулятор открывается в браузере Mozilla Firefox ESR 52.9.0 с модулем Adobe Flash Player и воспроизводит интерфейс массива VNXe3200 без физического оборудования. В отчёт вошли описание каждого шага, снимки экрана, ответы на вопросы задания и итоговые конфигурации созданных ресурсов.</w:t>
      </w:r>
    </w:p>
    <w:p>
      <w:pPr>
        <w:pStyle w:val="a"/>
        <w:pageBreakBefore/>
        <w:ind w:left="0" w:firstLine="709"/>
        <w:rPr>
          <w:lang w:val="ru-RU" w:eastAsia="en-US"/>
        </w:rPr>
      </w:pPr>
      <w:r>
        <w:rPr>
          <w:lang w:val="ru-RU" w:eastAsia="en-US"/>
        </w:rPr>
        <w:t xml:space="preserve">Выполнение работы</w:t>
      </w:r>
    </w:p>
    <w:p>
      <w:pPr>
        <w:pStyle w:val="a0"/>
        <w:keepNext/>
        <w:rPr>
          <w:lang w:val="ru-RU" w:eastAsia="en-US"/>
        </w:rPr>
      </w:pPr>
      <w:r>
        <w:rPr>
          <w:lang w:val="ru-RU" w:eastAsia="en-US"/>
        </w:rPr>
        <w:t xml:space="preserve">Исследование системы хранения</w:t>
      </w:r>
    </w:p>
    <w:p>
      <w:pPr>
        <w:pStyle w:val="a7"/>
        <w:rPr>
          <w:lang w:val="ru-RU" w:eastAsia="en-US"/>
        </w:rPr>
      </w:pPr>
      <w:r>
        <w:rPr>
          <w:lang w:val="ru-RU" w:eastAsia="en-US"/>
        </w:rPr>
        <w:t xml:space="preserve">Запускаем симулятор: открываем файл index.html из каталога установки Unisphere VNXe Demo в браузере Mozilla Firefox ESR и входим в систему под учётной записью администратора. После входа Unisphere показывает вкладку «Панель» (Dashboard). Верхнее меню содержит разделы «Панель», «Система», «Система хранения данных», «Хосты», «Настройки» и «Поддержка». В строке состояния внизу окна выводятся имя системы VNXe-H1181, число оповещений (8), число выполняемых задач, имя пользователя admin и системное время.</w:t>
      </w:r>
    </w:p>
    <w:p>
      <w:pPr>
        <w:pStyle w:val="a7"/>
        <w:keepNext/>
        <w:rPr>
          <w:lang w:val="ru-RU" w:eastAsia="en-US"/>
        </w:rPr>
      </w:pPr>
      <w:r>
        <w:rPr>
          <w:lang w:val="ru-RU" w:eastAsia="en-US"/>
        </w:rPr>
        <w:t xml:space="preserve">На панели Dashboard в одном окне собраны сводные сведения о массиве. Каждый блок панели представляет собой отдельное окно с заголовком и кнопками справки, разворачивания и закрытия. Ссылка «Подробно…» в нижней части блока ведёт в соответствующий раздел меню. На панели находятся следующие блоки:</w:t>
      </w:r>
    </w:p>
    <w:p>
      <w:pPr>
        <w:pStyle w:val="a7"/>
        <w:numPr>
          <w:ilvl w:val="0"/>
          <w:numId w:val="17"/>
        </w:numPr>
        <w:ind w:left="0" w:firstLine="709"/>
        <w:rPr>
          <w:lang w:val="ru-RU" w:eastAsia="en-US"/>
        </w:rPr>
      </w:pPr>
      <w:r>
        <w:rPr>
          <w:lang w:val="ru-RU" w:eastAsia="en-US"/>
        </w:rPr>
        <w:t xml:space="preserve">«Системные ресурсы» с круговой диаграммой распределения ёмкости между свободным пространством, типовыми системами хранения (LUN), общими папками, хранилищами VMware и защитой данных;</w:t>
      </w:r>
    </w:p>
    <w:p>
      <w:pPr>
        <w:pStyle w:val="a7"/>
        <w:numPr>
          <w:ilvl w:val="0"/>
          <w:numId w:val="17"/>
        </w:numPr>
        <w:ind w:left="0" w:firstLine="709"/>
        <w:rPr>
          <w:lang w:val="ru-RU" w:eastAsia="en-US"/>
        </w:rPr>
      </w:pPr>
      <w:r>
        <w:rPr>
          <w:lang w:val="ru-RU" w:eastAsia="en-US"/>
        </w:rPr>
        <w:t xml:space="preserve">«Пулы хранения» с диаграммой заполнения пула MultiTier, на которой красная линия отмечает порог оповещения;</w:t>
      </w:r>
    </w:p>
    <w:p>
      <w:pPr>
        <w:pStyle w:val="a7"/>
        <w:numPr>
          <w:ilvl w:val="0"/>
          <w:numId w:val="17"/>
        </w:numPr>
        <w:ind w:left="0" w:firstLine="709"/>
        <w:rPr>
          <w:lang w:val="ru-RU" w:eastAsia="en-US"/>
        </w:rPr>
      </w:pPr>
      <w:r>
        <w:rPr>
          <w:lang w:val="ru-RU" w:eastAsia="en-US"/>
        </w:rPr>
        <w:t xml:space="preserve">«Типичные задачи» со ссылками на мастера создания общих папок, LUN и хранилищ VMware, на просмотр ёмкости и состояния системы, на управление оповещениями;</w:t>
      </w:r>
    </w:p>
    <w:p>
      <w:pPr>
        <w:pStyle w:val="a7"/>
        <w:numPr>
          <w:ilvl w:val="0"/>
          <w:numId w:val="17"/>
        </w:numPr>
        <w:ind w:left="0" w:firstLine="709"/>
        <w:rPr>
          <w:lang w:val="ru-RU" w:eastAsia="en-US"/>
        </w:rPr>
      </w:pPr>
      <w:r>
        <w:rPr>
          <w:lang w:val="ru-RU" w:eastAsia="en-US"/>
        </w:rPr>
        <w:t xml:space="preserve">«Системные оповещения» с журналом событий массива, где видно предупреждение о перезапуске серверов хранения на процессоре SP B.</w:t>
      </w:r>
    </w:p>
    <w:p>
      <w:pPr>
        <w:pStyle w:val="a7"/>
        <w:rPr>
          <w:lang w:val="ru-RU" w:eastAsia="en-US"/>
        </w:rPr>
      </w:pPr>
      <w:r>
        <w:rPr>
          <w:lang w:val="ru-RU" w:eastAsia="en-US"/>
        </w:rPr>
        <w:t xml:space="preserve">Набор блоков меняется кнопкой «Настроить» (Customize) в правом верхнем углу рабочей области. После нажатия над панелью появляется лента доступных элементов: System Information, System Capacity, Storage Pools, Common Tasks, System Alerts, File Systems, LUNs и VMware Datastores. Элемент из ленты мы перетаскиваем мышью в нужное место панели, лишний блок закрываем кнопкой с крестиком.</w:t>
      </w:r>
    </w:p>
    <w:p>
      <w:pPr>
        <w:pStyle w:val="a7"/>
        <w:rPr>
          <w:lang w:val="ru-RU" w:eastAsia="en-US"/>
        </w:rPr>
      </w:pPr>
      <w:r>
        <w:rPr>
          <w:lang w:val="ru-RU" w:eastAsia="en-US"/>
        </w:rPr>
        <w:t xml:space="preserve">Настраиваем панель по заданию. Захватываем заголовок блока System Information и переносим его в верхний правый угол рабочей области. Затем раскрываем список «Настроить» и перетаскиваем элемент LUNs в верхний левый угол. Результат показан на рисунке 1.1.</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4368954"/>
            <wp:effectExtent l="0" t="0" r="0" b="0"/>
            <wp:docPr id="1001" name="Рисунок 1001"/>
            <wp:cNvGraphicFramePr>
              <a:graphicFrameLocks noChangeAspect="1"/>
            </wp:cNvGraphicFramePr>
            <a:graphic>
              <a:graphicData uri="http://schemas.openxmlformats.org/drawingml/2006/picture">
                <pic:pic>
                  <pic:nvPicPr>
                    <pic:cNvPr id="1001" name="fig01.png"/>
                    <pic:cNvPicPr/>
                  </pic:nvPicPr>
                  <pic:blipFill>
                    <a:blip r:embed="rIdFig1"/>
                    <a:stretch>
                      <a:fillRect/>
                    </a:stretch>
                  </pic:blipFill>
                  <pic:spPr>
                    <a:xfrm>
                      <a:off x="0" y="0"/>
                      <a:ext cx="5400000" cy="4368954"/>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1.1 – Панель Dashboard после настройки рабочей области</w:t>
      </w:r>
    </w:p>
    <w:p>
      <w:pPr>
        <w:pStyle w:val="a7"/>
        <w:rPr>
          <w:lang w:val="ru-RU" w:eastAsia="en-US"/>
        </w:rPr>
      </w:pPr>
      <w:r>
        <w:rPr>
          <w:lang w:val="ru-RU" w:eastAsia="en-US"/>
        </w:rPr>
        <w:t xml:space="preserve">В левом верхнем углу теперь находится блок «Типовая система хранения данных» со списком LUN массива: том LUN00 размером 250,0 ГБ и группы LUNGroup-FC (300,0 ГБ) и LUNGroup-iSCSI (2,0 ТБ). Справа расположен блок System Information. По нему видно, что система называется VNXe-H1181, относится к модели VNXe3200, имеет серийный номер FNM00131304285 и работает на программном обеспечении версии 3.0.0.2585212. Зелёный значок в поле System Health означает, что массив исправен. После такой настройки администратор видит сведения о системе и список томов сразу после входа.</w:t>
      </w:r>
    </w:p>
    <w:p>
      <w:pPr>
        <w:pStyle w:val="a7"/>
        <w:rPr>
          <w:lang w:val="ru-RU" w:eastAsia="en-US"/>
        </w:rPr>
      </w:pPr>
      <w:r>
        <w:rPr>
          <w:lang w:val="ru-RU" w:eastAsia="en-US"/>
        </w:rPr>
        <w:t xml:space="preserve">Далее открываем раздел Storage Resource Health: «Система» → «Состояние ресурсов хранения данных». В разделе Unisphere выводит таблицу всех ресурсов хранения массива: LUN, групп LUN, файловых систем и хранилищ данных VMware. Для каждого ресурса в таблице есть значок состояния, имя и тип. При выборе строки справа открывается панель «Состояние виртуального диска». Для группы LUNGroup-FC панель перечисляет входящие в неё тома LUNGroup-FC-00 и LUNGroup-FC-01, их состояние (OK), пул MultiTier, на котором они размещены, и состояние этого пула (OK). Окно раздела показано на рисунке 1.2.</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4368954"/>
            <wp:effectExtent l="0" t="0" r="0" b="0"/>
            <wp:docPr id="1002" name="Рисунок 1002"/>
            <wp:cNvGraphicFramePr>
              <a:graphicFrameLocks noChangeAspect="1"/>
            </wp:cNvGraphicFramePr>
            <a:graphic>
              <a:graphicData uri="http://schemas.openxmlformats.org/drawingml/2006/picture">
                <pic:pic>
                  <pic:nvPicPr>
                    <pic:cNvPr id="1002" name="fig02.png"/>
                    <pic:cNvPicPr/>
                  </pic:nvPicPr>
                  <pic:blipFill>
                    <a:blip r:embed="rIdFig2"/>
                    <a:stretch>
                      <a:fillRect/>
                    </a:stretch>
                  </pic:blipFill>
                  <pic:spPr>
                    <a:xfrm>
                      <a:off x="0" y="0"/>
                      <a:ext cx="5400000" cy="4368954"/>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1.2 – Окно Storage Resource Health</w:t>
      </w:r>
    </w:p>
    <w:p>
      <w:pPr>
        <w:pStyle w:val="a7"/>
        <w:rPr>
          <w:lang w:val="ru-RU" w:eastAsia="en-US"/>
        </w:rPr>
      </w:pPr>
      <w:r>
        <w:rPr>
          <w:lang w:val="ru-RU" w:eastAsia="en-US"/>
        </w:rPr>
        <w:t xml:space="preserve">В этом разделе администратор получает следующие сведения о ресурсах системы: исправен ли ресурс, к какому типу он относится, из каких томов состоит группа, на каком пуле размещён каждый том и в каком состоянии находится пул. Если пул перейдёт в состояние ошибки, по панели видно, какие тома и файловые системы затронет сбой. Перечень ресурсов и их состояние приведены в таблице 1.1.</w:t>
      </w:r>
    </w:p>
    <w:p>
      <w:pPr>
        <w:pStyle w:val="a7"/>
        <w:keepNext/>
        <w:spacing w:before="240" w:after="0"/>
        <w:ind w:firstLine="0"/>
        <w:jc w:val="left"/>
        <w:rPr>
          <w:lang w:val="ru-RU" w:eastAsia="en-US"/>
        </w:rPr>
      </w:pPr>
      <w:r>
        <w:rPr>
          <w:lang w:val="ru-RU" w:eastAsia="en-US"/>
        </w:rPr>
        <w:t xml:space="preserve">Таблица 1.1 – Ресурсы хранения и их состояние</w:t>
      </w:r>
    </w:p>
    <w:tbl>
      <w:tblPr>
        <w:tblStyle w:val="afa"/>
        <w:tblW w:w="9356" w:type="dxa"/>
        <w:tblLayout w:type="fixed"/>
        <w:tblLook w:val="04A0" w:firstRow="1" w:lastRow="0" w:firstColumn="1" w:lastColumn="0" w:noHBand="0" w:noVBand="1"/>
      </w:tblPr>
      <w:tblGrid>
        <w:gridCol w:w="3686"/>
        <w:gridCol w:w="3402"/>
        <w:gridCol w:w="2268"/>
      </w:tblGrid>
      <w:tr>
        <w:trPr>
          <w:cantSplit/>
          <w:tblHeader/>
        </w:trPr>
        <w:tc>
          <w:tcPr>
            <w:tcW w:w="3686" w:type="dxa"/>
          </w:tcPr>
          <w:p>
            <w:pPr>
              <w:pStyle w:val="a7"/>
              <w:keepNext/>
              <w:ind w:firstLine="0"/>
              <w:jc w:val="left"/>
              <w:rPr>
                <w:lang w:val="ru-RU" w:eastAsia="en-US"/>
              </w:rPr>
            </w:pPr>
            <w:r>
              <w:rPr>
                <w:sz w:val="28"/>
                <w:szCs w:val="28"/>
                <w:lang w:val="ru-RU" w:eastAsia="en-US"/>
              </w:rPr>
              <w:t xml:space="preserve">Ресурс хранения</w:t>
            </w:r>
          </w:p>
        </w:tc>
        <w:tc>
          <w:tcPr>
            <w:tcW w:w="3402" w:type="dxa"/>
          </w:tcPr>
          <w:p>
            <w:pPr>
              <w:pStyle w:val="a7"/>
              <w:keepNext/>
              <w:ind w:firstLine="0"/>
              <w:jc w:val="left"/>
              <w:rPr>
                <w:lang w:val="ru-RU" w:eastAsia="en-US"/>
              </w:rPr>
            </w:pPr>
            <w:r>
              <w:rPr>
                <w:sz w:val="28"/>
                <w:szCs w:val="28"/>
                <w:lang w:val="ru-RU" w:eastAsia="en-US"/>
              </w:rPr>
              <w:t xml:space="preserve">Тип</w:t>
            </w:r>
          </w:p>
        </w:tc>
        <w:tc>
          <w:tcPr>
            <w:tcW w:w="2268" w:type="dxa"/>
          </w:tcPr>
          <w:p>
            <w:pPr>
              <w:pStyle w:val="a7"/>
              <w:keepNext/>
              <w:ind w:firstLine="0"/>
              <w:jc w:val="left"/>
              <w:rPr>
                <w:lang w:val="ru-RU" w:eastAsia="en-US"/>
              </w:rPr>
            </w:pPr>
            <w:r>
              <w:rPr>
                <w:sz w:val="28"/>
                <w:szCs w:val="28"/>
                <w:lang w:val="ru-RU" w:eastAsia="en-US"/>
              </w:rPr>
              <w:t xml:space="preserve">Состояние</w:t>
            </w:r>
          </w:p>
        </w:tc>
      </w:tr>
      <w:tr>
        <w:trPr>
          <w:cantSplit/>
        </w:trPr>
        <w:tc>
          <w:tcPr>
            <w:tcW w:w="3686" w:type="dxa"/>
          </w:tcPr>
          <w:p>
            <w:pPr>
              <w:pStyle w:val="a7"/>
              <w:keepNext/>
              <w:ind w:firstLine="0"/>
              <w:jc w:val="left"/>
              <w:rPr>
                <w:lang w:val="ru-RU" w:eastAsia="en-US"/>
              </w:rPr>
            </w:pPr>
            <w:r>
              <w:rPr>
                <w:sz w:val="28"/>
                <w:szCs w:val="28"/>
                <w:lang w:val="ru-RU" w:eastAsia="en-US"/>
              </w:rPr>
              <w:t xml:space="preserve">LUNGroup-iSCSI</w:t>
            </w:r>
          </w:p>
        </w:tc>
        <w:tc>
          <w:tcPr>
            <w:tcW w:w="3402" w:type="dxa"/>
          </w:tcPr>
          <w:p>
            <w:pPr>
              <w:pStyle w:val="a7"/>
              <w:keepNext/>
              <w:ind w:firstLine="0"/>
              <w:jc w:val="left"/>
              <w:rPr>
                <w:lang w:val="ru-RU" w:eastAsia="en-US"/>
              </w:rPr>
            </w:pPr>
            <w:r>
              <w:rPr>
                <w:sz w:val="28"/>
                <w:szCs w:val="28"/>
                <w:lang w:val="ru-RU" w:eastAsia="en-US"/>
              </w:rPr>
              <w:t xml:space="preserve">LUN Group</w:t>
            </w:r>
          </w:p>
        </w:tc>
        <w:tc>
          <w:tcPr>
            <w:tcW w:w="2268" w:type="dxa"/>
          </w:tcPr>
          <w:p>
            <w:pPr>
              <w:pStyle w:val="a7"/>
              <w:keepNext/>
              <w:ind w:firstLine="0"/>
              <w:jc w:val="left"/>
              <w:rPr>
                <w:lang w:val="ru-RU" w:eastAsia="en-US"/>
              </w:rPr>
            </w:pPr>
            <w:r>
              <w:rPr>
                <w:sz w:val="28"/>
                <w:szCs w:val="28"/>
                <w:lang w:val="ru-RU" w:eastAsia="en-US"/>
              </w:rPr>
              <w:t xml:space="preserve">OK</w:t>
            </w:r>
          </w:p>
        </w:tc>
      </w:tr>
      <w:tr>
        <w:trPr>
          <w:cantSplit/>
        </w:trPr>
        <w:tc>
          <w:tcPr>
            <w:tcW w:w="3686" w:type="dxa"/>
          </w:tcPr>
          <w:p>
            <w:pPr>
              <w:pStyle w:val="a7"/>
              <w:keepNext/>
              <w:ind w:firstLine="0"/>
              <w:jc w:val="left"/>
              <w:rPr>
                <w:lang w:val="ru-RU" w:eastAsia="en-US"/>
              </w:rPr>
            </w:pPr>
            <w:r>
              <w:rPr>
                <w:sz w:val="28"/>
                <w:szCs w:val="28"/>
                <w:lang w:val="ru-RU" w:eastAsia="en-US"/>
              </w:rPr>
              <w:t xml:space="preserve">LUNGroup-FC</w:t>
            </w:r>
          </w:p>
        </w:tc>
        <w:tc>
          <w:tcPr>
            <w:tcW w:w="3402" w:type="dxa"/>
          </w:tcPr>
          <w:p>
            <w:pPr>
              <w:pStyle w:val="a7"/>
              <w:keepNext/>
              <w:ind w:firstLine="0"/>
              <w:jc w:val="left"/>
              <w:rPr>
                <w:lang w:val="ru-RU" w:eastAsia="en-US"/>
              </w:rPr>
            </w:pPr>
            <w:r>
              <w:rPr>
                <w:sz w:val="28"/>
                <w:szCs w:val="28"/>
                <w:lang w:val="ru-RU" w:eastAsia="en-US"/>
              </w:rPr>
              <w:t xml:space="preserve">LUN Group</w:t>
            </w:r>
          </w:p>
        </w:tc>
        <w:tc>
          <w:tcPr>
            <w:tcW w:w="2268" w:type="dxa"/>
          </w:tcPr>
          <w:p>
            <w:pPr>
              <w:pStyle w:val="a7"/>
              <w:keepNext/>
              <w:ind w:firstLine="0"/>
              <w:jc w:val="left"/>
              <w:rPr>
                <w:lang w:val="ru-RU" w:eastAsia="en-US"/>
              </w:rPr>
            </w:pPr>
            <w:r>
              <w:rPr>
                <w:sz w:val="28"/>
                <w:szCs w:val="28"/>
                <w:lang w:val="ru-RU" w:eastAsia="en-US"/>
              </w:rPr>
              <w:t xml:space="preserve">OK</w:t>
            </w:r>
          </w:p>
        </w:tc>
      </w:tr>
      <w:tr>
        <w:trPr>
          <w:cantSplit/>
        </w:trPr>
        <w:tc>
          <w:tcPr>
            <w:tcW w:w="3686" w:type="dxa"/>
          </w:tcPr>
          <w:p>
            <w:pPr>
              <w:pStyle w:val="a7"/>
              <w:keepNext/>
              <w:ind w:firstLine="0"/>
              <w:jc w:val="left"/>
              <w:rPr>
                <w:lang w:val="ru-RU" w:eastAsia="en-US"/>
              </w:rPr>
            </w:pPr>
            <w:r>
              <w:rPr>
                <w:sz w:val="28"/>
                <w:szCs w:val="28"/>
                <w:lang w:val="ru-RU" w:eastAsia="en-US"/>
              </w:rPr>
              <w:t xml:space="preserve">LUN00</w:t>
            </w:r>
          </w:p>
        </w:tc>
        <w:tc>
          <w:tcPr>
            <w:tcW w:w="3402" w:type="dxa"/>
          </w:tcPr>
          <w:p>
            <w:pPr>
              <w:pStyle w:val="a7"/>
              <w:keepNext/>
              <w:ind w:firstLine="0"/>
              <w:jc w:val="left"/>
              <w:rPr>
                <w:lang w:val="ru-RU" w:eastAsia="en-US"/>
              </w:rPr>
            </w:pPr>
            <w:r>
              <w:rPr>
                <w:sz w:val="28"/>
                <w:szCs w:val="28"/>
                <w:lang w:val="ru-RU" w:eastAsia="en-US"/>
              </w:rPr>
              <w:t xml:space="preserve">LUN</w:t>
            </w:r>
          </w:p>
        </w:tc>
        <w:tc>
          <w:tcPr>
            <w:tcW w:w="2268" w:type="dxa"/>
          </w:tcPr>
          <w:p>
            <w:pPr>
              <w:pStyle w:val="a7"/>
              <w:keepNext/>
              <w:ind w:firstLine="0"/>
              <w:jc w:val="left"/>
              <w:rPr>
                <w:lang w:val="ru-RU" w:eastAsia="en-US"/>
              </w:rPr>
            </w:pPr>
            <w:r>
              <w:rPr>
                <w:sz w:val="28"/>
                <w:szCs w:val="28"/>
                <w:lang w:val="ru-RU" w:eastAsia="en-US"/>
              </w:rPr>
              <w:t xml:space="preserve">OK</w:t>
            </w:r>
          </w:p>
        </w:tc>
      </w:tr>
      <w:tr>
        <w:trPr>
          <w:cantSplit/>
        </w:trPr>
        <w:tc>
          <w:tcPr>
            <w:tcW w:w="3686" w:type="dxa"/>
          </w:tcPr>
          <w:p>
            <w:pPr>
              <w:pStyle w:val="a7"/>
              <w:keepNext/>
              <w:ind w:firstLine="0"/>
              <w:jc w:val="left"/>
              <w:rPr>
                <w:lang w:val="ru-RU" w:eastAsia="en-US"/>
              </w:rPr>
            </w:pPr>
            <w:r>
              <w:rPr>
                <w:sz w:val="28"/>
                <w:szCs w:val="28"/>
                <w:lang w:val="ru-RU" w:eastAsia="en-US"/>
              </w:rPr>
              <w:t xml:space="preserve">FileSystem01</w:t>
            </w:r>
          </w:p>
        </w:tc>
        <w:tc>
          <w:tcPr>
            <w:tcW w:w="3402" w:type="dxa"/>
          </w:tcPr>
          <w:p>
            <w:pPr>
              <w:pStyle w:val="a7"/>
              <w:keepNext/>
              <w:ind w:firstLine="0"/>
              <w:jc w:val="left"/>
              <w:rPr>
                <w:lang w:val="ru-RU" w:eastAsia="en-US"/>
              </w:rPr>
            </w:pPr>
            <w:r>
              <w:rPr>
                <w:sz w:val="28"/>
                <w:szCs w:val="28"/>
                <w:lang w:val="ru-RU" w:eastAsia="en-US"/>
              </w:rPr>
              <w:t xml:space="preserve">File System</w:t>
            </w:r>
          </w:p>
        </w:tc>
        <w:tc>
          <w:tcPr>
            <w:tcW w:w="2268" w:type="dxa"/>
          </w:tcPr>
          <w:p>
            <w:pPr>
              <w:pStyle w:val="a7"/>
              <w:keepNext/>
              <w:ind w:firstLine="0"/>
              <w:jc w:val="left"/>
              <w:rPr>
                <w:lang w:val="ru-RU" w:eastAsia="en-US"/>
              </w:rPr>
            </w:pPr>
            <w:r>
              <w:rPr>
                <w:sz w:val="28"/>
                <w:szCs w:val="28"/>
                <w:lang w:val="ru-RU" w:eastAsia="en-US"/>
              </w:rPr>
              <w:t xml:space="preserve">OK</w:t>
            </w:r>
          </w:p>
        </w:tc>
      </w:tr>
      <w:tr>
        <w:trPr>
          <w:cantSplit/>
        </w:trPr>
        <w:tc>
          <w:tcPr>
            <w:tcW w:w="3686" w:type="dxa"/>
          </w:tcPr>
          <w:p>
            <w:pPr>
              <w:pStyle w:val="a7"/>
              <w:keepNext/>
              <w:ind w:firstLine="0"/>
              <w:jc w:val="left"/>
              <w:rPr>
                <w:lang w:val="ru-RU" w:eastAsia="en-US"/>
              </w:rPr>
            </w:pPr>
            <w:r>
              <w:rPr>
                <w:sz w:val="28"/>
                <w:szCs w:val="28"/>
                <w:lang w:val="ru-RU" w:eastAsia="en-US"/>
              </w:rPr>
              <w:t xml:space="preserve">FileSystem00</w:t>
            </w:r>
          </w:p>
        </w:tc>
        <w:tc>
          <w:tcPr>
            <w:tcW w:w="3402" w:type="dxa"/>
          </w:tcPr>
          <w:p>
            <w:pPr>
              <w:pStyle w:val="a7"/>
              <w:keepNext/>
              <w:ind w:firstLine="0"/>
              <w:jc w:val="left"/>
              <w:rPr>
                <w:lang w:val="ru-RU" w:eastAsia="en-US"/>
              </w:rPr>
            </w:pPr>
            <w:r>
              <w:rPr>
                <w:sz w:val="28"/>
                <w:szCs w:val="28"/>
                <w:lang w:val="ru-RU" w:eastAsia="en-US"/>
              </w:rPr>
              <w:t xml:space="preserve">File System</w:t>
            </w:r>
          </w:p>
        </w:tc>
        <w:tc>
          <w:tcPr>
            <w:tcW w:w="2268" w:type="dxa"/>
          </w:tcPr>
          <w:p>
            <w:pPr>
              <w:pStyle w:val="a7"/>
              <w:keepNext/>
              <w:ind w:firstLine="0"/>
              <w:jc w:val="left"/>
              <w:rPr>
                <w:lang w:val="ru-RU" w:eastAsia="en-US"/>
              </w:rPr>
            </w:pPr>
            <w:r>
              <w:rPr>
                <w:sz w:val="28"/>
                <w:szCs w:val="28"/>
                <w:lang w:val="ru-RU" w:eastAsia="en-US"/>
              </w:rPr>
              <w:t xml:space="preserve">OK</w:t>
            </w:r>
          </w:p>
        </w:tc>
      </w:tr>
      <w:tr>
        <w:trPr>
          <w:cantSplit/>
        </w:trPr>
        <w:tc>
          <w:tcPr>
            <w:tcW w:w="3686" w:type="dxa"/>
          </w:tcPr>
          <w:p>
            <w:pPr>
              <w:pStyle w:val="a7"/>
              <w:keepNext/>
              <w:ind w:firstLine="0"/>
              <w:jc w:val="left"/>
              <w:rPr>
                <w:lang w:val="ru-RU" w:eastAsia="en-US"/>
              </w:rPr>
            </w:pPr>
            <w:r>
              <w:rPr>
                <w:sz w:val="28"/>
                <w:szCs w:val="28"/>
                <w:lang w:val="ru-RU" w:eastAsia="en-US"/>
              </w:rPr>
              <w:t xml:space="preserve">Datastore01</w:t>
            </w:r>
          </w:p>
        </w:tc>
        <w:tc>
          <w:tcPr>
            <w:tcW w:w="3402" w:type="dxa"/>
          </w:tcPr>
          <w:p>
            <w:pPr>
              <w:pStyle w:val="a7"/>
              <w:keepNext/>
              <w:ind w:firstLine="0"/>
              <w:jc w:val="left"/>
              <w:rPr>
                <w:lang w:val="ru-RU" w:eastAsia="en-US"/>
              </w:rPr>
            </w:pPr>
            <w:r>
              <w:rPr>
                <w:sz w:val="28"/>
                <w:szCs w:val="28"/>
                <w:lang w:val="ru-RU" w:eastAsia="en-US"/>
              </w:rPr>
              <w:t xml:space="preserve">VMware (VMFS)</w:t>
            </w:r>
          </w:p>
        </w:tc>
        <w:tc>
          <w:tcPr>
            <w:tcW w:w="2268" w:type="dxa"/>
          </w:tcPr>
          <w:p>
            <w:pPr>
              <w:pStyle w:val="a7"/>
              <w:keepNext/>
              <w:ind w:firstLine="0"/>
              <w:jc w:val="left"/>
              <w:rPr>
                <w:lang w:val="ru-RU" w:eastAsia="en-US"/>
              </w:rPr>
            </w:pPr>
            <w:r>
              <w:rPr>
                <w:sz w:val="28"/>
                <w:szCs w:val="28"/>
                <w:lang w:val="ru-RU" w:eastAsia="en-US"/>
              </w:rPr>
              <w:t xml:space="preserve">OK</w:t>
            </w:r>
          </w:p>
        </w:tc>
      </w:tr>
      <w:tr>
        <w:trPr>
          <w:cantSplit/>
        </w:trPr>
        <w:tc>
          <w:tcPr>
            <w:tcW w:w="3686" w:type="dxa"/>
          </w:tcPr>
          <w:p>
            <w:pPr>
              <w:pStyle w:val="a7"/>
              <w:ind w:firstLine="0"/>
              <w:jc w:val="left"/>
              <w:rPr>
                <w:lang w:val="ru-RU" w:eastAsia="en-US"/>
              </w:rPr>
            </w:pPr>
            <w:r>
              <w:rPr>
                <w:sz w:val="28"/>
                <w:szCs w:val="28"/>
                <w:lang w:val="ru-RU" w:eastAsia="en-US"/>
              </w:rPr>
              <w:t xml:space="preserve">Datastore00</w:t>
            </w:r>
          </w:p>
        </w:tc>
        <w:tc>
          <w:tcPr>
            <w:tcW w:w="3402" w:type="dxa"/>
          </w:tcPr>
          <w:p>
            <w:pPr>
              <w:pStyle w:val="a7"/>
              <w:ind w:firstLine="0"/>
              <w:jc w:val="left"/>
              <w:rPr>
                <w:lang w:val="ru-RU" w:eastAsia="en-US"/>
              </w:rPr>
            </w:pPr>
            <w:r>
              <w:rPr>
                <w:sz w:val="28"/>
                <w:szCs w:val="28"/>
                <w:lang w:val="ru-RU" w:eastAsia="en-US"/>
              </w:rPr>
              <w:t xml:space="preserve">VMware (NFS)</w:t>
            </w:r>
          </w:p>
        </w:tc>
        <w:tc>
          <w:tcPr>
            <w:tcW w:w="2268" w:type="dxa"/>
          </w:tcPr>
          <w:p>
            <w:pPr>
              <w:pStyle w:val="a7"/>
              <w:ind w:firstLine="0"/>
              <w:jc w:val="left"/>
              <w:rPr>
                <w:lang w:val="ru-RU" w:eastAsia="en-US"/>
              </w:rPr>
            </w:pPr>
            <w:r>
              <w:rPr>
                <w:sz w:val="28"/>
                <w:szCs w:val="28"/>
                <w:lang w:val="ru-RU" w:eastAsia="en-US"/>
              </w:rPr>
              <w:t xml:space="preserve">OK</w:t>
            </w:r>
          </w:p>
        </w:tc>
      </w:tr>
    </w:tbl>
    <w:p>
      <w:pPr>
        <w:pStyle w:val="a7"/>
        <w:spacing w:before="320"/>
        <w:rPr>
          <w:lang w:val="ru-RU" w:eastAsia="en-US"/>
        </w:rPr>
      </w:pPr>
      <w:r>
        <w:rPr>
          <w:lang w:val="ru-RU" w:eastAsia="en-US"/>
        </w:rPr>
        <w:t xml:space="preserve">В системе две файловые системы: FileSystem00 и FileSystem01. Обе находятся в состоянии OK. Остальные ресурсы (две группы LUN, том LUN00 и два хранилища VMware) тоже работают без ошибок, значит конфигурация массива корректна и на нём можно создавать новые ресурсы.</w:t>
      </w:r>
    </w:p>
    <w:p>
      <w:pPr>
        <w:pStyle w:val="a7"/>
        <w:rPr>
          <w:lang w:val="ru-RU" w:eastAsia="en-US"/>
        </w:rPr>
      </w:pPr>
      <w:r>
        <w:rPr>
          <w:lang w:val="ru-RU" w:eastAsia="en-US"/>
        </w:rPr>
        <w:t xml:space="preserve">Следующее задание относится к пулам хранения. Пул объединяет физические диски массива в общее пространство, из которого массив выделяет LUN и файловые системы. Переходим в меню управления пулами: «Система хранения данных» → Storage Configuration → «Пулы хранения». На вкладке List View выбираем пул MultiTier и открываем его описание кнопкой Details. Окно пула содержит шесть вкладок: «Общие», «Использование», FAST VP, «Диски», Settings и «Представление статистики пулов». Вкладка «Общие» показана на рисунке 1.3.</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4368955"/>
            <wp:effectExtent l="0" t="0" r="0" b="0"/>
            <wp:docPr id="1003" name="Рисунок 1003"/>
            <wp:cNvGraphicFramePr>
              <a:graphicFrameLocks noChangeAspect="1"/>
            </wp:cNvGraphicFramePr>
            <a:graphic>
              <a:graphicData uri="http://schemas.openxmlformats.org/drawingml/2006/picture">
                <pic:pic>
                  <pic:nvPicPr>
                    <pic:cNvPr id="1003" name="fig03.png"/>
                    <pic:cNvPicPr/>
                  </pic:nvPicPr>
                  <pic:blipFill>
                    <a:blip r:embed="rIdFig3"/>
                    <a:stretch>
                      <a:fillRect/>
                    </a:stretch>
                  </pic:blipFill>
                  <pic:spPr>
                    <a:xfrm>
                      <a:off x="0" y="0"/>
                      <a:ext cx="5400000" cy="4368955"/>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1.3 – Общие сведения о пуле MultiTier</w:t>
      </w:r>
    </w:p>
    <w:p>
      <w:pPr>
        <w:pStyle w:val="a7"/>
        <w:keepNext/>
        <w:rPr>
          <w:lang w:val="ru-RU" w:eastAsia="en-US"/>
        </w:rPr>
      </w:pPr>
      <w:r>
        <w:rPr>
          <w:lang w:val="ru-RU" w:eastAsia="en-US"/>
        </w:rPr>
        <w:t xml:space="preserve">На вкладке «Общие» указаны:</w:t>
      </w:r>
    </w:p>
    <w:p>
      <w:pPr>
        <w:pStyle w:val="a7"/>
        <w:numPr>
          <w:ilvl w:val="0"/>
          <w:numId w:val="17"/>
        </w:numPr>
        <w:ind w:left="0" w:firstLine="709"/>
        <w:rPr>
          <w:lang w:val="ru-RU" w:eastAsia="en-US"/>
        </w:rPr>
      </w:pPr>
      <w:r>
        <w:rPr>
          <w:lang w:val="ru-RU" w:eastAsia="en-US"/>
        </w:rPr>
        <w:t xml:space="preserve">состояние пула (OK);</w:t>
      </w:r>
    </w:p>
    <w:p>
      <w:pPr>
        <w:pStyle w:val="a7"/>
        <w:numPr>
          <w:ilvl w:val="0"/>
          <w:numId w:val="17"/>
        </w:numPr>
        <w:ind w:left="0" w:firstLine="709"/>
        <w:rPr>
          <w:lang w:val="ru-RU" w:eastAsia="en-US"/>
        </w:rPr>
      </w:pPr>
      <w:r>
        <w:rPr>
          <w:lang w:val="ru-RU" w:eastAsia="en-US"/>
        </w:rPr>
        <w:t xml:space="preserve">имя пула (MultiTier) и его описание (Pool with Performance and Capacity disks.);</w:t>
      </w:r>
    </w:p>
    <w:p>
      <w:pPr>
        <w:pStyle w:val="a7"/>
        <w:numPr>
          <w:ilvl w:val="0"/>
          <w:numId w:val="17"/>
        </w:numPr>
        <w:ind w:left="0" w:firstLine="709"/>
        <w:rPr>
          <w:lang w:val="ru-RU" w:eastAsia="en-US"/>
        </w:rPr>
      </w:pPr>
      <w:r>
        <w:rPr>
          <w:lang w:val="ru-RU" w:eastAsia="en-US"/>
        </w:rPr>
        <w:t xml:space="preserve">общее пространство пула;</w:t>
      </w:r>
    </w:p>
    <w:p>
      <w:pPr>
        <w:pStyle w:val="a7"/>
        <w:numPr>
          <w:ilvl w:val="0"/>
          <w:numId w:val="17"/>
        </w:numPr>
        <w:ind w:left="0" w:firstLine="709"/>
        <w:rPr>
          <w:lang w:val="ru-RU" w:eastAsia="en-US"/>
        </w:rPr>
      </w:pPr>
      <w:r>
        <w:rPr>
          <w:lang w:val="ru-RU" w:eastAsia="en-US"/>
        </w:rPr>
        <w:t xml:space="preserve">состав уровня Performance Tier: пять дисков SAS в группе RAID 5 по схеме 4+1;</w:t>
      </w:r>
    </w:p>
    <w:p>
      <w:pPr>
        <w:pStyle w:val="a7"/>
        <w:numPr>
          <w:ilvl w:val="0"/>
          <w:numId w:val="17"/>
        </w:numPr>
        <w:ind w:left="0" w:firstLine="709"/>
        <w:rPr>
          <w:lang w:val="ru-RU" w:eastAsia="en-US"/>
        </w:rPr>
      </w:pPr>
      <w:r>
        <w:rPr>
          <w:lang w:val="ru-RU" w:eastAsia="en-US"/>
        </w:rPr>
        <w:t xml:space="preserve">состав уровня Capacity Tier: пять дисков NL SAS в группе RAID 5 по схеме 4+1.</w:t>
      </w:r>
    </w:p>
    <w:p>
      <w:pPr>
        <w:pStyle w:val="a7"/>
        <w:rPr>
          <w:lang w:val="ru-RU" w:eastAsia="en-US"/>
        </w:rPr>
      </w:pPr>
      <w:r>
        <w:rPr>
          <w:lang w:val="ru-RU" w:eastAsia="en-US"/>
        </w:rPr>
        <w:t xml:space="preserve">Пул MultiTier многоуровневый. Быстрые диски SAS образуют уровень производительности, ёмкие и более дешёвые диски NL SAS образуют уровень ёмкости. В схеме RAID 5 (4+1) ёмкость четырёх дисков уходит под данные, а ёмкость одного диска занимает контрольная информация (чётность), распределённая по всем пяти дискам. Группа продолжает работать при отказе любого одного диска. Поля ёмкости на этой вкладке симулятор заполняет значением 0,0 ТБ, хотя мастер создания файловой системы показывает для того же пула 9,2 ТБ свободного места (рисунок 1.20). Это особенность демонстрационной версии.</w:t>
      </w:r>
    </w:p>
    <w:p>
      <w:pPr>
        <w:pStyle w:val="a7"/>
        <w:rPr>
          <w:lang w:val="ru-RU" w:eastAsia="en-US"/>
        </w:rPr>
      </w:pPr>
      <w:r>
        <w:rPr>
          <w:lang w:val="ru-RU" w:eastAsia="en-US"/>
        </w:rPr>
        <w:t xml:space="preserve">На вкладке «Общие» можно изменить имя и описание пула. Изменения сохраняет кнопка «Применить изменения», отменяет кнопка «Отменить изменения». Кнопка «Добавить диски» расширяет пул новыми накопителями. Тип RAID, состав уровней и состояние пула вкладка только отображает.</w:t>
      </w:r>
    </w:p>
    <w:p>
      <w:pPr>
        <w:pStyle w:val="a7"/>
        <w:rPr>
          <w:lang w:val="ru-RU" w:eastAsia="en-US"/>
        </w:rPr>
      </w:pPr>
      <w:r>
        <w:rPr>
          <w:lang w:val="ru-RU" w:eastAsia="en-US"/>
        </w:rPr>
        <w:t xml:space="preserve">Выбираем вкладку «Использование» (Utilization). На ней Unisphere показывает полосу заполнения пула и числовые показатели: выделенное пространство, объём снимков (Snapshot Size Used), оставшееся пространство, уровень подписки, порог оповещения и общее пространство. Ниже расположена таблица уровней хранения с типом дисков, их количеством, общим и оставшимся пространством: Performance Tier на пяти дисках SAS и Capacity Tier на пяти дисках NL SAS.</w:t>
      </w:r>
    </w:p>
    <w:p>
      <w:pPr>
        <w:pStyle w:val="a7"/>
        <w:rPr>
          <w:lang w:val="ru-RU" w:eastAsia="en-US"/>
        </w:rPr>
      </w:pPr>
      <w:r>
        <w:rPr>
          <w:lang w:val="ru-RU" w:eastAsia="en-US"/>
        </w:rPr>
        <w:t xml:space="preserve">Подписка пула MultiTier составляет 145 %. Подписка выше 100 % получается из-за тонкого выделения: хостам выдано больше ёмкости, чем физически есть в пуле, а реальное место расходуется по мере записи данных. При такой переподписке пул может заполниться раньше, чем хосты используют выданные им тома, поэтому администратору нужен заблаговременный сигнал. Такой сигнал Unisphere выдаёт при достижении порога оповещения (Alert Threshold).</w:t>
      </w:r>
    </w:p>
    <w:p>
      <w:pPr>
        <w:pStyle w:val="a7"/>
        <w:rPr>
          <w:lang w:val="ru-RU" w:eastAsia="en-US"/>
        </w:rPr>
      </w:pPr>
      <w:r>
        <w:rPr>
          <w:lang w:val="ru-RU" w:eastAsia="en-US"/>
        </w:rPr>
        <w:t xml:space="preserve">Перемещаем ползунок «Пороговое значение для оповещений» на отметку 50 % (рисунок 1.4). Пока изменение не сохранено, Unisphere помечает название вкладки звёздочкой («*Использование»).</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3518601"/>
            <wp:effectExtent l="0" t="0" r="0" b="0"/>
            <wp:docPr id="1004" name="Рисунок 1004"/>
            <wp:cNvGraphicFramePr>
              <a:graphicFrameLocks noChangeAspect="1"/>
            </wp:cNvGraphicFramePr>
            <a:graphic>
              <a:graphicData uri="http://schemas.openxmlformats.org/drawingml/2006/picture">
                <pic:pic>
                  <pic:nvPicPr>
                    <pic:cNvPr id="1004" name="fig04.png"/>
                    <pic:cNvPicPr/>
                  </pic:nvPicPr>
                  <pic:blipFill>
                    <a:blip r:embed="rIdFig4"/>
                    <a:stretch>
                      <a:fillRect/>
                    </a:stretch>
                  </pic:blipFill>
                  <pic:spPr>
                    <a:xfrm>
                      <a:off x="0" y="0"/>
                      <a:ext cx="5400000" cy="3518601"/>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1.4 – Установка порога оповещения 50 % на вкладке «Использование»</w:t>
      </w:r>
    </w:p>
    <w:p>
      <w:pPr>
        <w:pStyle w:val="a7"/>
        <w:rPr>
          <w:lang w:val="ru-RU" w:eastAsia="en-US"/>
        </w:rPr>
      </w:pPr>
      <w:r>
        <w:rPr>
          <w:lang w:val="ru-RU" w:eastAsia="en-US"/>
        </w:rPr>
        <w:t xml:space="preserve">Нажимаем «Применить изменения». Unisphere запускает задачу изменения пула и по её завершении выводит сообщение Job Completed с текстом «The Modify storage pool task completed successfully» (рисунок 1.5). Звёздочка в названии вкладки исчезает, кнопки сохранения и отмены становятся неактивными.</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3518601"/>
            <wp:effectExtent l="0" t="0" r="0" b="0"/>
            <wp:docPr id="1005" name="Рисунок 1005"/>
            <wp:cNvGraphicFramePr>
              <a:graphicFrameLocks noChangeAspect="1"/>
            </wp:cNvGraphicFramePr>
            <a:graphic>
              <a:graphicData uri="http://schemas.openxmlformats.org/drawingml/2006/picture">
                <pic:pic>
                  <pic:nvPicPr>
                    <pic:cNvPr id="1005" name="fig05.png"/>
                    <pic:cNvPicPr/>
                  </pic:nvPicPr>
                  <pic:blipFill>
                    <a:blip r:embed="rIdFig5"/>
                    <a:stretch>
                      <a:fillRect/>
                    </a:stretch>
                  </pic:blipFill>
                  <pic:spPr>
                    <a:xfrm>
                      <a:off x="0" y="0"/>
                      <a:ext cx="5400000" cy="3518601"/>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1.5 – Сообщение об успешном изменении пула</w:t>
      </w:r>
    </w:p>
    <w:p>
      <w:pPr>
        <w:pStyle w:val="a7"/>
        <w:rPr>
          <w:lang w:val="ru-RU" w:eastAsia="en-US"/>
        </w:rPr>
      </w:pPr>
      <w:r>
        <w:rPr>
          <w:lang w:val="ru-RU" w:eastAsia="en-US"/>
        </w:rPr>
        <w:t xml:space="preserve">Порог оповещения задаёт долю заполнения пула, после которой система начинает выдавать предупреждения. Чем ниже порог, тем при меньшем объёме занятых данных приходят оповещения и тем больше их накапливается в журнале. При пороге 50 % администратор узнаёт о росте данных, когда в пуле остаётся ещё половина места, и успевает добавить диски или перенести ресурсы на другой пул.</w:t>
      </w:r>
    </w:p>
    <w:p>
      <w:pPr>
        <w:pStyle w:val="a7"/>
        <w:rPr>
          <w:lang w:val="ru-RU" w:eastAsia="en-US"/>
        </w:rPr>
      </w:pPr>
      <w:r>
        <w:rPr>
          <w:lang w:val="ru-RU" w:eastAsia="en-US"/>
        </w:rPr>
        <w:t xml:space="preserve">Следующий шаг касается подключения хостов. Хост обращается к массиву через инициатор (Initiator). Инициатор протокола iSCSI имеет имя IQN (iSCSI Qualified Name), инициатор Fibre Channel имеет адрес WWN (World Wide Name). Путь (Initiator Path) связывает инициатор с конкретным целевым портом процессора хранения SP A или SP B.</w:t>
      </w:r>
    </w:p>
    <w:p>
      <w:pPr>
        <w:pStyle w:val="a7"/>
        <w:rPr>
          <w:lang w:val="ru-RU" w:eastAsia="en-US"/>
        </w:rPr>
      </w:pPr>
      <w:r>
        <w:rPr>
          <w:lang w:val="ru-RU" w:eastAsia="en-US"/>
        </w:rPr>
        <w:t xml:space="preserve">Открываем раздел «Хосты» и вкладку Initiators. Под заголовком раздела расположены две вкладки: Initiators и Initiator Paths. Выбираем вторую (рисунок 1.6).</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3518601"/>
            <wp:effectExtent l="0" t="0" r="0" b="0"/>
            <wp:docPr id="1006" name="Рисунок 1006"/>
            <wp:cNvGraphicFramePr>
              <a:graphicFrameLocks noChangeAspect="1"/>
            </wp:cNvGraphicFramePr>
            <a:graphic>
              <a:graphicData uri="http://schemas.openxmlformats.org/drawingml/2006/picture">
                <pic:pic>
                  <pic:nvPicPr>
                    <pic:cNvPr id="1006" name="fig06.png"/>
                    <pic:cNvPicPr/>
                  </pic:nvPicPr>
                  <pic:blipFill>
                    <a:blip r:embed="rIdFig6"/>
                    <a:stretch>
                      <a:fillRect/>
                    </a:stretch>
                  </pic:blipFill>
                  <pic:spPr>
                    <a:xfrm>
                      <a:off x="0" y="0"/>
                      <a:ext cx="5400000" cy="3518601"/>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1.6 – Вкладка Initiator Paths</w:t>
      </w:r>
    </w:p>
    <w:p>
      <w:pPr>
        <w:pStyle w:val="a7"/>
        <w:rPr>
          <w:lang w:val="ru-RU" w:eastAsia="en-US"/>
        </w:rPr>
      </w:pPr>
      <w:r>
        <w:rPr>
          <w:lang w:val="ru-RU" w:eastAsia="en-US"/>
        </w:rPr>
        <w:t xml:space="preserve">Таблица путей содержит пять столбцов: идентификатор инициатора (Initiator IQN/WWN), хост, протокол, целевой порт (Target Port) и признак входа в систему (Logged In). Всего в системе 14 путей от семи инициаторов. Сводка по инициаторам приведена в таблице 1.2.</w:t>
      </w:r>
    </w:p>
    <w:p>
      <w:pPr>
        <w:pStyle w:val="a7"/>
        <w:keepNext/>
        <w:spacing w:before="240" w:after="0"/>
        <w:ind w:firstLine="0"/>
        <w:jc w:val="left"/>
        <w:rPr>
          <w:lang w:val="ru-RU" w:eastAsia="en-US"/>
        </w:rPr>
      </w:pPr>
      <w:r>
        <w:rPr>
          <w:lang w:val="ru-RU" w:eastAsia="en-US"/>
        </w:rPr>
        <w:t xml:space="preserve">Таблица 1.2 – Инициаторы и число их путей</w:t>
      </w:r>
    </w:p>
    <w:tbl>
      <w:tblPr>
        <w:tblStyle w:val="afa"/>
        <w:tblW w:w="9354" w:type="dxa"/>
        <w:tblLayout w:type="fixed"/>
        <w:tblLook w:val="04A0" w:firstRow="1" w:lastRow="0" w:firstColumn="1" w:lastColumn="0" w:noHBand="0" w:noVBand="1"/>
      </w:tblPr>
      <w:tblGrid>
        <w:gridCol w:w="1814"/>
        <w:gridCol w:w="1247"/>
        <w:gridCol w:w="5443"/>
        <w:gridCol w:w="850"/>
      </w:tblGrid>
      <w:tr>
        <w:trPr>
          <w:cantSplit/>
          <w:tblHeader/>
        </w:trPr>
        <w:tc>
          <w:tcPr>
            <w:tcW w:w="1814" w:type="dxa"/>
          </w:tcPr>
          <w:p>
            <w:pPr>
              <w:pStyle w:val="a7"/>
              <w:keepNext/>
              <w:ind w:firstLine="0"/>
              <w:jc w:val="left"/>
              <w:rPr>
                <w:lang w:val="ru-RU" w:eastAsia="en-US"/>
              </w:rPr>
            </w:pPr>
            <w:r>
              <w:rPr>
                <w:sz w:val="24"/>
                <w:szCs w:val="24"/>
                <w:lang w:val="ru-RU" w:eastAsia="en-US"/>
              </w:rPr>
              <w:t xml:space="preserve">Хост</w:t>
            </w:r>
          </w:p>
        </w:tc>
        <w:tc>
          <w:tcPr>
            <w:tcW w:w="1247" w:type="dxa"/>
          </w:tcPr>
          <w:p>
            <w:pPr>
              <w:pStyle w:val="a7"/>
              <w:keepNext/>
              <w:ind w:firstLine="0"/>
              <w:jc w:val="left"/>
              <w:rPr>
                <w:lang w:val="ru-RU" w:eastAsia="en-US"/>
              </w:rPr>
            </w:pPr>
            <w:r>
              <w:rPr>
                <w:sz w:val="24"/>
                <w:szCs w:val="24"/>
                <w:lang w:val="ru-RU" w:eastAsia="en-US"/>
              </w:rPr>
              <w:t xml:space="preserve">Протокол</w:t>
            </w:r>
          </w:p>
        </w:tc>
        <w:tc>
          <w:tcPr>
            <w:tcW w:w="5443" w:type="dxa"/>
          </w:tcPr>
          <w:p>
            <w:pPr>
              <w:pStyle w:val="a7"/>
              <w:keepNext/>
              <w:ind w:firstLine="0"/>
              <w:jc w:val="left"/>
              <w:rPr>
                <w:lang w:val="ru-RU" w:eastAsia="en-US"/>
              </w:rPr>
            </w:pPr>
            <w:r>
              <w:rPr>
                <w:sz w:val="24"/>
                <w:szCs w:val="24"/>
                <w:lang w:val="ru-RU" w:eastAsia="en-US"/>
              </w:rPr>
              <w:t xml:space="preserve">Инициатор (IQN/WWN)</w:t>
            </w:r>
          </w:p>
        </w:tc>
        <w:tc>
          <w:tcPr>
            <w:tcW w:w="850" w:type="dxa"/>
          </w:tcPr>
          <w:p>
            <w:pPr>
              <w:pStyle w:val="a7"/>
              <w:keepNext/>
              <w:ind w:firstLine="0"/>
              <w:jc w:val="left"/>
              <w:rPr>
                <w:lang w:val="ru-RU" w:eastAsia="en-US"/>
              </w:rPr>
            </w:pPr>
            <w:r>
              <w:rPr>
                <w:sz w:val="24"/>
                <w:szCs w:val="24"/>
                <w:lang w:val="ru-RU" w:eastAsia="en-US"/>
              </w:rPr>
              <w:t xml:space="preserve">Пути</w:t>
            </w:r>
          </w:p>
        </w:tc>
      </w:tr>
      <w:tr>
        <w:trPr>
          <w:cantSplit/>
        </w:trPr>
        <w:tc>
          <w:tcPr>
            <w:tcW w:w="1814" w:type="dxa"/>
          </w:tcPr>
          <w:p>
            <w:pPr>
              <w:pStyle w:val="a7"/>
              <w:keepNext/>
              <w:ind w:firstLine="0"/>
              <w:jc w:val="left"/>
              <w:rPr>
                <w:lang w:val="ru-RU" w:eastAsia="en-US"/>
              </w:rPr>
            </w:pPr>
            <w:r>
              <w:rPr>
                <w:sz w:val="24"/>
                <w:szCs w:val="24"/>
                <w:lang w:val="ru-RU" w:eastAsia="en-US"/>
              </w:rPr>
              <w:t xml:space="preserve">10.244.214.222</w:t>
            </w:r>
          </w:p>
        </w:tc>
        <w:tc>
          <w:tcPr>
            <w:tcW w:w="1247" w:type="dxa"/>
          </w:tcPr>
          <w:p>
            <w:pPr>
              <w:pStyle w:val="a7"/>
              <w:keepNext/>
              <w:ind w:firstLine="0"/>
              <w:jc w:val="left"/>
              <w:rPr>
                <w:lang w:val="ru-RU" w:eastAsia="en-US"/>
              </w:rPr>
            </w:pPr>
            <w:r>
              <w:rPr>
                <w:sz w:val="24"/>
                <w:szCs w:val="24"/>
                <w:lang w:val="ru-RU" w:eastAsia="en-US"/>
              </w:rPr>
              <w:t xml:space="preserve">FC</w:t>
            </w:r>
          </w:p>
        </w:tc>
        <w:tc>
          <w:tcPr>
            <w:tcW w:w="5443" w:type="dxa"/>
          </w:tcPr>
          <w:p>
            <w:pPr>
              <w:pStyle w:val="a7"/>
              <w:keepNext/>
              <w:ind w:firstLine="0"/>
              <w:jc w:val="left"/>
              <w:rPr>
                <w:lang w:val="ru-RU" w:eastAsia="en-US"/>
              </w:rPr>
            </w:pPr>
            <w:r>
              <w:rPr>
                <w:sz w:val="24"/>
                <w:szCs w:val="24"/>
                <w:lang w:val="ru-RU" w:eastAsia="en-US"/>
              </w:rPr>
              <w:t xml:space="preserve">20:00:00:90:FA:14:3D:60:10:00:00:90:FA:14:3D:60</w:t>
            </w:r>
          </w:p>
        </w:tc>
        <w:tc>
          <w:tcPr>
            <w:tcW w:w="850" w:type="dxa"/>
          </w:tcPr>
          <w:p>
            <w:pPr>
              <w:pStyle w:val="a7"/>
              <w:keepNext/>
              <w:ind w:firstLine="0"/>
              <w:jc w:val="left"/>
              <w:rPr>
                <w:lang w:val="ru-RU" w:eastAsia="en-US"/>
              </w:rPr>
            </w:pPr>
            <w:r>
              <w:rPr>
                <w:sz w:val="24"/>
                <w:szCs w:val="24"/>
                <w:lang w:val="ru-RU" w:eastAsia="en-US"/>
              </w:rPr>
              <w:t xml:space="preserve">1</w:t>
            </w:r>
          </w:p>
        </w:tc>
      </w:tr>
      <w:tr>
        <w:trPr>
          <w:cantSplit/>
        </w:trPr>
        <w:tc>
          <w:tcPr>
            <w:tcW w:w="1814" w:type="dxa"/>
          </w:tcPr>
          <w:p>
            <w:pPr>
              <w:pStyle w:val="a7"/>
              <w:keepNext/>
              <w:ind w:firstLine="0"/>
              <w:jc w:val="left"/>
              <w:rPr>
                <w:lang w:val="ru-RU" w:eastAsia="en-US"/>
              </w:rPr>
            </w:pPr>
            <w:r>
              <w:rPr>
                <w:sz w:val="24"/>
                <w:szCs w:val="24"/>
                <w:lang w:val="ru-RU" w:eastAsia="en-US"/>
              </w:rPr>
              <w:t xml:space="preserve">10.244.214.222</w:t>
            </w:r>
          </w:p>
        </w:tc>
        <w:tc>
          <w:tcPr>
            <w:tcW w:w="1247" w:type="dxa"/>
          </w:tcPr>
          <w:p>
            <w:pPr>
              <w:pStyle w:val="a7"/>
              <w:keepNext/>
              <w:ind w:firstLine="0"/>
              <w:jc w:val="left"/>
              <w:rPr>
                <w:lang w:val="ru-RU" w:eastAsia="en-US"/>
              </w:rPr>
            </w:pPr>
            <w:r>
              <w:rPr>
                <w:sz w:val="24"/>
                <w:szCs w:val="24"/>
                <w:lang w:val="ru-RU" w:eastAsia="en-US"/>
              </w:rPr>
              <w:t xml:space="preserve">FC</w:t>
            </w:r>
          </w:p>
        </w:tc>
        <w:tc>
          <w:tcPr>
            <w:tcW w:w="5443" w:type="dxa"/>
          </w:tcPr>
          <w:p>
            <w:pPr>
              <w:pStyle w:val="a7"/>
              <w:keepNext/>
              <w:ind w:firstLine="0"/>
              <w:jc w:val="left"/>
              <w:rPr>
                <w:lang w:val="ru-RU" w:eastAsia="en-US"/>
              </w:rPr>
            </w:pPr>
            <w:r>
              <w:rPr>
                <w:sz w:val="24"/>
                <w:szCs w:val="24"/>
                <w:lang w:val="ru-RU" w:eastAsia="en-US"/>
              </w:rPr>
              <w:t xml:space="preserve">20:00:00:90:FA:14:3D:61:10:00:00:90:FA:14:3D:61</w:t>
            </w:r>
          </w:p>
        </w:tc>
        <w:tc>
          <w:tcPr>
            <w:tcW w:w="850" w:type="dxa"/>
          </w:tcPr>
          <w:p>
            <w:pPr>
              <w:pStyle w:val="a7"/>
              <w:keepNext/>
              <w:ind w:firstLine="0"/>
              <w:jc w:val="left"/>
              <w:rPr>
                <w:lang w:val="ru-RU" w:eastAsia="en-US"/>
              </w:rPr>
            </w:pPr>
            <w:r>
              <w:rPr>
                <w:sz w:val="24"/>
                <w:szCs w:val="24"/>
                <w:lang w:val="ru-RU" w:eastAsia="en-US"/>
              </w:rPr>
              <w:t xml:space="preserve">1</w:t>
            </w:r>
          </w:p>
        </w:tc>
      </w:tr>
      <w:tr>
        <w:trPr>
          <w:cantSplit/>
        </w:trPr>
        <w:tc>
          <w:tcPr>
            <w:tcW w:w="1814" w:type="dxa"/>
          </w:tcPr>
          <w:p>
            <w:pPr>
              <w:pStyle w:val="a7"/>
              <w:keepNext/>
              <w:ind w:firstLine="0"/>
              <w:jc w:val="left"/>
              <w:rPr>
                <w:lang w:val="ru-RU" w:eastAsia="en-US"/>
              </w:rPr>
            </w:pPr>
            <w:r>
              <w:rPr>
                <w:sz w:val="24"/>
                <w:szCs w:val="24"/>
                <w:lang w:val="ru-RU" w:eastAsia="en-US"/>
              </w:rPr>
              <w:t xml:space="preserve">не указан</w:t>
            </w:r>
          </w:p>
        </w:tc>
        <w:tc>
          <w:tcPr>
            <w:tcW w:w="1247" w:type="dxa"/>
          </w:tcPr>
          <w:p>
            <w:pPr>
              <w:pStyle w:val="a7"/>
              <w:keepNext/>
              <w:ind w:firstLine="0"/>
              <w:jc w:val="left"/>
              <w:rPr>
                <w:lang w:val="ru-RU" w:eastAsia="en-US"/>
              </w:rPr>
            </w:pPr>
            <w:r>
              <w:rPr>
                <w:sz w:val="24"/>
                <w:szCs w:val="24"/>
                <w:lang w:val="ru-RU" w:eastAsia="en-US"/>
              </w:rPr>
              <w:t xml:space="preserve">FC</w:t>
            </w:r>
          </w:p>
        </w:tc>
        <w:tc>
          <w:tcPr>
            <w:tcW w:w="5443" w:type="dxa"/>
          </w:tcPr>
          <w:p>
            <w:pPr>
              <w:pStyle w:val="a7"/>
              <w:keepNext/>
              <w:ind w:firstLine="0"/>
              <w:jc w:val="left"/>
              <w:rPr>
                <w:lang w:val="ru-RU" w:eastAsia="en-US"/>
              </w:rPr>
            </w:pPr>
            <w:r>
              <w:rPr>
                <w:sz w:val="24"/>
                <w:szCs w:val="24"/>
                <w:lang w:val="ru-RU" w:eastAsia="en-US"/>
              </w:rPr>
              <w:t xml:space="preserve">20:00:00:90:FA:14:3F:10:10:00:00:90:FA:14:3F:10</w:t>
            </w:r>
          </w:p>
        </w:tc>
        <w:tc>
          <w:tcPr>
            <w:tcW w:w="850" w:type="dxa"/>
          </w:tcPr>
          <w:p>
            <w:pPr>
              <w:pStyle w:val="a7"/>
              <w:keepNext/>
              <w:ind w:firstLine="0"/>
              <w:jc w:val="left"/>
              <w:rPr>
                <w:lang w:val="ru-RU" w:eastAsia="en-US"/>
              </w:rPr>
            </w:pPr>
            <w:r>
              <w:rPr>
                <w:sz w:val="24"/>
                <w:szCs w:val="24"/>
                <w:lang w:val="ru-RU" w:eastAsia="en-US"/>
              </w:rPr>
              <w:t xml:space="preserve">1</w:t>
            </w:r>
          </w:p>
        </w:tc>
      </w:tr>
      <w:tr>
        <w:trPr>
          <w:cantSplit/>
        </w:trPr>
        <w:tc>
          <w:tcPr>
            <w:tcW w:w="1814" w:type="dxa"/>
          </w:tcPr>
          <w:p>
            <w:pPr>
              <w:pStyle w:val="a7"/>
              <w:keepNext/>
              <w:ind w:firstLine="0"/>
              <w:jc w:val="left"/>
              <w:rPr>
                <w:lang w:val="ru-RU" w:eastAsia="en-US"/>
              </w:rPr>
            </w:pPr>
            <w:r>
              <w:rPr>
                <w:sz w:val="24"/>
                <w:szCs w:val="24"/>
                <w:lang w:val="ru-RU" w:eastAsia="en-US"/>
              </w:rPr>
              <w:t xml:space="preserve">не указан</w:t>
            </w:r>
          </w:p>
        </w:tc>
        <w:tc>
          <w:tcPr>
            <w:tcW w:w="1247" w:type="dxa"/>
          </w:tcPr>
          <w:p>
            <w:pPr>
              <w:pStyle w:val="a7"/>
              <w:keepNext/>
              <w:ind w:firstLine="0"/>
              <w:jc w:val="left"/>
              <w:rPr>
                <w:lang w:val="ru-RU" w:eastAsia="en-US"/>
              </w:rPr>
            </w:pPr>
            <w:r>
              <w:rPr>
                <w:sz w:val="24"/>
                <w:szCs w:val="24"/>
                <w:lang w:val="ru-RU" w:eastAsia="en-US"/>
              </w:rPr>
              <w:t xml:space="preserve">FC</w:t>
            </w:r>
          </w:p>
        </w:tc>
        <w:tc>
          <w:tcPr>
            <w:tcW w:w="5443" w:type="dxa"/>
          </w:tcPr>
          <w:p>
            <w:pPr>
              <w:pStyle w:val="a7"/>
              <w:keepNext/>
              <w:ind w:firstLine="0"/>
              <w:jc w:val="left"/>
              <w:rPr>
                <w:lang w:val="ru-RU" w:eastAsia="en-US"/>
              </w:rPr>
            </w:pPr>
            <w:r>
              <w:rPr>
                <w:sz w:val="24"/>
                <w:szCs w:val="24"/>
                <w:lang w:val="ru-RU" w:eastAsia="en-US"/>
              </w:rPr>
              <w:t xml:space="preserve">20:00:00:90:FA:14:3F:11:10:00:00:90:FA:14:3F:11</w:t>
            </w:r>
          </w:p>
        </w:tc>
        <w:tc>
          <w:tcPr>
            <w:tcW w:w="850" w:type="dxa"/>
          </w:tcPr>
          <w:p>
            <w:pPr>
              <w:pStyle w:val="a7"/>
              <w:keepNext/>
              <w:ind w:firstLine="0"/>
              <w:jc w:val="left"/>
              <w:rPr>
                <w:lang w:val="ru-RU" w:eastAsia="en-US"/>
              </w:rPr>
            </w:pPr>
            <w:r>
              <w:rPr>
                <w:sz w:val="24"/>
                <w:szCs w:val="24"/>
                <w:lang w:val="ru-RU" w:eastAsia="en-US"/>
              </w:rPr>
              <w:t xml:space="preserve">1</w:t>
            </w:r>
          </w:p>
        </w:tc>
      </w:tr>
      <w:tr>
        <w:trPr>
          <w:cantSplit/>
        </w:trPr>
        <w:tc>
          <w:tcPr>
            <w:tcW w:w="1814" w:type="dxa"/>
          </w:tcPr>
          <w:p>
            <w:pPr>
              <w:pStyle w:val="a7"/>
              <w:keepNext/>
              <w:ind w:firstLine="0"/>
              <w:jc w:val="left"/>
              <w:rPr>
                <w:lang w:val="ru-RU" w:eastAsia="en-US"/>
              </w:rPr>
            </w:pPr>
            <w:r>
              <w:rPr>
                <w:sz w:val="24"/>
                <w:szCs w:val="24"/>
                <w:lang w:val="ru-RU" w:eastAsia="en-US"/>
              </w:rPr>
              <w:t xml:space="preserve">Win7</w:t>
            </w:r>
          </w:p>
        </w:tc>
        <w:tc>
          <w:tcPr>
            <w:tcW w:w="1247" w:type="dxa"/>
          </w:tcPr>
          <w:p>
            <w:pPr>
              <w:pStyle w:val="a7"/>
              <w:keepNext/>
              <w:ind w:firstLine="0"/>
              <w:jc w:val="left"/>
              <w:rPr>
                <w:lang w:val="ru-RU" w:eastAsia="en-US"/>
              </w:rPr>
            </w:pPr>
            <w:r>
              <w:rPr>
                <w:sz w:val="24"/>
                <w:szCs w:val="24"/>
                <w:lang w:val="ru-RU" w:eastAsia="en-US"/>
              </w:rPr>
              <w:t xml:space="preserve">iSCSI</w:t>
            </w:r>
          </w:p>
        </w:tc>
        <w:tc>
          <w:tcPr>
            <w:tcW w:w="5443" w:type="dxa"/>
          </w:tcPr>
          <w:p>
            <w:pPr>
              <w:pStyle w:val="a7"/>
              <w:keepNext/>
              <w:ind w:firstLine="0"/>
              <w:jc w:val="left"/>
              <w:rPr>
                <w:lang w:val="ru-RU" w:eastAsia="en-US"/>
              </w:rPr>
            </w:pPr>
            <w:r>
              <w:rPr>
                <w:sz w:val="24"/>
                <w:szCs w:val="24"/>
                <w:lang w:val="ru-RU" w:eastAsia="en-US"/>
              </w:rPr>
              <w:t xml:space="preserve">iqn.1991-05.com.microsoft:usenmcleoal1c.corp.emc.com</w:t>
            </w:r>
          </w:p>
        </w:tc>
        <w:tc>
          <w:tcPr>
            <w:tcW w:w="850" w:type="dxa"/>
          </w:tcPr>
          <w:p>
            <w:pPr>
              <w:pStyle w:val="a7"/>
              <w:keepNext/>
              <w:ind w:firstLine="0"/>
              <w:jc w:val="left"/>
              <w:rPr>
                <w:lang w:val="ru-RU" w:eastAsia="en-US"/>
              </w:rPr>
            </w:pPr>
            <w:r>
              <w:rPr>
                <w:sz w:val="24"/>
                <w:szCs w:val="24"/>
                <w:lang w:val="ru-RU" w:eastAsia="en-US"/>
              </w:rPr>
              <w:t xml:space="preserve">4</w:t>
            </w:r>
          </w:p>
        </w:tc>
      </w:tr>
      <w:tr>
        <w:trPr>
          <w:cantSplit/>
        </w:trPr>
        <w:tc>
          <w:tcPr>
            <w:tcW w:w="1814" w:type="dxa"/>
          </w:tcPr>
          <w:p>
            <w:pPr>
              <w:pStyle w:val="a7"/>
              <w:keepNext/>
              <w:ind w:firstLine="0"/>
              <w:jc w:val="left"/>
              <w:rPr>
                <w:lang w:val="ru-RU" w:eastAsia="en-US"/>
              </w:rPr>
            </w:pPr>
            <w:r>
              <w:rPr>
                <w:sz w:val="24"/>
                <w:szCs w:val="24"/>
                <w:lang w:val="ru-RU" w:eastAsia="en-US"/>
              </w:rPr>
              <w:t xml:space="preserve">Windows 2k8</w:t>
            </w:r>
          </w:p>
        </w:tc>
        <w:tc>
          <w:tcPr>
            <w:tcW w:w="1247" w:type="dxa"/>
          </w:tcPr>
          <w:p>
            <w:pPr>
              <w:pStyle w:val="a7"/>
              <w:keepNext/>
              <w:ind w:firstLine="0"/>
              <w:jc w:val="left"/>
              <w:rPr>
                <w:lang w:val="ru-RU" w:eastAsia="en-US"/>
              </w:rPr>
            </w:pPr>
            <w:r>
              <w:rPr>
                <w:sz w:val="24"/>
                <w:szCs w:val="24"/>
                <w:lang w:val="ru-RU" w:eastAsia="en-US"/>
              </w:rPr>
              <w:t xml:space="preserve">iSCSI</w:t>
            </w:r>
          </w:p>
        </w:tc>
        <w:tc>
          <w:tcPr>
            <w:tcW w:w="5443" w:type="dxa"/>
          </w:tcPr>
          <w:p>
            <w:pPr>
              <w:pStyle w:val="a7"/>
              <w:keepNext/>
              <w:ind w:firstLine="0"/>
              <w:jc w:val="left"/>
              <w:rPr>
                <w:lang w:val="ru-RU" w:eastAsia="en-US"/>
              </w:rPr>
            </w:pPr>
            <w:r>
              <w:rPr>
                <w:sz w:val="24"/>
                <w:szCs w:val="24"/>
                <w:lang w:val="ru-RU" w:eastAsia="en-US"/>
              </w:rPr>
              <w:t xml:space="preserve">iqn.1991-05.com.microsoft:w2k8r2-rp</w:t>
            </w:r>
          </w:p>
        </w:tc>
        <w:tc>
          <w:tcPr>
            <w:tcW w:w="850" w:type="dxa"/>
          </w:tcPr>
          <w:p>
            <w:pPr>
              <w:pStyle w:val="a7"/>
              <w:keepNext/>
              <w:ind w:firstLine="0"/>
              <w:jc w:val="left"/>
              <w:rPr>
                <w:lang w:val="ru-RU" w:eastAsia="en-US"/>
              </w:rPr>
            </w:pPr>
            <w:r>
              <w:rPr>
                <w:sz w:val="24"/>
                <w:szCs w:val="24"/>
                <w:lang w:val="ru-RU" w:eastAsia="en-US"/>
              </w:rPr>
              <w:t xml:space="preserve">2</w:t>
            </w:r>
          </w:p>
        </w:tc>
      </w:tr>
      <w:tr>
        <w:trPr>
          <w:cantSplit/>
        </w:trPr>
        <w:tc>
          <w:tcPr>
            <w:tcW w:w="1814" w:type="dxa"/>
          </w:tcPr>
          <w:p>
            <w:pPr>
              <w:pStyle w:val="a7"/>
              <w:ind w:firstLine="0"/>
              <w:jc w:val="left"/>
              <w:rPr>
                <w:lang w:val="ru-RU" w:eastAsia="en-US"/>
              </w:rPr>
            </w:pPr>
            <w:r>
              <w:rPr>
                <w:sz w:val="24"/>
                <w:szCs w:val="24"/>
                <w:lang w:val="ru-RU" w:eastAsia="en-US"/>
              </w:rPr>
              <w:t xml:space="preserve">VMware ESXi</w:t>
            </w:r>
          </w:p>
        </w:tc>
        <w:tc>
          <w:tcPr>
            <w:tcW w:w="1247" w:type="dxa"/>
          </w:tcPr>
          <w:p>
            <w:pPr>
              <w:pStyle w:val="a7"/>
              <w:ind w:firstLine="0"/>
              <w:jc w:val="left"/>
              <w:rPr>
                <w:lang w:val="ru-RU" w:eastAsia="en-US"/>
              </w:rPr>
            </w:pPr>
            <w:r>
              <w:rPr>
                <w:sz w:val="24"/>
                <w:szCs w:val="24"/>
                <w:lang w:val="ru-RU" w:eastAsia="en-US"/>
              </w:rPr>
              <w:t xml:space="preserve">iSCSI</w:t>
            </w:r>
          </w:p>
        </w:tc>
        <w:tc>
          <w:tcPr>
            <w:tcW w:w="5443" w:type="dxa"/>
          </w:tcPr>
          <w:p>
            <w:pPr>
              <w:pStyle w:val="a7"/>
              <w:ind w:firstLine="0"/>
              <w:jc w:val="left"/>
              <w:rPr>
                <w:lang w:val="ru-RU" w:eastAsia="en-US"/>
              </w:rPr>
            </w:pPr>
            <w:r>
              <w:rPr>
                <w:sz w:val="24"/>
                <w:szCs w:val="24"/>
                <w:lang w:val="ru-RU" w:eastAsia="en-US"/>
              </w:rPr>
              <w:t xml:space="preserve">iqn.1998-01.com.vmware:localhost-56f6697a</w:t>
            </w:r>
          </w:p>
        </w:tc>
        <w:tc>
          <w:tcPr>
            <w:tcW w:w="850" w:type="dxa"/>
          </w:tcPr>
          <w:p>
            <w:pPr>
              <w:pStyle w:val="a7"/>
              <w:ind w:firstLine="0"/>
              <w:jc w:val="left"/>
              <w:rPr>
                <w:lang w:val="ru-RU" w:eastAsia="en-US"/>
              </w:rPr>
            </w:pPr>
            <w:r>
              <w:rPr>
                <w:sz w:val="24"/>
                <w:szCs w:val="24"/>
                <w:lang w:val="ru-RU" w:eastAsia="en-US"/>
              </w:rPr>
              <w:t xml:space="preserve">4</w:t>
            </w:r>
          </w:p>
        </w:tc>
      </w:tr>
    </w:tbl>
    <w:p>
      <w:pPr>
        <w:pStyle w:val="a7"/>
        <w:spacing w:before="320"/>
        <w:rPr>
          <w:lang w:val="ru-RU" w:eastAsia="en-US"/>
        </w:rPr>
      </w:pPr>
      <w:r>
        <w:rPr>
          <w:lang w:val="ru-RU" w:eastAsia="en-US"/>
        </w:rPr>
        <w:t xml:space="preserve">Два инициатора Fibre Channel не привязаны к хосту, их мы нашли ещё в первой лабораторной работе. Во всех строках столбец Logged In имеет значение Yes: каждый инициатор выполнил вход на целевой порт массива. Вкладка Initiator Paths служит только для просмотра. Изменения в систему вносятся на карточке хоста: там можно изменить имя хоста, его описание и операционную систему, добавить новый инициатор, изменить или удалить существующий.</w:t>
      </w:r>
    </w:p>
    <w:p>
      <w:pPr>
        <w:pStyle w:val="a7"/>
        <w:rPr>
          <w:lang w:val="ru-RU" w:eastAsia="en-US"/>
        </w:rPr>
      </w:pPr>
      <w:r>
        <w:rPr>
          <w:lang w:val="ru-RU" w:eastAsia="en-US"/>
        </w:rPr>
        <w:t xml:space="preserve">Дважды щёлкаем по имени хоста Windows 2k8 и открываем его карточку (рисунок 1.7). Карточка состоит из вкладок «Общие», LUNs, «Адрес хранения данных», Initiators и Initiator Paths. На вкладке «Общие» указаны состояние хоста (OK), имя (Windows 2k8), тип Manually Created Host (хост добавлен вручную), способ управления Manual, описание и операционная система Windows Server 2008. Имя, описание и операционную систему можно отредактировать и сохранить кнопкой «Применить изменения».</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3518601"/>
            <wp:effectExtent l="0" t="0" r="0" b="0"/>
            <wp:docPr id="1007" name="Рисунок 1007"/>
            <wp:cNvGraphicFramePr>
              <a:graphicFrameLocks noChangeAspect="1"/>
            </wp:cNvGraphicFramePr>
            <a:graphic>
              <a:graphicData uri="http://schemas.openxmlformats.org/drawingml/2006/picture">
                <pic:pic>
                  <pic:nvPicPr>
                    <pic:cNvPr id="1007" name="fig07.png"/>
                    <pic:cNvPicPr/>
                  </pic:nvPicPr>
                  <pic:blipFill>
                    <a:blip r:embed="rIdFig7"/>
                    <a:stretch>
                      <a:fillRect/>
                    </a:stretch>
                  </pic:blipFill>
                  <pic:spPr>
                    <a:xfrm>
                      <a:off x="0" y="0"/>
                      <a:ext cx="5400000" cy="3518601"/>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1.7 – Карточка хоста Windows 2k8</w:t>
      </w:r>
    </w:p>
    <w:p>
      <w:pPr>
        <w:pStyle w:val="a7"/>
        <w:rPr>
          <w:lang w:val="ru-RU" w:eastAsia="en-US"/>
        </w:rPr>
      </w:pPr>
      <w:r>
        <w:rPr>
          <w:lang w:val="ru-RU" w:eastAsia="en-US"/>
        </w:rPr>
        <w:t xml:space="preserve">На вкладке Initiators карточки хоста указан один инициатор iqn.1991-05.com.microsoft:w2k8r2-rp, работающий по протоколу iSCSI (рисунок 1.8). В столбце Target Ports Unisphere показывает два целевых порта: SP A Ethernet Port 2 и SP B Ethernet Port 2. Кнопки Add Initiator, «Удалить» и «Правка» под таблицей добавляют, удаляют и изменяют инициаторы хоста.</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3518601"/>
            <wp:effectExtent l="0" t="0" r="0" b="0"/>
            <wp:docPr id="1008" name="Рисунок 1008"/>
            <wp:cNvGraphicFramePr>
              <a:graphicFrameLocks noChangeAspect="1"/>
            </wp:cNvGraphicFramePr>
            <a:graphic>
              <a:graphicData uri="http://schemas.openxmlformats.org/drawingml/2006/picture">
                <pic:pic>
                  <pic:nvPicPr>
                    <pic:cNvPr id="1008" name="fig08.png"/>
                    <pic:cNvPicPr/>
                  </pic:nvPicPr>
                  <pic:blipFill>
                    <a:blip r:embed="rIdFig8"/>
                    <a:stretch>
                      <a:fillRect/>
                    </a:stretch>
                  </pic:blipFill>
                  <pic:spPr>
                    <a:xfrm>
                      <a:off x="0" y="0"/>
                      <a:ext cx="5400000" cy="3518601"/>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1.8 – Инициаторы хоста Windows 2k8</w:t>
      </w:r>
    </w:p>
    <w:p>
      <w:pPr>
        <w:pStyle w:val="a7"/>
        <w:rPr>
          <w:lang w:val="ru-RU" w:eastAsia="en-US"/>
        </w:rPr>
      </w:pPr>
      <w:r>
        <w:rPr>
          <w:lang w:val="ru-RU" w:eastAsia="en-US"/>
        </w:rPr>
        <w:t xml:space="preserve">Вкладка Initiator Paths карточки показывает два пути этого инициатора: через порт Ethernet процессора SP A и через порт Ethernet процессора SP B (рисунок 1.9). Для обоих путей Logged In имеет значение Yes.</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3518601"/>
            <wp:effectExtent l="0" t="0" r="0" b="0"/>
            <wp:docPr id="1009" name="Рисунок 1009"/>
            <wp:cNvGraphicFramePr>
              <a:graphicFrameLocks noChangeAspect="1"/>
            </wp:cNvGraphicFramePr>
            <a:graphic>
              <a:graphicData uri="http://schemas.openxmlformats.org/drawingml/2006/picture">
                <pic:pic>
                  <pic:nvPicPr>
                    <pic:cNvPr id="1009" name="fig09.png"/>
                    <pic:cNvPicPr/>
                  </pic:nvPicPr>
                  <pic:blipFill>
                    <a:blip r:embed="rIdFig9"/>
                    <a:stretch>
                      <a:fillRect/>
                    </a:stretch>
                  </pic:blipFill>
                  <pic:spPr>
                    <a:xfrm>
                      <a:off x="0" y="0"/>
                      <a:ext cx="5400000" cy="3518601"/>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1.9 – Пути инициатора хоста Windows 2k8</w:t>
      </w:r>
    </w:p>
    <w:p>
      <w:pPr>
        <w:pStyle w:val="a7"/>
        <w:rPr>
          <w:lang w:val="ru-RU" w:eastAsia="en-US"/>
        </w:rPr>
      </w:pPr>
      <w:r>
        <w:rPr>
          <w:lang w:val="ru-RU" w:eastAsia="en-US"/>
        </w:rPr>
        <w:t xml:space="preserve">По рисункам 1.6–1.9 отвечаем на вопросы задания. Ответы собраны в таблице 1.3.</w:t>
      </w:r>
    </w:p>
    <w:p>
      <w:pPr>
        <w:pStyle w:val="a7"/>
        <w:keepNext/>
        <w:spacing w:before="240" w:after="0"/>
        <w:ind w:firstLine="0"/>
        <w:jc w:val="left"/>
        <w:rPr>
          <w:lang w:val="ru-RU" w:eastAsia="en-US"/>
        </w:rPr>
      </w:pPr>
      <w:r>
        <w:rPr>
          <w:lang w:val="ru-RU" w:eastAsia="en-US"/>
        </w:rPr>
        <w:t xml:space="preserve">Таблица 1.3 – Ответы на вопросы о хосте Windows 2k8</w:t>
      </w:r>
    </w:p>
    <w:tbl>
      <w:tblPr>
        <w:tblStyle w:val="afa"/>
        <w:tblW w:w="9355" w:type="dxa"/>
        <w:tblLayout w:type="fixed"/>
        <w:tblLook w:val="04A0" w:firstRow="1" w:lastRow="0" w:firstColumn="1" w:lastColumn="0" w:noHBand="0" w:noVBand="1"/>
      </w:tblPr>
      <w:tblGrid>
        <w:gridCol w:w="3969"/>
        <w:gridCol w:w="5386"/>
      </w:tblGrid>
      <w:tr>
        <w:trPr>
          <w:cantSplit/>
          <w:tblHeader/>
        </w:trPr>
        <w:tc>
          <w:tcPr>
            <w:tcW w:w="3969" w:type="dxa"/>
          </w:tcPr>
          <w:p>
            <w:pPr>
              <w:pStyle w:val="a7"/>
              <w:keepNext/>
              <w:ind w:firstLine="0"/>
              <w:jc w:val="left"/>
              <w:rPr>
                <w:lang w:val="ru-RU" w:eastAsia="en-US"/>
              </w:rPr>
            </w:pPr>
            <w:r>
              <w:rPr>
                <w:sz w:val="28"/>
                <w:szCs w:val="28"/>
                <w:lang w:val="ru-RU" w:eastAsia="en-US"/>
              </w:rPr>
              <w:t xml:space="preserve">Вопрос</w:t>
            </w:r>
          </w:p>
        </w:tc>
        <w:tc>
          <w:tcPr>
            <w:tcW w:w="5386" w:type="dxa"/>
          </w:tcPr>
          <w:p>
            <w:pPr>
              <w:pStyle w:val="a7"/>
              <w:keepNext/>
              <w:ind w:firstLine="0"/>
              <w:jc w:val="left"/>
              <w:rPr>
                <w:lang w:val="ru-RU" w:eastAsia="en-US"/>
              </w:rPr>
            </w:pPr>
            <w:r>
              <w:rPr>
                <w:sz w:val="28"/>
                <w:szCs w:val="28"/>
                <w:lang w:val="ru-RU" w:eastAsia="en-US"/>
              </w:rPr>
              <w:t xml:space="preserve">Ответ</w:t>
            </w:r>
          </w:p>
        </w:tc>
      </w:tr>
      <w:tr>
        <w:trPr>
          <w:cantSplit/>
        </w:trPr>
        <w:tc>
          <w:tcPr>
            <w:tcW w:w="3969" w:type="dxa"/>
          </w:tcPr>
          <w:p>
            <w:pPr>
              <w:pStyle w:val="a7"/>
              <w:keepNext/>
              <w:ind w:firstLine="0"/>
              <w:jc w:val="left"/>
              <w:rPr>
                <w:lang w:val="ru-RU" w:eastAsia="en-US"/>
              </w:rPr>
            </w:pPr>
            <w:r>
              <w:rPr>
                <w:sz w:val="28"/>
                <w:szCs w:val="28"/>
                <w:lang w:val="ru-RU" w:eastAsia="en-US"/>
              </w:rPr>
              <w:t xml:space="preserve">Какой протокол используется этим хостом для получения доступа к системе хранения?</w:t>
            </w:r>
          </w:p>
        </w:tc>
        <w:tc>
          <w:tcPr>
            <w:tcW w:w="5386" w:type="dxa"/>
          </w:tcPr>
          <w:p>
            <w:pPr>
              <w:pStyle w:val="a7"/>
              <w:keepNext/>
              <w:ind w:firstLine="0"/>
              <w:jc w:val="left"/>
              <w:rPr>
                <w:lang w:val="ru-RU" w:eastAsia="en-US"/>
              </w:rPr>
            </w:pPr>
            <w:r>
              <w:rPr>
                <w:sz w:val="28"/>
                <w:szCs w:val="28"/>
                <w:lang w:val="ru-RU" w:eastAsia="en-US"/>
              </w:rPr>
              <w:t xml:space="preserve">iSCSI. Инициатор хоста имеет имя в формате IQN, в столбце «Протокол» указано iSCSI</w:t>
            </w:r>
          </w:p>
        </w:tc>
      </w:tr>
      <w:tr>
        <w:trPr>
          <w:cantSplit/>
        </w:trPr>
        <w:tc>
          <w:tcPr>
            <w:tcW w:w="3969" w:type="dxa"/>
          </w:tcPr>
          <w:p>
            <w:pPr>
              <w:pStyle w:val="a7"/>
              <w:keepNext/>
              <w:ind w:firstLine="0"/>
              <w:jc w:val="left"/>
              <w:rPr>
                <w:lang w:val="ru-RU" w:eastAsia="en-US"/>
              </w:rPr>
            </w:pPr>
            <w:r>
              <w:rPr>
                <w:sz w:val="28"/>
                <w:szCs w:val="28"/>
                <w:lang w:val="ru-RU" w:eastAsia="en-US"/>
              </w:rPr>
              <w:t xml:space="preserve">Имеет ли хост доступ к массиву хранения данных?</w:t>
            </w:r>
          </w:p>
        </w:tc>
        <w:tc>
          <w:tcPr>
            <w:tcW w:w="5386" w:type="dxa"/>
          </w:tcPr>
          <w:p>
            <w:pPr>
              <w:pStyle w:val="a7"/>
              <w:keepNext/>
              <w:ind w:firstLine="0"/>
              <w:jc w:val="left"/>
              <w:rPr>
                <w:lang w:val="ru-RU" w:eastAsia="en-US"/>
              </w:rPr>
            </w:pPr>
            <w:r>
              <w:rPr>
                <w:sz w:val="28"/>
                <w:szCs w:val="28"/>
                <w:lang w:val="ru-RU" w:eastAsia="en-US"/>
              </w:rPr>
              <w:t xml:space="preserve">Да. Хост находится в состоянии OK, оба его пути имеют признак Logged In = Yes</w:t>
            </w:r>
          </w:p>
        </w:tc>
      </w:tr>
      <w:tr>
        <w:trPr>
          <w:cantSplit/>
        </w:trPr>
        <w:tc>
          <w:tcPr>
            <w:tcW w:w="3969" w:type="dxa"/>
          </w:tcPr>
          <w:p>
            <w:pPr>
              <w:pStyle w:val="a7"/>
              <w:keepNext/>
              <w:ind w:firstLine="0"/>
              <w:jc w:val="left"/>
              <w:rPr>
                <w:lang w:val="ru-RU" w:eastAsia="en-US"/>
              </w:rPr>
            </w:pPr>
            <w:r>
              <w:rPr>
                <w:sz w:val="28"/>
                <w:szCs w:val="28"/>
                <w:lang w:val="ru-RU" w:eastAsia="en-US"/>
              </w:rPr>
              <w:t xml:space="preserve">Сколько у выбранного хоста инициаторов?</w:t>
            </w:r>
          </w:p>
        </w:tc>
        <w:tc>
          <w:tcPr>
            <w:tcW w:w="5386" w:type="dxa"/>
          </w:tcPr>
          <w:p>
            <w:pPr>
              <w:pStyle w:val="a7"/>
              <w:keepNext/>
              <w:ind w:firstLine="0"/>
              <w:jc w:val="left"/>
              <w:rPr>
                <w:lang w:val="ru-RU" w:eastAsia="en-US"/>
              </w:rPr>
            </w:pPr>
            <w:r>
              <w:rPr>
                <w:sz w:val="28"/>
                <w:szCs w:val="28"/>
                <w:lang w:val="ru-RU" w:eastAsia="en-US"/>
              </w:rPr>
              <w:t xml:space="preserve">Один: iqn.1991-05.com.microsoft:w2k8r2-rp</w:t>
            </w:r>
          </w:p>
        </w:tc>
      </w:tr>
      <w:tr>
        <w:trPr>
          <w:cantSplit/>
        </w:trPr>
        <w:tc>
          <w:tcPr>
            <w:tcW w:w="3969" w:type="dxa"/>
          </w:tcPr>
          <w:p>
            <w:pPr>
              <w:pStyle w:val="a7"/>
              <w:ind w:firstLine="0"/>
              <w:jc w:val="left"/>
              <w:rPr>
                <w:lang w:val="ru-RU" w:eastAsia="en-US"/>
              </w:rPr>
            </w:pPr>
            <w:r>
              <w:rPr>
                <w:sz w:val="28"/>
                <w:szCs w:val="28"/>
                <w:lang w:val="ru-RU" w:eastAsia="en-US"/>
              </w:rPr>
              <w:t xml:space="preserve">Сколько путей существует у выбранного хоста?</w:t>
            </w:r>
          </w:p>
        </w:tc>
        <w:tc>
          <w:tcPr>
            <w:tcW w:w="5386" w:type="dxa"/>
          </w:tcPr>
          <w:p>
            <w:pPr>
              <w:pStyle w:val="a7"/>
              <w:ind w:firstLine="0"/>
              <w:jc w:val="left"/>
              <w:rPr>
                <w:lang w:val="ru-RU" w:eastAsia="en-US"/>
              </w:rPr>
            </w:pPr>
            <w:r>
              <w:rPr>
                <w:sz w:val="28"/>
                <w:szCs w:val="28"/>
                <w:lang w:val="ru-RU" w:eastAsia="en-US"/>
              </w:rPr>
              <w:t xml:space="preserve">Два: через SP A Ethernet Port 2 и через SP B Ethernet Port 2</w:t>
            </w:r>
          </w:p>
        </w:tc>
      </w:tr>
    </w:tbl>
    <w:p>
      <w:pPr>
        <w:pStyle w:val="a7"/>
        <w:spacing w:before="320"/>
        <w:rPr>
          <w:lang w:val="ru-RU" w:eastAsia="en-US"/>
        </w:rPr>
      </w:pPr>
      <w:r>
        <w:rPr>
          <w:lang w:val="ru-RU" w:eastAsia="en-US"/>
        </w:rPr>
        <w:t xml:space="preserve">Хост Windows 2k8 подключён через оба процессора хранения. Если откажет процессор SP A или его порт, хост продолжит работать с массивом через SP B.</w:t>
      </w:r>
    </w:p>
    <w:p>
      <w:pPr>
        <w:pStyle w:val="a7"/>
        <w:rPr>
          <w:lang w:val="ru-RU" w:eastAsia="en-US"/>
        </w:rPr>
      </w:pPr>
      <w:r>
        <w:rPr>
          <w:lang w:val="ru-RU" w:eastAsia="en-US"/>
        </w:rPr>
        <w:t xml:space="preserve">Последнее задание первой части относится к настройкам протокола iSCSI. Открываем раздел «Настройки» и выбираем пункт «Настройки сервера iSCSI» (рисунок 1.10). Окно содержит две вкладки: «Серверы iSCSI» и CHAP Security.</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3516869"/>
            <wp:effectExtent l="0" t="0" r="0" b="0"/>
            <wp:docPr id="1010" name="Рисунок 1010"/>
            <wp:cNvGraphicFramePr>
              <a:graphicFrameLocks noChangeAspect="1"/>
            </wp:cNvGraphicFramePr>
            <a:graphic>
              <a:graphicData uri="http://schemas.openxmlformats.org/drawingml/2006/picture">
                <pic:pic>
                  <pic:nvPicPr>
                    <pic:cNvPr id="1010" name="fig10.png"/>
                    <pic:cNvPicPr/>
                  </pic:nvPicPr>
                  <pic:blipFill>
                    <a:blip r:embed="rIdFig10"/>
                    <a:stretch>
                      <a:fillRect/>
                    </a:stretch>
                  </pic:blipFill>
                  <pic:spPr>
                    <a:xfrm>
                      <a:off x="0" y="0"/>
                      <a:ext cx="5400000" cy="3516869"/>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1.10 – Настройки сервера iSCSI</w:t>
      </w:r>
    </w:p>
    <w:p>
      <w:pPr>
        <w:pStyle w:val="a7"/>
        <w:rPr>
          <w:lang w:val="ru-RU" w:eastAsia="en-US"/>
        </w:rPr>
      </w:pPr>
      <w:r>
        <w:rPr>
          <w:lang w:val="ru-RU" w:eastAsia="en-US"/>
        </w:rPr>
        <w:t xml:space="preserve">Вкладка «Серверы iSCSI» перечисляет порты Ethernet массива и созданные на них iSCSI-интерфейсы. Для каждого интерфейса в таблице указаны порт, процессор хранения, состояние канала (Link State), IP-адрес, маска подсети, шлюз, имя Port IQN и его псевдоним (Port IQN Alias). Строки портов Ethernet Port 2 и Ethernet Port 4 раскрываются: на каждом из них настроено по интерфейсу для процессоров SP A и SP B. У портов Ethernet Port 3 и Ethernet Port 5 интерфейсов нет. На рисунке раскрыт порт Ethernet Port 4: интерфейс SP A имеет адрес 10.244.214.142, интерфейс SP B имеет адрес 10.244.214.143. Оба интерфейса используют маску 255.255.255.0 и шлюз 10.244.214.1, канал у обоих в состоянии «Восходящий канал» (Up).</w:t>
      </w:r>
    </w:p>
    <w:p>
      <w:pPr>
        <w:pStyle w:val="a7"/>
        <w:rPr>
          <w:lang w:val="ru-RU" w:eastAsia="en-US"/>
        </w:rPr>
      </w:pPr>
      <w:r>
        <w:rPr>
          <w:lang w:val="ru-RU" w:eastAsia="en-US"/>
        </w:rPr>
        <w:t xml:space="preserve">Под таблицей расположены кнопки Create, «Изменить» и «Удалить». Кнопка Create создаёт новый iSCSI-интерфейс на порту. Кнопки «Изменить» и «Удалить» работают с выбранным интерфейсом: меняют его сетевые параметры (IP-адрес, маску, шлюз) или удаляют его. На рисунке выделена строка порта, поэтому эти две кнопки неактивны. На вкладке CHAP Security администратор включает аутентификацию CHAP: массив запрашивает у инициатора секрет и пускает к целевым портам только инициаторы с верным секретом.</w:t>
      </w:r>
    </w:p>
    <w:p>
      <w:pPr>
        <w:pStyle w:val="a7"/>
        <w:rPr>
          <w:lang w:val="ru-RU" w:eastAsia="en-US"/>
        </w:rPr>
      </w:pPr>
      <w:r>
        <w:rPr>
          <w:lang w:val="ru-RU" w:eastAsia="en-US"/>
        </w:rPr>
        <w:t xml:space="preserve">Конфигурация активных iSCSI-интерфейсов приведена в таблице 1.4.</w:t>
      </w:r>
    </w:p>
    <w:p>
      <w:pPr>
        <w:pStyle w:val="a7"/>
        <w:keepNext/>
        <w:spacing w:before="240" w:after="0"/>
        <w:ind w:firstLine="0"/>
        <w:jc w:val="left"/>
        <w:rPr>
          <w:lang w:val="ru-RU" w:eastAsia="en-US"/>
        </w:rPr>
      </w:pPr>
      <w:r>
        <w:rPr>
          <w:lang w:val="ru-RU" w:eastAsia="en-US"/>
        </w:rPr>
        <w:t xml:space="preserve">Таблица 1.4 – Конфигурация активных iSCSI-интерфейсов</w:t>
      </w:r>
    </w:p>
    <w:tbl>
      <w:tblPr>
        <w:tblStyle w:val="afa"/>
        <w:tblW w:w="9356" w:type="dxa"/>
        <w:tblLayout w:type="fixed"/>
        <w:tblLook w:val="04A0" w:firstRow="1" w:lastRow="0" w:firstColumn="1" w:lastColumn="0" w:noHBand="0" w:noVBand="1"/>
      </w:tblPr>
      <w:tblGrid>
        <w:gridCol w:w="1871"/>
        <w:gridCol w:w="794"/>
        <w:gridCol w:w="1871"/>
        <w:gridCol w:w="4820"/>
      </w:tblGrid>
      <w:tr>
        <w:trPr>
          <w:cantSplit/>
          <w:tblHeader/>
        </w:trPr>
        <w:tc>
          <w:tcPr>
            <w:tcW w:w="1871" w:type="dxa"/>
          </w:tcPr>
          <w:p>
            <w:pPr>
              <w:pStyle w:val="a7"/>
              <w:keepNext/>
              <w:ind w:firstLine="0"/>
              <w:jc w:val="left"/>
              <w:rPr>
                <w:lang w:val="ru-RU" w:eastAsia="en-US"/>
              </w:rPr>
            </w:pPr>
            <w:r>
              <w:rPr>
                <w:sz w:val="24"/>
                <w:szCs w:val="24"/>
                <w:lang w:val="ru-RU" w:eastAsia="en-US"/>
              </w:rPr>
              <w:t xml:space="preserve">Port #</w:t>
            </w:r>
          </w:p>
        </w:tc>
        <w:tc>
          <w:tcPr>
            <w:tcW w:w="794" w:type="dxa"/>
          </w:tcPr>
          <w:p>
            <w:pPr>
              <w:pStyle w:val="a7"/>
              <w:keepNext/>
              <w:ind w:firstLine="0"/>
              <w:jc w:val="left"/>
              <w:rPr>
                <w:lang w:val="ru-RU" w:eastAsia="en-US"/>
              </w:rPr>
            </w:pPr>
            <w:r>
              <w:rPr>
                <w:sz w:val="24"/>
                <w:szCs w:val="24"/>
                <w:lang w:val="ru-RU" w:eastAsia="en-US"/>
              </w:rPr>
              <w:t xml:space="preserve">SP</w:t>
            </w:r>
          </w:p>
        </w:tc>
        <w:tc>
          <w:tcPr>
            <w:tcW w:w="1871" w:type="dxa"/>
          </w:tcPr>
          <w:p>
            <w:pPr>
              <w:pStyle w:val="a7"/>
              <w:keepNext/>
              <w:ind w:firstLine="0"/>
              <w:jc w:val="left"/>
              <w:rPr>
                <w:lang w:val="ru-RU" w:eastAsia="en-US"/>
              </w:rPr>
            </w:pPr>
            <w:r>
              <w:rPr>
                <w:sz w:val="24"/>
                <w:szCs w:val="24"/>
                <w:lang w:val="ru-RU" w:eastAsia="en-US"/>
              </w:rPr>
              <w:t xml:space="preserve">IP Address</w:t>
            </w:r>
          </w:p>
        </w:tc>
        <w:tc>
          <w:tcPr>
            <w:tcW w:w="4820" w:type="dxa"/>
          </w:tcPr>
          <w:p>
            <w:pPr>
              <w:pStyle w:val="a7"/>
              <w:keepNext/>
              <w:ind w:firstLine="0"/>
              <w:jc w:val="left"/>
              <w:rPr>
                <w:lang w:val="ru-RU" w:eastAsia="en-US"/>
              </w:rPr>
            </w:pPr>
            <w:r>
              <w:rPr>
                <w:sz w:val="24"/>
                <w:szCs w:val="24"/>
                <w:lang w:val="ru-RU" w:eastAsia="en-US"/>
              </w:rPr>
              <w:t xml:space="preserve">Port IQN</w:t>
            </w:r>
          </w:p>
        </w:tc>
      </w:tr>
      <w:tr>
        <w:trPr>
          <w:cantSplit/>
        </w:trPr>
        <w:tc>
          <w:tcPr>
            <w:tcW w:w="1871" w:type="dxa"/>
          </w:tcPr>
          <w:p>
            <w:pPr>
              <w:pStyle w:val="a7"/>
              <w:keepNext/>
              <w:ind w:firstLine="0"/>
              <w:jc w:val="left"/>
              <w:rPr>
                <w:lang w:val="ru-RU" w:eastAsia="en-US"/>
              </w:rPr>
            </w:pPr>
            <w:r>
              <w:rPr>
                <w:sz w:val="24"/>
                <w:szCs w:val="24"/>
                <w:lang w:val="ru-RU" w:eastAsia="en-US"/>
              </w:rPr>
              <w:t xml:space="preserve">Ethernet Port 2</w:t>
            </w:r>
          </w:p>
        </w:tc>
        <w:tc>
          <w:tcPr>
            <w:tcW w:w="794" w:type="dxa"/>
          </w:tcPr>
          <w:p>
            <w:pPr>
              <w:pStyle w:val="a7"/>
              <w:keepNext/>
              <w:ind w:firstLine="0"/>
              <w:jc w:val="left"/>
              <w:rPr>
                <w:lang w:val="ru-RU" w:eastAsia="en-US"/>
              </w:rPr>
            </w:pPr>
            <w:r>
              <w:rPr>
                <w:sz w:val="24"/>
                <w:szCs w:val="24"/>
                <w:lang w:val="ru-RU" w:eastAsia="en-US"/>
              </w:rPr>
              <w:t xml:space="preserve">SP A</w:t>
            </w:r>
          </w:p>
        </w:tc>
        <w:tc>
          <w:tcPr>
            <w:tcW w:w="1871" w:type="dxa"/>
          </w:tcPr>
          <w:p>
            <w:pPr>
              <w:pStyle w:val="a7"/>
              <w:keepNext/>
              <w:ind w:firstLine="0"/>
              <w:jc w:val="left"/>
              <w:rPr>
                <w:lang w:val="ru-RU" w:eastAsia="en-US"/>
              </w:rPr>
            </w:pPr>
            <w:r>
              <w:rPr>
                <w:sz w:val="24"/>
                <w:szCs w:val="24"/>
                <w:lang w:val="ru-RU" w:eastAsia="en-US"/>
              </w:rPr>
              <w:t xml:space="preserve">10.244.214.140</w:t>
            </w:r>
          </w:p>
        </w:tc>
        <w:tc>
          <w:tcPr>
            <w:tcW w:w="4820" w:type="dxa"/>
          </w:tcPr>
          <w:p>
            <w:pPr>
              <w:pStyle w:val="a7"/>
              <w:keepNext/>
              <w:ind w:firstLine="0"/>
              <w:jc w:val="left"/>
              <w:rPr>
                <w:lang w:val="ru-RU" w:eastAsia="en-US"/>
              </w:rPr>
            </w:pPr>
            <w:r>
              <w:rPr>
                <w:sz w:val="24"/>
                <w:szCs w:val="24"/>
                <w:lang w:val="ru-RU" w:eastAsia="en-US"/>
              </w:rPr>
              <w:t xml:space="preserve">iqn.1992-04.com.emc:cx.fnm00131304285.a0</w:t>
            </w:r>
          </w:p>
        </w:tc>
      </w:tr>
      <w:tr>
        <w:trPr>
          <w:cantSplit/>
        </w:trPr>
        <w:tc>
          <w:tcPr>
            <w:tcW w:w="1871" w:type="dxa"/>
          </w:tcPr>
          <w:p>
            <w:pPr>
              <w:pStyle w:val="a7"/>
              <w:keepNext/>
              <w:ind w:firstLine="0"/>
              <w:jc w:val="left"/>
              <w:rPr>
                <w:lang w:val="ru-RU" w:eastAsia="en-US"/>
              </w:rPr>
            </w:pPr>
            <w:r>
              <w:rPr>
                <w:sz w:val="24"/>
                <w:szCs w:val="24"/>
                <w:lang w:val="ru-RU" w:eastAsia="en-US"/>
              </w:rPr>
              <w:t xml:space="preserve">Ethernet Port 2</w:t>
            </w:r>
          </w:p>
        </w:tc>
        <w:tc>
          <w:tcPr>
            <w:tcW w:w="794" w:type="dxa"/>
          </w:tcPr>
          <w:p>
            <w:pPr>
              <w:pStyle w:val="a7"/>
              <w:keepNext/>
              <w:ind w:firstLine="0"/>
              <w:jc w:val="left"/>
              <w:rPr>
                <w:lang w:val="ru-RU" w:eastAsia="en-US"/>
              </w:rPr>
            </w:pPr>
            <w:r>
              <w:rPr>
                <w:sz w:val="24"/>
                <w:szCs w:val="24"/>
                <w:lang w:val="ru-RU" w:eastAsia="en-US"/>
              </w:rPr>
              <w:t xml:space="preserve">SP B</w:t>
            </w:r>
          </w:p>
        </w:tc>
        <w:tc>
          <w:tcPr>
            <w:tcW w:w="1871" w:type="dxa"/>
          </w:tcPr>
          <w:p>
            <w:pPr>
              <w:pStyle w:val="a7"/>
              <w:keepNext/>
              <w:ind w:firstLine="0"/>
              <w:jc w:val="left"/>
              <w:rPr>
                <w:lang w:val="ru-RU" w:eastAsia="en-US"/>
              </w:rPr>
            </w:pPr>
            <w:r>
              <w:rPr>
                <w:sz w:val="24"/>
                <w:szCs w:val="24"/>
                <w:lang w:val="ru-RU" w:eastAsia="en-US"/>
              </w:rPr>
              <w:t xml:space="preserve">10.244.214.141</w:t>
            </w:r>
          </w:p>
        </w:tc>
        <w:tc>
          <w:tcPr>
            <w:tcW w:w="4820" w:type="dxa"/>
          </w:tcPr>
          <w:p>
            <w:pPr>
              <w:pStyle w:val="a7"/>
              <w:keepNext/>
              <w:ind w:firstLine="0"/>
              <w:jc w:val="left"/>
              <w:rPr>
                <w:lang w:val="ru-RU" w:eastAsia="en-US"/>
              </w:rPr>
            </w:pPr>
            <w:r>
              <w:rPr>
                <w:sz w:val="24"/>
                <w:szCs w:val="24"/>
                <w:lang w:val="ru-RU" w:eastAsia="en-US"/>
              </w:rPr>
              <w:t xml:space="preserve">iqn.1992-04.com.emc:cx.fnm00131304285.b0</w:t>
            </w:r>
          </w:p>
        </w:tc>
      </w:tr>
      <w:tr>
        <w:trPr>
          <w:cantSplit/>
        </w:trPr>
        <w:tc>
          <w:tcPr>
            <w:tcW w:w="1871" w:type="dxa"/>
          </w:tcPr>
          <w:p>
            <w:pPr>
              <w:pStyle w:val="a7"/>
              <w:keepNext/>
              <w:ind w:firstLine="0"/>
              <w:jc w:val="left"/>
              <w:rPr>
                <w:lang w:val="ru-RU" w:eastAsia="en-US"/>
              </w:rPr>
            </w:pPr>
            <w:r>
              <w:rPr>
                <w:sz w:val="24"/>
                <w:szCs w:val="24"/>
                <w:lang w:val="ru-RU" w:eastAsia="en-US"/>
              </w:rPr>
              <w:t xml:space="preserve">Ethernet Port 4</w:t>
            </w:r>
          </w:p>
        </w:tc>
        <w:tc>
          <w:tcPr>
            <w:tcW w:w="794" w:type="dxa"/>
          </w:tcPr>
          <w:p>
            <w:pPr>
              <w:pStyle w:val="a7"/>
              <w:keepNext/>
              <w:ind w:firstLine="0"/>
              <w:jc w:val="left"/>
              <w:rPr>
                <w:lang w:val="ru-RU" w:eastAsia="en-US"/>
              </w:rPr>
            </w:pPr>
            <w:r>
              <w:rPr>
                <w:sz w:val="24"/>
                <w:szCs w:val="24"/>
                <w:lang w:val="ru-RU" w:eastAsia="en-US"/>
              </w:rPr>
              <w:t xml:space="preserve">SP A</w:t>
            </w:r>
          </w:p>
        </w:tc>
        <w:tc>
          <w:tcPr>
            <w:tcW w:w="1871" w:type="dxa"/>
          </w:tcPr>
          <w:p>
            <w:pPr>
              <w:pStyle w:val="a7"/>
              <w:keepNext/>
              <w:ind w:firstLine="0"/>
              <w:jc w:val="left"/>
              <w:rPr>
                <w:lang w:val="ru-RU" w:eastAsia="en-US"/>
              </w:rPr>
            </w:pPr>
            <w:r>
              <w:rPr>
                <w:sz w:val="24"/>
                <w:szCs w:val="24"/>
                <w:lang w:val="ru-RU" w:eastAsia="en-US"/>
              </w:rPr>
              <w:t xml:space="preserve">10.244.214.142</w:t>
            </w:r>
          </w:p>
        </w:tc>
        <w:tc>
          <w:tcPr>
            <w:tcW w:w="4820" w:type="dxa"/>
          </w:tcPr>
          <w:p>
            <w:pPr>
              <w:pStyle w:val="a7"/>
              <w:keepNext/>
              <w:ind w:firstLine="0"/>
              <w:jc w:val="left"/>
              <w:rPr>
                <w:lang w:val="ru-RU" w:eastAsia="en-US"/>
              </w:rPr>
            </w:pPr>
            <w:r>
              <w:rPr>
                <w:sz w:val="24"/>
                <w:szCs w:val="24"/>
                <w:lang w:val="ru-RU" w:eastAsia="en-US"/>
              </w:rPr>
              <w:t xml:space="preserve">iqn.1992-04.com.emc:cx.fnm00131304285.a2</w:t>
            </w:r>
          </w:p>
        </w:tc>
      </w:tr>
      <w:tr>
        <w:trPr>
          <w:cantSplit/>
        </w:trPr>
        <w:tc>
          <w:tcPr>
            <w:tcW w:w="1871" w:type="dxa"/>
          </w:tcPr>
          <w:p>
            <w:pPr>
              <w:pStyle w:val="a7"/>
              <w:ind w:firstLine="0"/>
              <w:jc w:val="left"/>
              <w:rPr>
                <w:lang w:val="ru-RU" w:eastAsia="en-US"/>
              </w:rPr>
            </w:pPr>
            <w:r>
              <w:rPr>
                <w:sz w:val="24"/>
                <w:szCs w:val="24"/>
                <w:lang w:val="ru-RU" w:eastAsia="en-US"/>
              </w:rPr>
              <w:t xml:space="preserve">Ethernet Port 4</w:t>
            </w:r>
          </w:p>
        </w:tc>
        <w:tc>
          <w:tcPr>
            <w:tcW w:w="794" w:type="dxa"/>
          </w:tcPr>
          <w:p>
            <w:pPr>
              <w:pStyle w:val="a7"/>
              <w:ind w:firstLine="0"/>
              <w:jc w:val="left"/>
              <w:rPr>
                <w:lang w:val="ru-RU" w:eastAsia="en-US"/>
              </w:rPr>
            </w:pPr>
            <w:r>
              <w:rPr>
                <w:sz w:val="24"/>
                <w:szCs w:val="24"/>
                <w:lang w:val="ru-RU" w:eastAsia="en-US"/>
              </w:rPr>
              <w:t xml:space="preserve">SP B</w:t>
            </w:r>
          </w:p>
        </w:tc>
        <w:tc>
          <w:tcPr>
            <w:tcW w:w="1871" w:type="dxa"/>
          </w:tcPr>
          <w:p>
            <w:pPr>
              <w:pStyle w:val="a7"/>
              <w:ind w:firstLine="0"/>
              <w:jc w:val="left"/>
              <w:rPr>
                <w:lang w:val="ru-RU" w:eastAsia="en-US"/>
              </w:rPr>
            </w:pPr>
            <w:r>
              <w:rPr>
                <w:sz w:val="24"/>
                <w:szCs w:val="24"/>
                <w:lang w:val="ru-RU" w:eastAsia="en-US"/>
              </w:rPr>
              <w:t xml:space="preserve">10.244.214.143</w:t>
            </w:r>
          </w:p>
        </w:tc>
        <w:tc>
          <w:tcPr>
            <w:tcW w:w="4820" w:type="dxa"/>
          </w:tcPr>
          <w:p>
            <w:pPr>
              <w:pStyle w:val="a7"/>
              <w:ind w:firstLine="0"/>
              <w:jc w:val="left"/>
              <w:rPr>
                <w:lang w:val="ru-RU" w:eastAsia="en-US"/>
              </w:rPr>
            </w:pPr>
            <w:r>
              <w:rPr>
                <w:sz w:val="24"/>
                <w:szCs w:val="24"/>
                <w:lang w:val="ru-RU" w:eastAsia="en-US"/>
              </w:rPr>
              <w:t xml:space="preserve">iqn.1992-04.com.emc:cx.fnm00131304285.b2</w:t>
            </w:r>
          </w:p>
        </w:tc>
      </w:tr>
    </w:tbl>
    <w:p>
      <w:pPr>
        <w:pStyle w:val="a7"/>
        <w:spacing w:before="320"/>
        <w:rPr>
          <w:lang w:val="ru-RU" w:eastAsia="en-US"/>
        </w:rPr>
      </w:pPr>
      <w:r>
        <w:rPr>
          <w:lang w:val="ru-RU" w:eastAsia="en-US"/>
        </w:rPr>
        <w:t xml:space="preserve">Имя Port IQN составлено из префикса производителя (iqn.1992-04.com.emc), серийного номера массива (fnm00131304285) и обозначения процессора и порта (a0, b0, a2, b2). По этим именам хосты находят целевые порты при подключении по iSCSI. Через интерфейсы порта Ethernet Port 2 к массиву подключён хост Windows 2k8, который мы рассматривали выше.</w:t>
      </w:r>
    </w:p>
    <w:p>
      <w:pPr>
        <w:pStyle w:val="a0"/>
        <w:keepNext/>
        <w:rPr>
          <w:lang w:val="ru-RU" w:eastAsia="en-US"/>
        </w:rPr>
      </w:pPr>
      <w:r>
        <w:rPr>
          <w:lang w:val="ru-RU" w:eastAsia="en-US"/>
        </w:rPr>
        <w:t xml:space="preserve">Создание блочного устройства</w:t>
      </w:r>
    </w:p>
    <w:p>
      <w:pPr>
        <w:pStyle w:val="a7"/>
        <w:rPr>
          <w:lang w:val="ru-RU" w:eastAsia="en-US"/>
        </w:rPr>
      </w:pPr>
      <w:r>
        <w:rPr>
          <w:lang w:val="ru-RU" w:eastAsia="en-US"/>
        </w:rPr>
        <w:t xml:space="preserve">Блочное устройство мы создаём мастером «Мастер настройки типовой системы хранения данных». Открываем панель Dashboard и в блоке «Типичные задачи» выбираем ссылку «Создание системы хранения данных для типового ресурса iSCSI» (рисунок 1.11). В русской локализации симулятора эта ссылка запускает создание LUN или группы LUN.</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943874"/>
            <wp:effectExtent l="0" t="0" r="0" b="0"/>
            <wp:docPr id="1011" name="Рисунок 1011"/>
            <wp:cNvGraphicFramePr>
              <a:graphicFrameLocks noChangeAspect="1"/>
            </wp:cNvGraphicFramePr>
            <a:graphic>
              <a:graphicData uri="http://schemas.openxmlformats.org/drawingml/2006/picture">
                <pic:pic>
                  <pic:nvPicPr>
                    <pic:cNvPr id="1011" name="fig11.png"/>
                    <pic:cNvPicPr/>
                  </pic:nvPicPr>
                  <pic:blipFill>
                    <a:blip r:embed="rIdFig11"/>
                    <a:stretch>
                      <a:fillRect/>
                    </a:stretch>
                  </pic:blipFill>
                  <pic:spPr>
                    <a:xfrm>
                      <a:off x="0" y="0"/>
                      <a:ext cx="5400000" cy="943874"/>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1.11 – Блок «Типичные задачи» на панели Dashboard</w:t>
      </w:r>
    </w:p>
    <w:p>
      <w:pPr>
        <w:pStyle w:val="a7"/>
        <w:rPr>
          <w:lang w:val="ru-RU" w:eastAsia="en-US"/>
        </w:rPr>
      </w:pPr>
      <w:r>
        <w:rPr>
          <w:lang w:val="ru-RU" w:eastAsia="en-US"/>
        </w:rPr>
        <w:t xml:space="preserve">Мастер состоит из шести шагов. На первом шаге «Укажите имя» мастер предлагает два варианта: Create a LUN group и Create a LUN. Одиночный LUN представляет собой отдельный том. Группа LUN объединяет несколько томов и поддерживает их согласованное состояние: снимки делаются одновременно для всех томов группы, а доступ хостам выдаётся сразу всей группе или каждому LUN отдельно. Группа подходит приложениям, которые хранят связанные данные на нескольких томах, например базе данных с отдельными томами для данных и для журналов.</w:t>
      </w:r>
    </w:p>
    <w:p>
      <w:pPr>
        <w:pStyle w:val="a7"/>
        <w:rPr>
          <w:lang w:val="ru-RU" w:eastAsia="en-US"/>
        </w:rPr>
      </w:pPr>
      <w:r>
        <w:rPr>
          <w:lang w:val="ru-RU" w:eastAsia="en-US"/>
        </w:rPr>
        <w:t xml:space="preserve">По заданию выбираем Create a LUN group и вводим имя группы RomanLunGroup (рисунок 1.12). Поле «Описание» необязательное, мы оставили его пустым. Нажимаем «Далее».</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3051571"/>
            <wp:effectExtent l="0" t="0" r="0" b="0"/>
            <wp:docPr id="1012" name="Рисунок 1012"/>
            <wp:cNvGraphicFramePr>
              <a:graphicFrameLocks noChangeAspect="1"/>
            </wp:cNvGraphicFramePr>
            <a:graphic>
              <a:graphicData uri="http://schemas.openxmlformats.org/drawingml/2006/picture">
                <pic:pic>
                  <pic:nvPicPr>
                    <pic:cNvPr id="1012" name="fig12.png"/>
                    <pic:cNvPicPr/>
                  </pic:nvPicPr>
                  <pic:blipFill>
                    <a:blip r:embed="rIdFig12"/>
                    <a:stretch>
                      <a:fillRect/>
                    </a:stretch>
                  </pic:blipFill>
                  <pic:spPr>
                    <a:xfrm>
                      <a:off x="0" y="0"/>
                      <a:ext cx="5400000" cy="3051571"/>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1.12 – Выбор типа ресурса и ввод имени группы LUN</w:t>
      </w:r>
    </w:p>
    <w:p>
      <w:pPr>
        <w:pStyle w:val="a7"/>
        <w:keepNext/>
        <w:rPr>
          <w:lang w:val="ru-RU" w:eastAsia="en-US"/>
        </w:rPr>
      </w:pPr>
      <w:r>
        <w:rPr>
          <w:lang w:val="ru-RU" w:eastAsia="en-US"/>
        </w:rPr>
        <w:t xml:space="preserve">На втором шаге задаём состав группы. Создаём 10 LUN двух конфигураций:</w:t>
      </w:r>
    </w:p>
    <w:p>
      <w:pPr>
        <w:pStyle w:val="a7"/>
        <w:numPr>
          <w:ilvl w:val="0"/>
          <w:numId w:val="17"/>
        </w:numPr>
        <w:ind w:left="0" w:firstLine="709"/>
        <w:rPr>
          <w:lang w:val="ru-RU" w:eastAsia="en-US"/>
        </w:rPr>
      </w:pPr>
      <w:r>
        <w:rPr>
          <w:lang w:val="ru-RU" w:eastAsia="en-US"/>
        </w:rPr>
        <w:t xml:space="preserve">пять LUN размером 100 ГБ с отметкой Thin;</w:t>
      </w:r>
    </w:p>
    <w:p>
      <w:pPr>
        <w:pStyle w:val="a7"/>
        <w:numPr>
          <w:ilvl w:val="0"/>
          <w:numId w:val="17"/>
        </w:numPr>
        <w:ind w:left="0" w:firstLine="709"/>
        <w:rPr>
          <w:lang w:val="ru-RU" w:eastAsia="en-US"/>
        </w:rPr>
      </w:pPr>
      <w:r>
        <w:rPr>
          <w:lang w:val="ru-RU" w:eastAsia="en-US"/>
        </w:rPr>
        <w:t xml:space="preserve">пять LUN размером 10 ГБ с отметкой Thin.</w:t>
      </w:r>
    </w:p>
    <w:p>
      <w:pPr>
        <w:pStyle w:val="a7"/>
        <w:rPr>
          <w:lang w:val="ru-RU" w:eastAsia="en-US"/>
        </w:rPr>
      </w:pPr>
      <w:r>
        <w:rPr>
          <w:lang w:val="ru-RU" w:eastAsia="en-US"/>
        </w:rPr>
        <w:t xml:space="preserve">Все тома мастер размещает в пуле MultiTier с политикой Start High Then Auto-Tier. Отметка Thin включает тонкое выделение: массив отдаёт тому место в пуле по мере записи данных. Группа общим объёмом 550 ГБ сразу после создания почти не занимает места. Тонкое выделение и даёт пулу MultiTier подписку выше 100 %, которую мы видели на вкладке «Использование».</w:t>
      </w:r>
    </w:p>
    <w:p>
      <w:pPr>
        <w:pStyle w:val="a7"/>
        <w:rPr>
          <w:lang w:val="ru-RU" w:eastAsia="en-US"/>
        </w:rPr>
      </w:pPr>
      <w:r>
        <w:rPr>
          <w:lang w:val="ru-RU" w:eastAsia="en-US"/>
        </w:rPr>
        <w:t xml:space="preserve">Третий шаг «Настроить защиту» задаёт защиту группы снимками (рисунок 1.13). Мастер предлагает два варианта: не настраивать защиту сейчас или защищать данные по расписанию создания снимков. По умолчанию выбран второй вариант с расписанием Default Protection: снимок создаётся каждый день в 11:00 и хранится два дня. Защиту ресурсов задание переносит в следующие лабораторные работы, поэтому оставляем этот шаг без изменений и переходим дальше.</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3048685"/>
            <wp:effectExtent l="0" t="0" r="0" b="0"/>
            <wp:docPr id="1013" name="Рисунок 1013"/>
            <wp:cNvGraphicFramePr>
              <a:graphicFrameLocks noChangeAspect="1"/>
            </wp:cNvGraphicFramePr>
            <a:graphic>
              <a:graphicData uri="http://schemas.openxmlformats.org/drawingml/2006/picture">
                <pic:pic>
                  <pic:nvPicPr>
                    <pic:cNvPr id="1013" name="fig13.png"/>
                    <pic:cNvPicPr/>
                  </pic:nvPicPr>
                  <pic:blipFill>
                    <a:blip r:embed="rIdFig13"/>
                    <a:stretch>
                      <a:fillRect/>
                    </a:stretch>
                  </pic:blipFill>
                  <pic:spPr>
                    <a:xfrm>
                      <a:off x="0" y="0"/>
                      <a:ext cx="5400000" cy="3048685"/>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1.13 – Шаг настройки защиты группы LUN</w:t>
      </w:r>
    </w:p>
    <w:p>
      <w:pPr>
        <w:pStyle w:val="a7"/>
        <w:rPr>
          <w:lang w:val="ru-RU" w:eastAsia="en-US"/>
        </w:rPr>
      </w:pPr>
      <w:r>
        <w:rPr>
          <w:lang w:val="ru-RU" w:eastAsia="en-US"/>
        </w:rPr>
        <w:t xml:space="preserve">На четвёртом шаге «Настроить доступ к хосту» указываем хосты, которые получат доступ к группе. Фильтруем список по протоколу: в поле Protocols выбираем FC. После фильтрации в списке остаётся один хост 10.244.214.222 с операционной системой VMware ESXi 5.1.0, который поддерживает протоколы iSCSI, FC и File (рисунок 1.14).</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1479025"/>
            <wp:effectExtent l="0" t="0" r="0" b="0"/>
            <wp:docPr id="1014" name="Рисунок 1014"/>
            <wp:cNvGraphicFramePr>
              <a:graphicFrameLocks noChangeAspect="1"/>
            </wp:cNvGraphicFramePr>
            <a:graphic>
              <a:graphicData uri="http://schemas.openxmlformats.org/drawingml/2006/picture">
                <pic:pic>
                  <pic:nvPicPr>
                    <pic:cNvPr id="1014" name="fig14.png"/>
                    <pic:cNvPicPr/>
                  </pic:nvPicPr>
                  <pic:blipFill>
                    <a:blip r:embed="rIdFig14"/>
                    <a:stretch>
                      <a:fillRect/>
                    </a:stretch>
                  </pic:blipFill>
                  <pic:spPr>
                    <a:xfrm>
                      <a:off x="0" y="0"/>
                      <a:ext cx="5400000" cy="1479025"/>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1.14 – Хосты, доступные по протоколу FC</w:t>
      </w:r>
    </w:p>
    <w:p>
      <w:pPr>
        <w:pStyle w:val="a7"/>
        <w:keepNext/>
        <w:rPr>
          <w:lang w:val="ru-RU" w:eastAsia="en-US"/>
        </w:rPr>
      </w:pPr>
      <w:r>
        <w:rPr>
          <w:lang w:val="ru-RU" w:eastAsia="en-US"/>
        </w:rPr>
        <w:t xml:space="preserve">В столбце «Доступ» мы выбираем тип доступа хоста к группе. Вариантов четыре:</w:t>
      </w:r>
    </w:p>
    <w:p>
      <w:pPr>
        <w:pStyle w:val="a7"/>
        <w:numPr>
          <w:ilvl w:val="0"/>
          <w:numId w:val="17"/>
        </w:numPr>
        <w:ind w:left="0" w:firstLine="709"/>
        <w:rPr>
          <w:lang w:val="ru-RU" w:eastAsia="en-US"/>
        </w:rPr>
      </w:pPr>
      <w:r>
        <w:rPr>
          <w:lang w:val="ru-RU" w:eastAsia="en-US"/>
        </w:rPr>
        <w:t xml:space="preserve">«Нет доступа»: хост не получает доступа к группе;</w:t>
      </w:r>
    </w:p>
    <w:p>
      <w:pPr>
        <w:pStyle w:val="a7"/>
        <w:numPr>
          <w:ilvl w:val="0"/>
          <w:numId w:val="17"/>
        </w:numPr>
        <w:ind w:left="0" w:firstLine="709"/>
        <w:rPr>
          <w:lang w:val="ru-RU" w:eastAsia="en-US"/>
        </w:rPr>
      </w:pPr>
      <w:r>
        <w:rPr>
          <w:lang w:val="ru-RU" w:eastAsia="en-US"/>
        </w:rPr>
        <w:t xml:space="preserve">LUN (в русской локализации «Виртуальный диск»): хост получает доступ к томам группы;</w:t>
      </w:r>
    </w:p>
    <w:p>
      <w:pPr>
        <w:pStyle w:val="a7"/>
        <w:numPr>
          <w:ilvl w:val="0"/>
          <w:numId w:val="17"/>
        </w:numPr>
        <w:ind w:left="0" w:firstLine="709"/>
        <w:rPr>
          <w:lang w:val="ru-RU" w:eastAsia="en-US"/>
        </w:rPr>
      </w:pPr>
      <w:r>
        <w:rPr>
          <w:lang w:val="ru-RU" w:eastAsia="en-US"/>
        </w:rPr>
        <w:t xml:space="preserve">Snapshot: хост получает доступ к снимкам группы;</w:t>
      </w:r>
    </w:p>
    <w:p>
      <w:pPr>
        <w:pStyle w:val="a7"/>
        <w:numPr>
          <w:ilvl w:val="0"/>
          <w:numId w:val="17"/>
        </w:numPr>
        <w:ind w:left="0" w:firstLine="709"/>
        <w:rPr>
          <w:lang w:val="ru-RU" w:eastAsia="en-US"/>
        </w:rPr>
      </w:pPr>
      <w:r>
        <w:rPr>
          <w:lang w:val="ru-RU" w:eastAsia="en-US"/>
        </w:rPr>
        <w:t xml:space="preserve">LUN и Snapshot: хост получает доступ и к томам, и к их снимкам.</w:t>
      </w:r>
    </w:p>
    <w:p>
      <w:pPr>
        <w:pStyle w:val="a7"/>
        <w:rPr>
          <w:lang w:val="ru-RU" w:eastAsia="en-US"/>
        </w:rPr>
      </w:pPr>
      <w:r>
        <w:rPr>
          <w:lang w:val="ru-RU" w:eastAsia="en-US"/>
        </w:rPr>
        <w:t xml:space="preserve">Выбираем вариант LUN («Виртуальный диск») и переходим к следующему шагу.</w:t>
      </w:r>
    </w:p>
    <w:p>
      <w:pPr>
        <w:pStyle w:val="a7"/>
        <w:rPr>
          <w:lang w:val="ru-RU" w:eastAsia="en-US"/>
        </w:rPr>
      </w:pPr>
      <w:r>
        <w:rPr>
          <w:lang w:val="ru-RU" w:eastAsia="en-US"/>
        </w:rPr>
        <w:t xml:space="preserve">Пятый шаг «Сводка» выводит конфигурацию группы для проверки (рисунок 1.15). В сводке указаны имя RomanLunGroup, число настроенных томов (10 LUNs configured) и таблица LUN с пулом MultiTier, размером, признаком тонкого выделения (Yes) и политикой Start High Then Auto-Tier (Recommended). Ниже указаны расписание защиты Default Protection, один хост с доступом к томам (10.244.214.222) и отсутствие хостов с доступом к снимкам. Данные совпадают с заданием, поэтому нажимаем «Готово» (Finish).</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3158948"/>
            <wp:effectExtent l="0" t="0" r="0" b="0"/>
            <wp:docPr id="1015" name="Рисунок 1015"/>
            <wp:cNvGraphicFramePr>
              <a:graphicFrameLocks noChangeAspect="1"/>
            </wp:cNvGraphicFramePr>
            <a:graphic>
              <a:graphicData uri="http://schemas.openxmlformats.org/drawingml/2006/picture">
                <pic:pic>
                  <pic:nvPicPr>
                    <pic:cNvPr id="1015" name="fig15.png"/>
                    <pic:cNvPicPr/>
                  </pic:nvPicPr>
                  <pic:blipFill>
                    <a:blip r:embed="rIdFig15"/>
                    <a:stretch>
                      <a:fillRect/>
                    </a:stretch>
                  </pic:blipFill>
                  <pic:spPr>
                    <a:xfrm>
                      <a:off x="0" y="0"/>
                      <a:ext cx="5400000" cy="3158948"/>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1.15 – Сводка конфигурации группы LUN</w:t>
      </w:r>
    </w:p>
    <w:p>
      <w:pPr>
        <w:pStyle w:val="a7"/>
        <w:rPr>
          <w:lang w:val="ru-RU" w:eastAsia="en-US"/>
        </w:rPr>
      </w:pPr>
      <w:r>
        <w:rPr>
          <w:lang w:val="ru-RU" w:eastAsia="en-US"/>
        </w:rPr>
        <w:t xml:space="preserve">После создания группы проверяем конфигурацию хранилища. Открываем «Система хранения данных» → LUNs и раскрываем группу RomanLunGroup (рисунок 1.16).</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2369211"/>
            <wp:effectExtent l="0" t="0" r="0" b="0"/>
            <wp:docPr id="1016" name="Рисунок 1016"/>
            <wp:cNvGraphicFramePr>
              <a:graphicFrameLocks noChangeAspect="1"/>
            </wp:cNvGraphicFramePr>
            <a:graphic>
              <a:graphicData uri="http://schemas.openxmlformats.org/drawingml/2006/picture">
                <pic:pic>
                  <pic:nvPicPr>
                    <pic:cNvPr id="1016" name="fig16.png"/>
                    <pic:cNvPicPr/>
                  </pic:nvPicPr>
                  <pic:blipFill>
                    <a:blip r:embed="rIdFig16"/>
                    <a:stretch>
                      <a:fillRect/>
                    </a:stretch>
                  </pic:blipFill>
                  <pic:spPr>
                    <a:xfrm>
                      <a:off x="0" y="0"/>
                      <a:ext cx="5400000" cy="2369211"/>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1.16 – Созданная группа LUN в списке LUNs</w:t>
      </w:r>
    </w:p>
    <w:p>
      <w:pPr>
        <w:pStyle w:val="a7"/>
        <w:rPr>
          <w:lang w:val="ru-RU" w:eastAsia="en-US"/>
        </w:rPr>
      </w:pPr>
      <w:r>
        <w:rPr>
          <w:lang w:val="ru-RU" w:eastAsia="en-US"/>
        </w:rPr>
        <w:t xml:space="preserve">Группа RomanLunGroup имеет общий размер 550,0 ГБ и расписание защиты Default Protection. В неё входят десять томов: с RomanLunGroup-00 по RomanLunGroup-04 размером по 10,0 ГБ и с RomanLunGroup-05 по RomanLunGroup-09 размером по 100,0 ГБ. Все тома находятся в состоянии OK. Итоговая конфигурация группы приведена в таблице 1.5 и соответствует заданию.</w:t>
      </w:r>
    </w:p>
    <w:p>
      <w:pPr>
        <w:pStyle w:val="a7"/>
        <w:keepNext/>
        <w:spacing w:before="240" w:after="0"/>
        <w:ind w:firstLine="0"/>
        <w:jc w:val="left"/>
        <w:rPr>
          <w:lang w:val="ru-RU" w:eastAsia="en-US"/>
        </w:rPr>
      </w:pPr>
      <w:r>
        <w:rPr>
          <w:lang w:val="ru-RU" w:eastAsia="en-US"/>
        </w:rPr>
        <w:t xml:space="preserve">Таблица 1.5 – Конфигурация созданной группы LUN</w:t>
      </w:r>
    </w:p>
    <w:tbl>
      <w:tblPr>
        <w:tblStyle w:val="afa"/>
        <w:tblW w:w="9356" w:type="dxa"/>
        <w:tblLayout w:type="fixed"/>
        <w:tblLook w:val="04A0" w:firstRow="1" w:lastRow="0" w:firstColumn="1" w:lastColumn="0" w:noHBand="0" w:noVBand="1"/>
      </w:tblPr>
      <w:tblGrid>
        <w:gridCol w:w="3686"/>
        <w:gridCol w:w="5670"/>
      </w:tblGrid>
      <w:tr>
        <w:trPr>
          <w:cantSplit/>
          <w:tblHeader/>
        </w:trPr>
        <w:tc>
          <w:tcPr>
            <w:tcW w:w="3686" w:type="dxa"/>
          </w:tcPr>
          <w:p>
            <w:pPr>
              <w:pStyle w:val="a7"/>
              <w:keepNext/>
              <w:ind w:firstLine="0"/>
              <w:jc w:val="left"/>
              <w:rPr>
                <w:lang w:val="ru-RU" w:eastAsia="en-US"/>
              </w:rPr>
            </w:pPr>
            <w:r>
              <w:rPr>
                <w:sz w:val="28"/>
                <w:szCs w:val="28"/>
                <w:lang w:val="ru-RU" w:eastAsia="en-US"/>
              </w:rPr>
              <w:t xml:space="preserve">Параметр</w:t>
            </w:r>
          </w:p>
        </w:tc>
        <w:tc>
          <w:tcPr>
            <w:tcW w:w="5670" w:type="dxa"/>
          </w:tcPr>
          <w:p>
            <w:pPr>
              <w:pStyle w:val="a7"/>
              <w:keepNext/>
              <w:ind w:firstLine="0"/>
              <w:jc w:val="left"/>
              <w:rPr>
                <w:lang w:val="ru-RU" w:eastAsia="en-US"/>
              </w:rPr>
            </w:pPr>
            <w:r>
              <w:rPr>
                <w:sz w:val="28"/>
                <w:szCs w:val="28"/>
                <w:lang w:val="ru-RU" w:eastAsia="en-US"/>
              </w:rPr>
              <w:t xml:space="preserve">Значение</w:t>
            </w:r>
          </w:p>
        </w:tc>
      </w:tr>
      <w:tr>
        <w:trPr>
          <w:cantSplit/>
        </w:trPr>
        <w:tc>
          <w:tcPr>
            <w:tcW w:w="3686" w:type="dxa"/>
          </w:tcPr>
          <w:p>
            <w:pPr>
              <w:pStyle w:val="a7"/>
              <w:keepNext/>
              <w:ind w:firstLine="0"/>
              <w:jc w:val="left"/>
              <w:rPr>
                <w:lang w:val="ru-RU" w:eastAsia="en-US"/>
              </w:rPr>
            </w:pPr>
            <w:r>
              <w:rPr>
                <w:sz w:val="28"/>
                <w:szCs w:val="28"/>
                <w:lang w:val="ru-RU" w:eastAsia="en-US"/>
              </w:rPr>
              <w:t xml:space="preserve">Имя группы</w:t>
            </w:r>
          </w:p>
        </w:tc>
        <w:tc>
          <w:tcPr>
            <w:tcW w:w="5670" w:type="dxa"/>
          </w:tcPr>
          <w:p>
            <w:pPr>
              <w:pStyle w:val="a7"/>
              <w:keepNext/>
              <w:ind w:firstLine="0"/>
              <w:jc w:val="left"/>
              <w:rPr>
                <w:lang w:val="ru-RU" w:eastAsia="en-US"/>
              </w:rPr>
            </w:pPr>
            <w:r>
              <w:rPr>
                <w:sz w:val="28"/>
                <w:szCs w:val="28"/>
                <w:lang w:val="ru-RU" w:eastAsia="en-US"/>
              </w:rPr>
              <w:t xml:space="preserve">RomanLunGroup</w:t>
            </w:r>
          </w:p>
        </w:tc>
      </w:tr>
      <w:tr>
        <w:trPr>
          <w:cantSplit/>
        </w:trPr>
        <w:tc>
          <w:tcPr>
            <w:tcW w:w="3686" w:type="dxa"/>
          </w:tcPr>
          <w:p>
            <w:pPr>
              <w:pStyle w:val="a7"/>
              <w:keepNext/>
              <w:ind w:firstLine="0"/>
              <w:jc w:val="left"/>
              <w:rPr>
                <w:lang w:val="ru-RU" w:eastAsia="en-US"/>
              </w:rPr>
            </w:pPr>
            <w:r>
              <w:rPr>
                <w:sz w:val="28"/>
                <w:szCs w:val="28"/>
                <w:lang w:val="ru-RU" w:eastAsia="en-US"/>
              </w:rPr>
              <w:t xml:space="preserve">Количество LUN</w:t>
            </w:r>
          </w:p>
        </w:tc>
        <w:tc>
          <w:tcPr>
            <w:tcW w:w="5670" w:type="dxa"/>
          </w:tcPr>
          <w:p>
            <w:pPr>
              <w:pStyle w:val="a7"/>
              <w:keepNext/>
              <w:ind w:firstLine="0"/>
              <w:jc w:val="left"/>
              <w:rPr>
                <w:lang w:val="ru-RU" w:eastAsia="en-US"/>
              </w:rPr>
            </w:pPr>
            <w:r>
              <w:rPr>
                <w:sz w:val="28"/>
                <w:szCs w:val="28"/>
                <w:lang w:val="ru-RU" w:eastAsia="en-US"/>
              </w:rPr>
              <w:t xml:space="preserve">10</w:t>
            </w:r>
          </w:p>
        </w:tc>
      </w:tr>
      <w:tr>
        <w:trPr>
          <w:cantSplit/>
        </w:trPr>
        <w:tc>
          <w:tcPr>
            <w:tcW w:w="3686" w:type="dxa"/>
          </w:tcPr>
          <w:p>
            <w:pPr>
              <w:pStyle w:val="a7"/>
              <w:keepNext/>
              <w:ind w:firstLine="0"/>
              <w:jc w:val="left"/>
              <w:rPr>
                <w:lang w:val="ru-RU" w:eastAsia="en-US"/>
              </w:rPr>
            </w:pPr>
            <w:r>
              <w:rPr>
                <w:sz w:val="28"/>
                <w:szCs w:val="28"/>
                <w:lang w:val="ru-RU" w:eastAsia="en-US"/>
              </w:rPr>
              <w:t xml:space="preserve">RomanLunGroup-00…04</w:t>
            </w:r>
          </w:p>
        </w:tc>
        <w:tc>
          <w:tcPr>
            <w:tcW w:w="5670" w:type="dxa"/>
          </w:tcPr>
          <w:p>
            <w:pPr>
              <w:pStyle w:val="a7"/>
              <w:keepNext/>
              <w:ind w:firstLine="0"/>
              <w:jc w:val="left"/>
              <w:rPr>
                <w:lang w:val="ru-RU" w:eastAsia="en-US"/>
              </w:rPr>
            </w:pPr>
            <w:r>
              <w:rPr>
                <w:sz w:val="28"/>
                <w:szCs w:val="28"/>
                <w:lang w:val="ru-RU" w:eastAsia="en-US"/>
              </w:rPr>
              <w:t xml:space="preserve">5 томов по 10 ГБ, тонкое выделение</w:t>
            </w:r>
          </w:p>
        </w:tc>
      </w:tr>
      <w:tr>
        <w:trPr>
          <w:cantSplit/>
        </w:trPr>
        <w:tc>
          <w:tcPr>
            <w:tcW w:w="3686" w:type="dxa"/>
          </w:tcPr>
          <w:p>
            <w:pPr>
              <w:pStyle w:val="a7"/>
              <w:keepNext/>
              <w:ind w:firstLine="0"/>
              <w:jc w:val="left"/>
              <w:rPr>
                <w:lang w:val="ru-RU" w:eastAsia="en-US"/>
              </w:rPr>
            </w:pPr>
            <w:r>
              <w:rPr>
                <w:sz w:val="28"/>
                <w:szCs w:val="28"/>
                <w:lang w:val="ru-RU" w:eastAsia="en-US"/>
              </w:rPr>
              <w:t xml:space="preserve">RomanLunGroup-05…09</w:t>
            </w:r>
          </w:p>
        </w:tc>
        <w:tc>
          <w:tcPr>
            <w:tcW w:w="5670" w:type="dxa"/>
          </w:tcPr>
          <w:p>
            <w:pPr>
              <w:pStyle w:val="a7"/>
              <w:keepNext/>
              <w:ind w:firstLine="0"/>
              <w:jc w:val="left"/>
              <w:rPr>
                <w:lang w:val="ru-RU" w:eastAsia="en-US"/>
              </w:rPr>
            </w:pPr>
            <w:r>
              <w:rPr>
                <w:sz w:val="28"/>
                <w:szCs w:val="28"/>
                <w:lang w:val="ru-RU" w:eastAsia="en-US"/>
              </w:rPr>
              <w:t xml:space="preserve">5 томов по 100 ГБ, тонкое выделение</w:t>
            </w:r>
          </w:p>
        </w:tc>
      </w:tr>
      <w:tr>
        <w:trPr>
          <w:cantSplit/>
        </w:trPr>
        <w:tc>
          <w:tcPr>
            <w:tcW w:w="3686" w:type="dxa"/>
          </w:tcPr>
          <w:p>
            <w:pPr>
              <w:pStyle w:val="a7"/>
              <w:keepNext/>
              <w:ind w:firstLine="0"/>
              <w:jc w:val="left"/>
              <w:rPr>
                <w:lang w:val="ru-RU" w:eastAsia="en-US"/>
              </w:rPr>
            </w:pPr>
            <w:r>
              <w:rPr>
                <w:sz w:val="28"/>
                <w:szCs w:val="28"/>
                <w:lang w:val="ru-RU" w:eastAsia="en-US"/>
              </w:rPr>
              <w:t xml:space="preserve">Общий размер группы</w:t>
            </w:r>
          </w:p>
        </w:tc>
        <w:tc>
          <w:tcPr>
            <w:tcW w:w="5670" w:type="dxa"/>
          </w:tcPr>
          <w:p>
            <w:pPr>
              <w:pStyle w:val="a7"/>
              <w:keepNext/>
              <w:ind w:firstLine="0"/>
              <w:jc w:val="left"/>
              <w:rPr>
                <w:lang w:val="ru-RU" w:eastAsia="en-US"/>
              </w:rPr>
            </w:pPr>
            <w:r>
              <w:rPr>
                <w:sz w:val="28"/>
                <w:szCs w:val="28"/>
                <w:lang w:val="ru-RU" w:eastAsia="en-US"/>
              </w:rPr>
              <w:t xml:space="preserve">550 ГБ</w:t>
            </w:r>
          </w:p>
        </w:tc>
      </w:tr>
      <w:tr>
        <w:trPr>
          <w:cantSplit/>
        </w:trPr>
        <w:tc>
          <w:tcPr>
            <w:tcW w:w="3686" w:type="dxa"/>
          </w:tcPr>
          <w:p>
            <w:pPr>
              <w:pStyle w:val="a7"/>
              <w:keepNext/>
              <w:ind w:firstLine="0"/>
              <w:jc w:val="left"/>
              <w:rPr>
                <w:lang w:val="ru-RU" w:eastAsia="en-US"/>
              </w:rPr>
            </w:pPr>
            <w:r>
              <w:rPr>
                <w:sz w:val="28"/>
                <w:szCs w:val="28"/>
                <w:lang w:val="ru-RU" w:eastAsia="en-US"/>
              </w:rPr>
              <w:t xml:space="preserve">Пул хранения</w:t>
            </w:r>
          </w:p>
        </w:tc>
        <w:tc>
          <w:tcPr>
            <w:tcW w:w="5670" w:type="dxa"/>
          </w:tcPr>
          <w:p>
            <w:pPr>
              <w:pStyle w:val="a7"/>
              <w:keepNext/>
              <w:ind w:firstLine="0"/>
              <w:jc w:val="left"/>
              <w:rPr>
                <w:lang w:val="ru-RU" w:eastAsia="en-US"/>
              </w:rPr>
            </w:pPr>
            <w:r>
              <w:rPr>
                <w:sz w:val="28"/>
                <w:szCs w:val="28"/>
                <w:lang w:val="ru-RU" w:eastAsia="en-US"/>
              </w:rPr>
              <w:t xml:space="preserve">MultiTier</w:t>
            </w:r>
          </w:p>
        </w:tc>
      </w:tr>
      <w:tr>
        <w:trPr>
          <w:cantSplit/>
        </w:trPr>
        <w:tc>
          <w:tcPr>
            <w:tcW w:w="3686" w:type="dxa"/>
          </w:tcPr>
          <w:p>
            <w:pPr>
              <w:pStyle w:val="a7"/>
              <w:keepNext/>
              <w:ind w:firstLine="0"/>
              <w:jc w:val="left"/>
              <w:rPr>
                <w:lang w:val="ru-RU" w:eastAsia="en-US"/>
              </w:rPr>
            </w:pPr>
            <w:r>
              <w:rPr>
                <w:sz w:val="28"/>
                <w:szCs w:val="28"/>
                <w:lang w:val="ru-RU" w:eastAsia="en-US"/>
              </w:rPr>
              <w:t xml:space="preserve">Политика размещения данных</w:t>
            </w:r>
          </w:p>
        </w:tc>
        <w:tc>
          <w:tcPr>
            <w:tcW w:w="5670" w:type="dxa"/>
          </w:tcPr>
          <w:p>
            <w:pPr>
              <w:pStyle w:val="a7"/>
              <w:keepNext/>
              <w:ind w:firstLine="0"/>
              <w:jc w:val="left"/>
              <w:rPr>
                <w:lang w:val="ru-RU" w:eastAsia="en-US"/>
              </w:rPr>
            </w:pPr>
            <w:r>
              <w:rPr>
                <w:sz w:val="28"/>
                <w:szCs w:val="28"/>
                <w:lang w:val="ru-RU" w:eastAsia="en-US"/>
              </w:rPr>
              <w:t xml:space="preserve">Start High Then Auto-Tier (Recommended)</w:t>
            </w:r>
          </w:p>
        </w:tc>
      </w:tr>
      <w:tr>
        <w:trPr>
          <w:cantSplit/>
        </w:trPr>
        <w:tc>
          <w:tcPr>
            <w:tcW w:w="3686" w:type="dxa"/>
          </w:tcPr>
          <w:p>
            <w:pPr>
              <w:pStyle w:val="a7"/>
              <w:keepNext/>
              <w:ind w:firstLine="0"/>
              <w:jc w:val="left"/>
              <w:rPr>
                <w:lang w:val="ru-RU" w:eastAsia="en-US"/>
              </w:rPr>
            </w:pPr>
            <w:r>
              <w:rPr>
                <w:sz w:val="28"/>
                <w:szCs w:val="28"/>
                <w:lang w:val="ru-RU" w:eastAsia="en-US"/>
              </w:rPr>
              <w:t xml:space="preserve">Расписание защиты</w:t>
            </w:r>
          </w:p>
        </w:tc>
        <w:tc>
          <w:tcPr>
            <w:tcW w:w="5670" w:type="dxa"/>
          </w:tcPr>
          <w:p>
            <w:pPr>
              <w:pStyle w:val="a7"/>
              <w:keepNext/>
              <w:ind w:firstLine="0"/>
              <w:jc w:val="left"/>
              <w:rPr>
                <w:lang w:val="ru-RU" w:eastAsia="en-US"/>
              </w:rPr>
            </w:pPr>
            <w:r>
              <w:rPr>
                <w:sz w:val="28"/>
                <w:szCs w:val="28"/>
                <w:lang w:val="ru-RU" w:eastAsia="en-US"/>
              </w:rPr>
              <w:t xml:space="preserve">Default Protection: ежедневно в 11:00, хранение 2 дня</w:t>
            </w:r>
          </w:p>
        </w:tc>
      </w:tr>
      <w:tr>
        <w:trPr>
          <w:cantSplit/>
        </w:trPr>
        <w:tc>
          <w:tcPr>
            <w:tcW w:w="3686" w:type="dxa"/>
          </w:tcPr>
          <w:p>
            <w:pPr>
              <w:pStyle w:val="a7"/>
              <w:keepNext/>
              <w:ind w:firstLine="0"/>
              <w:jc w:val="left"/>
              <w:rPr>
                <w:lang w:val="ru-RU" w:eastAsia="en-US"/>
              </w:rPr>
            </w:pPr>
            <w:r>
              <w:rPr>
                <w:sz w:val="28"/>
                <w:szCs w:val="28"/>
                <w:lang w:val="ru-RU" w:eastAsia="en-US"/>
              </w:rPr>
              <w:t xml:space="preserve">Доступ к томам</w:t>
            </w:r>
          </w:p>
        </w:tc>
        <w:tc>
          <w:tcPr>
            <w:tcW w:w="5670" w:type="dxa"/>
          </w:tcPr>
          <w:p>
            <w:pPr>
              <w:pStyle w:val="a7"/>
              <w:keepNext/>
              <w:ind w:firstLine="0"/>
              <w:jc w:val="left"/>
              <w:rPr>
                <w:lang w:val="ru-RU" w:eastAsia="en-US"/>
              </w:rPr>
            </w:pPr>
            <w:r>
              <w:rPr>
                <w:sz w:val="28"/>
                <w:szCs w:val="28"/>
                <w:lang w:val="ru-RU" w:eastAsia="en-US"/>
              </w:rPr>
              <w:t xml:space="preserve">хост 10.244.214.222 (FC), тип доступа LUN</w:t>
            </w:r>
          </w:p>
        </w:tc>
      </w:tr>
      <w:tr>
        <w:trPr>
          <w:cantSplit/>
        </w:trPr>
        <w:tc>
          <w:tcPr>
            <w:tcW w:w="3686" w:type="dxa"/>
          </w:tcPr>
          <w:p>
            <w:pPr>
              <w:pStyle w:val="a7"/>
              <w:ind w:firstLine="0"/>
              <w:jc w:val="left"/>
              <w:rPr>
                <w:lang w:val="ru-RU" w:eastAsia="en-US"/>
              </w:rPr>
            </w:pPr>
            <w:r>
              <w:rPr>
                <w:sz w:val="28"/>
                <w:szCs w:val="28"/>
                <w:lang w:val="ru-RU" w:eastAsia="en-US"/>
              </w:rPr>
              <w:t xml:space="preserve">Доступ к снимкам</w:t>
            </w:r>
          </w:p>
        </w:tc>
        <w:tc>
          <w:tcPr>
            <w:tcW w:w="5670" w:type="dxa"/>
          </w:tcPr>
          <w:p>
            <w:pPr>
              <w:pStyle w:val="a7"/>
              <w:ind w:firstLine="0"/>
              <w:jc w:val="left"/>
              <w:rPr>
                <w:lang w:val="ru-RU" w:eastAsia="en-US"/>
              </w:rPr>
            </w:pPr>
            <w:r>
              <w:rPr>
                <w:sz w:val="28"/>
                <w:szCs w:val="28"/>
                <w:lang w:val="ru-RU" w:eastAsia="en-US"/>
              </w:rPr>
              <w:t xml:space="preserve">не настроен</w:t>
            </w:r>
          </w:p>
        </w:tc>
      </w:tr>
    </w:tbl>
    <w:p>
      <w:pPr>
        <w:pStyle w:val="a0"/>
        <w:keepNext/>
        <w:rPr>
          <w:lang w:val="ru-RU" w:eastAsia="en-US"/>
        </w:rPr>
      </w:pPr>
      <w:r>
        <w:rPr>
          <w:lang w:val="ru-RU" w:eastAsia="en-US"/>
        </w:rPr>
        <w:t xml:space="preserve">Создание файловой системы</w:t>
      </w:r>
    </w:p>
    <w:p>
      <w:pPr>
        <w:pStyle w:val="a7"/>
        <w:spacing w:before="320"/>
        <w:rPr>
          <w:lang w:val="ru-RU" w:eastAsia="en-US"/>
        </w:rPr>
      </w:pPr>
      <w:r>
        <w:rPr>
          <w:lang w:val="ru-RU" w:eastAsia="en-US"/>
        </w:rPr>
        <w:t xml:space="preserve">Файловую систему мы создаём мастером «Мастер создания общих папок». Открываем панель Dashboard и в блоке «Типичные задачи» выбираем ссылку «Создание общей папки» (рисунок 1.17). Эта ссылка соответствует пункту «Создать файловую систему» из задания.</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1137267"/>
            <wp:effectExtent l="0" t="0" r="0" b="0"/>
            <wp:docPr id="1017" name="Рисунок 1017"/>
            <wp:cNvGraphicFramePr>
              <a:graphicFrameLocks noChangeAspect="1"/>
            </wp:cNvGraphicFramePr>
            <a:graphic>
              <a:graphicData uri="http://schemas.openxmlformats.org/drawingml/2006/picture">
                <pic:pic>
                  <pic:nvPicPr>
                    <pic:cNvPr id="1017" name="fig17.png"/>
                    <pic:cNvPicPr/>
                  </pic:nvPicPr>
                  <pic:blipFill>
                    <a:blip r:embed="rIdFig17"/>
                    <a:stretch>
                      <a:fillRect/>
                    </a:stretch>
                  </pic:blipFill>
                  <pic:spPr>
                    <a:xfrm>
                      <a:off x="0" y="0"/>
                      <a:ext cx="5400000" cy="1137267"/>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1.17 – Запуск мастера создания файловой системы</w:t>
      </w:r>
    </w:p>
    <w:p>
      <w:pPr>
        <w:pStyle w:val="a7"/>
        <w:keepNext/>
        <w:rPr>
          <w:lang w:val="ru-RU" w:eastAsia="en-US"/>
        </w:rPr>
      </w:pPr>
      <w:r>
        <w:rPr>
          <w:lang w:val="ru-RU" w:eastAsia="en-US"/>
        </w:rPr>
        <w:t xml:space="preserve">Мастер состоит из семи шагов. На первом шаге «Настроить атрибуты для общих папок» выбираем тип общего ресурса (рисунок 1.18). VNXe предлагает два протокола файлового доступа:</w:t>
      </w:r>
    </w:p>
    <w:p>
      <w:pPr>
        <w:pStyle w:val="a7"/>
        <w:numPr>
          <w:ilvl w:val="0"/>
          <w:numId w:val="17"/>
        </w:numPr>
        <w:ind w:left="0" w:firstLine="709"/>
        <w:rPr>
          <w:lang w:val="ru-RU" w:eastAsia="en-US"/>
        </w:rPr>
      </w:pPr>
      <w:r>
        <w:rPr>
          <w:lang w:val="ru-RU" w:eastAsia="en-US"/>
        </w:rPr>
        <w:t xml:space="preserve">CIFS (Common Internet File System, вариант протокола SMB) для общего доступа к файлам в средах Windows;</w:t>
      </w:r>
    </w:p>
    <w:p>
      <w:pPr>
        <w:pStyle w:val="a7"/>
        <w:numPr>
          <w:ilvl w:val="0"/>
          <w:numId w:val="17"/>
        </w:numPr>
        <w:ind w:left="0" w:firstLine="709"/>
        <w:rPr>
          <w:lang w:val="ru-RU" w:eastAsia="en-US"/>
        </w:rPr>
      </w:pPr>
      <w:r>
        <w:rPr>
          <w:lang w:val="ru-RU" w:eastAsia="en-US"/>
        </w:rPr>
        <w:t xml:space="preserve">NFS (Network File System) для общего доступа к файлам в средах Linux и UNIX.</w:t>
      </w:r>
    </w:p>
    <w:p>
      <w:pPr>
        <w:pStyle w:val="a7"/>
        <w:rPr>
          <w:lang w:val="ru-RU" w:eastAsia="en-US"/>
        </w:rPr>
      </w:pPr>
      <w:r>
        <w:rPr>
          <w:lang w:val="ru-RU" w:eastAsia="en-US"/>
        </w:rPr>
        <w:t xml:space="preserve">Файловую систему мы создаём для хоста под управлением Windows, поэтому выбираем «Общие ресурсы Windows (CIFS)». В поле «Сервер хранения данных» оставляем NASServer00. Сервер NAS принимает файловые запросы хостов по сети и обслуживает файловые системы массива.</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4320000" cy="3739935"/>
            <wp:effectExtent l="0" t="0" r="0" b="0"/>
            <wp:docPr id="1018" name="Рисунок 1018"/>
            <wp:cNvGraphicFramePr>
              <a:graphicFrameLocks noChangeAspect="1"/>
            </wp:cNvGraphicFramePr>
            <a:graphic>
              <a:graphicData uri="http://schemas.openxmlformats.org/drawingml/2006/picture">
                <pic:pic>
                  <pic:nvPicPr>
                    <pic:cNvPr id="1018" name="fig18.png"/>
                    <pic:cNvPicPr/>
                  </pic:nvPicPr>
                  <pic:blipFill>
                    <a:blip r:embed="rIdFig18"/>
                    <a:stretch>
                      <a:fillRect/>
                    </a:stretch>
                  </pic:blipFill>
                  <pic:spPr>
                    <a:xfrm>
                      <a:off x="0" y="0"/>
                      <a:ext cx="4320000" cy="3739935"/>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1.18 – Выбор протокола CIFS</w:t>
      </w:r>
    </w:p>
    <w:p>
      <w:pPr>
        <w:pStyle w:val="a7"/>
        <w:rPr>
          <w:lang w:val="ru-RU" w:eastAsia="en-US"/>
        </w:rPr>
      </w:pPr>
      <w:r>
        <w:rPr>
          <w:lang w:val="ru-RU" w:eastAsia="en-US"/>
        </w:rPr>
        <w:t xml:space="preserve">На втором шаге задаём имя файловой системы и её описание (рисунок 1.19). По описанию администратор позднее отличит эту файловую систему от других в общем списке. Итоговые значения видны на сводке шестого шага: имя RomanFileSystem и описание RomanFileSystem.</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4320000" cy="3496087"/>
            <wp:effectExtent l="0" t="0" r="0" b="0"/>
            <wp:docPr id="1019" name="Рисунок 1019"/>
            <wp:cNvGraphicFramePr>
              <a:graphicFrameLocks noChangeAspect="1"/>
            </wp:cNvGraphicFramePr>
            <a:graphic>
              <a:graphicData uri="http://schemas.openxmlformats.org/drawingml/2006/picture">
                <pic:pic>
                  <pic:nvPicPr>
                    <pic:cNvPr id="1019" name="fig19.png"/>
                    <pic:cNvPicPr/>
                  </pic:nvPicPr>
                  <pic:blipFill>
                    <a:blip r:embed="rIdFig19"/>
                    <a:stretch>
                      <a:fillRect/>
                    </a:stretch>
                  </pic:blipFill>
                  <pic:spPr>
                    <a:xfrm>
                      <a:off x="0" y="0"/>
                      <a:ext cx="4320000" cy="3496087"/>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1.19 – Ввод имени и описания файловой системы</w:t>
      </w:r>
    </w:p>
    <w:p>
      <w:pPr>
        <w:pStyle w:val="a7"/>
        <w:rPr>
          <w:lang w:val="ru-RU" w:eastAsia="en-US"/>
        </w:rPr>
      </w:pPr>
      <w:r>
        <w:rPr>
          <w:lang w:val="ru-RU" w:eastAsia="en-US"/>
        </w:rPr>
        <w:t xml:space="preserve">Третий шаг «Настроить систему хранения данных для общих папок» задаёт пул, политику размещения данных и размер (рисунок 1.20). Выбираем пул MultiTier: мастер показывает, что пул многоуровневый (Tiered) и в нём свободно 9,2 ТБ. В поле Tiering Policy выбираем Start High Then Auto-Tier (Recommended). Задаём размер 100 ГБ и ставим отметку «"Тонкое" выделение» (Thin).</w:t>
      </w:r>
    </w:p>
    <w:p>
      <w:pPr>
        <w:pStyle w:val="a7"/>
        <w:rPr>
          <w:lang w:val="ru-RU" w:eastAsia="en-US"/>
        </w:rPr>
      </w:pPr>
      <w:r>
        <w:rPr>
          <w:lang w:val="ru-RU" w:eastAsia="en-US"/>
        </w:rPr>
        <w:t xml:space="preserve">Политика Start High Then Auto-Tier сначала размещает новые данные на самом быстром уровне пула, на дисках SAS. Затем технология FAST VP отслеживает активность данных и переносит редко используемые блоки на уровень ёмкости с дисками NL SAS. Часто читаемые данные остаются на быстрых дисках.</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4320000" cy="3791199"/>
            <wp:effectExtent l="0" t="0" r="0" b="0"/>
            <wp:docPr id="1020" name="Рисунок 1020"/>
            <wp:cNvGraphicFramePr>
              <a:graphicFrameLocks noChangeAspect="1"/>
            </wp:cNvGraphicFramePr>
            <a:graphic>
              <a:graphicData uri="http://schemas.openxmlformats.org/drawingml/2006/picture">
                <pic:pic>
                  <pic:nvPicPr>
                    <pic:cNvPr id="1020" name="fig20.png"/>
                    <pic:cNvPicPr/>
                  </pic:nvPicPr>
                  <pic:blipFill>
                    <a:blip r:embed="rIdFig20"/>
                    <a:stretch>
                      <a:fillRect/>
                    </a:stretch>
                  </pic:blipFill>
                  <pic:spPr>
                    <a:xfrm>
                      <a:off x="0" y="0"/>
                      <a:ext cx="4320000" cy="3791199"/>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1.20 – Выбор пула, политики размещения и размера</w:t>
      </w:r>
    </w:p>
    <w:p>
      <w:pPr>
        <w:pStyle w:val="a7"/>
        <w:rPr>
          <w:lang w:val="ru-RU" w:eastAsia="en-US"/>
        </w:rPr>
      </w:pPr>
      <w:r>
        <w:rPr>
          <w:lang w:val="ru-RU" w:eastAsia="en-US"/>
        </w:rPr>
        <w:t xml:space="preserve">На четвёртом шаге Configure Share создаём общий ресурс (share). Ставим отметку «Создать общий ресурс Windows», задаём имя RomaShare и описание RomaShare Description (рисунок 1.21). Локальный путь «/» означает, что общий ресурс открывает корень файловой системы. Через общий ресурс хосты получают доступ к открытым папкам файловой системы и подключают их как сетевой диск.</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4320000" cy="3708069"/>
            <wp:effectExtent l="0" t="0" r="0" b="0"/>
            <wp:docPr id="1021" name="Рисунок 1021"/>
            <wp:cNvGraphicFramePr>
              <a:graphicFrameLocks noChangeAspect="1"/>
            </wp:cNvGraphicFramePr>
            <a:graphic>
              <a:graphicData uri="http://schemas.openxmlformats.org/drawingml/2006/picture">
                <pic:pic>
                  <pic:nvPicPr>
                    <pic:cNvPr id="1021" name="fig21.png"/>
                    <pic:cNvPicPr/>
                  </pic:nvPicPr>
                  <pic:blipFill>
                    <a:blip r:embed="rIdFig21"/>
                    <a:stretch>
                      <a:fillRect/>
                    </a:stretch>
                  </pic:blipFill>
                  <pic:spPr>
                    <a:xfrm>
                      <a:off x="0" y="0"/>
                      <a:ext cx="4320000" cy="3708069"/>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1.21 – Создание общего ресурса RomaShare</w:t>
      </w:r>
    </w:p>
    <w:p>
      <w:pPr>
        <w:pStyle w:val="a7"/>
        <w:rPr>
          <w:lang w:val="ru-RU" w:eastAsia="en-US"/>
        </w:rPr>
      </w:pPr>
      <w:r>
        <w:rPr>
          <w:lang w:val="ru-RU" w:eastAsia="en-US"/>
        </w:rPr>
        <w:t xml:space="preserve">Пятый шаг «Настроить защиту» задаёт сохранение состояния файловой системы снимками. Задание рекомендует включать такую защиту для общих папок. Выбираем пункт «Настроить защитную систему хранения данных, защитить данные с помощью расписания создания снимков» (Select a snapshot schedule) и оставляем расписание по умолчанию Default Protection: снимок каждый день в 11:00 с хранением два дня (рисунок 1.22).</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4320000" cy="3834611"/>
            <wp:effectExtent l="0" t="0" r="0" b="0"/>
            <wp:docPr id="1022" name="Рисунок 1022"/>
            <wp:cNvGraphicFramePr>
              <a:graphicFrameLocks noChangeAspect="1"/>
            </wp:cNvGraphicFramePr>
            <a:graphic>
              <a:graphicData uri="http://schemas.openxmlformats.org/drawingml/2006/picture">
                <pic:pic>
                  <pic:nvPicPr>
                    <pic:cNvPr id="1022" name="fig22.png"/>
                    <pic:cNvPicPr/>
                  </pic:nvPicPr>
                  <pic:blipFill>
                    <a:blip r:embed="rIdFig22"/>
                    <a:stretch>
                      <a:fillRect/>
                    </a:stretch>
                  </pic:blipFill>
                  <pic:spPr>
                    <a:xfrm>
                      <a:off x="0" y="0"/>
                      <a:ext cx="4320000" cy="3834611"/>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1.22 – Настройка расписания снимков</w:t>
      </w:r>
    </w:p>
    <w:p>
      <w:pPr>
        <w:pStyle w:val="a7"/>
        <w:rPr>
          <w:lang w:val="ru-RU" w:eastAsia="en-US"/>
        </w:rPr>
      </w:pPr>
      <w:r>
        <w:rPr>
          <w:lang w:val="ru-RU" w:eastAsia="en-US"/>
        </w:rPr>
        <w:t xml:space="preserve">На шестом шаге «Сводка» проверяем конфигурацию перед созданием (рисунок 1.23). Параметры файловой системы и общего ресурса приведены в таблице 1.6.</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4320000" cy="3667889"/>
            <wp:effectExtent l="0" t="0" r="0" b="0"/>
            <wp:docPr id="1023" name="Рисунок 1023"/>
            <wp:cNvGraphicFramePr>
              <a:graphicFrameLocks noChangeAspect="1"/>
            </wp:cNvGraphicFramePr>
            <a:graphic>
              <a:graphicData uri="http://schemas.openxmlformats.org/drawingml/2006/picture">
                <pic:pic>
                  <pic:nvPicPr>
                    <pic:cNvPr id="1023" name="fig23.png"/>
                    <pic:cNvPicPr/>
                  </pic:nvPicPr>
                  <pic:blipFill>
                    <a:blip r:embed="rIdFig23"/>
                    <a:stretch>
                      <a:fillRect/>
                    </a:stretch>
                  </pic:blipFill>
                  <pic:spPr>
                    <a:xfrm>
                      <a:off x="0" y="0"/>
                      <a:ext cx="4320000" cy="3667889"/>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1.23 – Сводка конфигурации файловой системы</w:t>
      </w:r>
    </w:p>
    <w:p>
      <w:pPr>
        <w:pStyle w:val="a7"/>
        <w:keepNext/>
        <w:spacing w:before="240" w:after="0"/>
        <w:ind w:firstLine="0"/>
        <w:jc w:val="left"/>
        <w:rPr>
          <w:lang w:val="ru-RU" w:eastAsia="en-US"/>
        </w:rPr>
      </w:pPr>
      <w:r>
        <w:rPr>
          <w:lang w:val="ru-RU" w:eastAsia="en-US"/>
        </w:rPr>
        <w:t xml:space="preserve">Таблица 1.6 – Конфигурация файловой системы RomanFileSystem</w:t>
      </w:r>
    </w:p>
    <w:tbl>
      <w:tblPr>
        <w:tblStyle w:val="afa"/>
        <w:tblW w:w="9356" w:type="dxa"/>
        <w:tblLayout w:type="fixed"/>
        <w:tblLook w:val="04A0" w:firstRow="1" w:lastRow="0" w:firstColumn="1" w:lastColumn="0" w:noHBand="0" w:noVBand="1"/>
      </w:tblPr>
      <w:tblGrid>
        <w:gridCol w:w="3686"/>
        <w:gridCol w:w="5670"/>
      </w:tblGrid>
      <w:tr>
        <w:trPr>
          <w:cantSplit/>
          <w:tblHeader/>
        </w:trPr>
        <w:tc>
          <w:tcPr>
            <w:tcW w:w="3686" w:type="dxa"/>
          </w:tcPr>
          <w:p>
            <w:pPr>
              <w:pStyle w:val="a7"/>
              <w:keepNext/>
              <w:ind w:firstLine="0"/>
              <w:jc w:val="left"/>
              <w:rPr>
                <w:lang w:val="ru-RU" w:eastAsia="en-US"/>
              </w:rPr>
            </w:pPr>
            <w:r>
              <w:rPr>
                <w:sz w:val="28"/>
                <w:szCs w:val="28"/>
                <w:lang w:val="ru-RU" w:eastAsia="en-US"/>
              </w:rPr>
              <w:t xml:space="preserve">Параметр</w:t>
            </w:r>
          </w:p>
        </w:tc>
        <w:tc>
          <w:tcPr>
            <w:tcW w:w="5670" w:type="dxa"/>
          </w:tcPr>
          <w:p>
            <w:pPr>
              <w:pStyle w:val="a7"/>
              <w:keepNext/>
              <w:ind w:firstLine="0"/>
              <w:jc w:val="left"/>
              <w:rPr>
                <w:lang w:val="ru-RU" w:eastAsia="en-US"/>
              </w:rPr>
            </w:pPr>
            <w:r>
              <w:rPr>
                <w:sz w:val="28"/>
                <w:szCs w:val="28"/>
                <w:lang w:val="ru-RU" w:eastAsia="en-US"/>
              </w:rPr>
              <w:t xml:space="preserve">Значение</w:t>
            </w:r>
          </w:p>
        </w:tc>
      </w:tr>
      <w:tr>
        <w:trPr>
          <w:cantSplit/>
        </w:trPr>
        <w:tc>
          <w:tcPr>
            <w:tcW w:w="3686" w:type="dxa"/>
          </w:tcPr>
          <w:p>
            <w:pPr>
              <w:pStyle w:val="a7"/>
              <w:keepNext/>
              <w:ind w:firstLine="0"/>
              <w:jc w:val="left"/>
              <w:rPr>
                <w:lang w:val="ru-RU" w:eastAsia="en-US"/>
              </w:rPr>
            </w:pPr>
            <w:r>
              <w:rPr>
                <w:sz w:val="28"/>
                <w:szCs w:val="28"/>
                <w:lang w:val="ru-RU" w:eastAsia="en-US"/>
              </w:rPr>
              <w:t xml:space="preserve">Имя</w:t>
            </w:r>
          </w:p>
        </w:tc>
        <w:tc>
          <w:tcPr>
            <w:tcW w:w="5670" w:type="dxa"/>
          </w:tcPr>
          <w:p>
            <w:pPr>
              <w:pStyle w:val="a7"/>
              <w:keepNext/>
              <w:ind w:firstLine="0"/>
              <w:jc w:val="left"/>
              <w:rPr>
                <w:lang w:val="ru-RU" w:eastAsia="en-US"/>
              </w:rPr>
            </w:pPr>
            <w:r>
              <w:rPr>
                <w:sz w:val="28"/>
                <w:szCs w:val="28"/>
                <w:lang w:val="ru-RU" w:eastAsia="en-US"/>
              </w:rPr>
              <w:t xml:space="preserve">RomanFileSystem</w:t>
            </w:r>
          </w:p>
        </w:tc>
      </w:tr>
      <w:tr>
        <w:trPr>
          <w:cantSplit/>
        </w:trPr>
        <w:tc>
          <w:tcPr>
            <w:tcW w:w="3686" w:type="dxa"/>
          </w:tcPr>
          <w:p>
            <w:pPr>
              <w:pStyle w:val="a7"/>
              <w:keepNext/>
              <w:ind w:firstLine="0"/>
              <w:jc w:val="left"/>
              <w:rPr>
                <w:lang w:val="ru-RU" w:eastAsia="en-US"/>
              </w:rPr>
            </w:pPr>
            <w:r>
              <w:rPr>
                <w:sz w:val="28"/>
                <w:szCs w:val="28"/>
                <w:lang w:val="ru-RU" w:eastAsia="en-US"/>
              </w:rPr>
              <w:t xml:space="preserve">Описание</w:t>
            </w:r>
          </w:p>
        </w:tc>
        <w:tc>
          <w:tcPr>
            <w:tcW w:w="5670" w:type="dxa"/>
          </w:tcPr>
          <w:p>
            <w:pPr>
              <w:pStyle w:val="a7"/>
              <w:keepNext/>
              <w:ind w:firstLine="0"/>
              <w:jc w:val="left"/>
              <w:rPr>
                <w:lang w:val="ru-RU" w:eastAsia="en-US"/>
              </w:rPr>
            </w:pPr>
            <w:r>
              <w:rPr>
                <w:sz w:val="28"/>
                <w:szCs w:val="28"/>
                <w:lang w:val="ru-RU" w:eastAsia="en-US"/>
              </w:rPr>
              <w:t xml:space="preserve">RomanFileSystem</w:t>
            </w:r>
          </w:p>
        </w:tc>
      </w:tr>
      <w:tr>
        <w:trPr>
          <w:cantSplit/>
        </w:trPr>
        <w:tc>
          <w:tcPr>
            <w:tcW w:w="3686" w:type="dxa"/>
          </w:tcPr>
          <w:p>
            <w:pPr>
              <w:pStyle w:val="a7"/>
              <w:keepNext/>
              <w:ind w:firstLine="0"/>
              <w:jc w:val="left"/>
              <w:rPr>
                <w:lang w:val="ru-RU" w:eastAsia="en-US"/>
              </w:rPr>
            </w:pPr>
            <w:r>
              <w:rPr>
                <w:sz w:val="28"/>
                <w:szCs w:val="28"/>
                <w:lang w:val="ru-RU" w:eastAsia="en-US"/>
              </w:rPr>
              <w:t xml:space="preserve">Сервер хранения данных</w:t>
            </w:r>
          </w:p>
        </w:tc>
        <w:tc>
          <w:tcPr>
            <w:tcW w:w="5670" w:type="dxa"/>
          </w:tcPr>
          <w:p>
            <w:pPr>
              <w:pStyle w:val="a7"/>
              <w:keepNext/>
              <w:ind w:firstLine="0"/>
              <w:jc w:val="left"/>
              <w:rPr>
                <w:lang w:val="ru-RU" w:eastAsia="en-US"/>
              </w:rPr>
            </w:pPr>
            <w:r>
              <w:rPr>
                <w:sz w:val="28"/>
                <w:szCs w:val="28"/>
                <w:lang w:val="ru-RU" w:eastAsia="en-US"/>
              </w:rPr>
              <w:t xml:space="preserve">NASServer00 (10.244.214.144)</w:t>
            </w:r>
          </w:p>
        </w:tc>
      </w:tr>
      <w:tr>
        <w:trPr>
          <w:cantSplit/>
        </w:trPr>
        <w:tc>
          <w:tcPr>
            <w:tcW w:w="3686" w:type="dxa"/>
          </w:tcPr>
          <w:p>
            <w:pPr>
              <w:pStyle w:val="a7"/>
              <w:keepNext/>
              <w:ind w:firstLine="0"/>
              <w:jc w:val="left"/>
              <w:rPr>
                <w:lang w:val="ru-RU" w:eastAsia="en-US"/>
              </w:rPr>
            </w:pPr>
            <w:r>
              <w:rPr>
                <w:sz w:val="28"/>
                <w:szCs w:val="28"/>
                <w:lang w:val="ru-RU" w:eastAsia="en-US"/>
              </w:rPr>
              <w:t xml:space="preserve">Пул хранения</w:t>
            </w:r>
          </w:p>
        </w:tc>
        <w:tc>
          <w:tcPr>
            <w:tcW w:w="5670" w:type="dxa"/>
          </w:tcPr>
          <w:p>
            <w:pPr>
              <w:pStyle w:val="a7"/>
              <w:keepNext/>
              <w:ind w:firstLine="0"/>
              <w:jc w:val="left"/>
              <w:rPr>
                <w:lang w:val="ru-RU" w:eastAsia="en-US"/>
              </w:rPr>
            </w:pPr>
            <w:r>
              <w:rPr>
                <w:sz w:val="28"/>
                <w:szCs w:val="28"/>
                <w:lang w:val="ru-RU" w:eastAsia="en-US"/>
              </w:rPr>
              <w:t xml:space="preserve">MultiTier</w:t>
            </w:r>
          </w:p>
        </w:tc>
      </w:tr>
      <w:tr>
        <w:trPr>
          <w:cantSplit/>
        </w:trPr>
        <w:tc>
          <w:tcPr>
            <w:tcW w:w="3686" w:type="dxa"/>
          </w:tcPr>
          <w:p>
            <w:pPr>
              <w:pStyle w:val="a7"/>
              <w:keepNext/>
              <w:ind w:firstLine="0"/>
              <w:jc w:val="left"/>
              <w:rPr>
                <w:lang w:val="ru-RU" w:eastAsia="en-US"/>
              </w:rPr>
            </w:pPr>
            <w:r>
              <w:rPr>
                <w:sz w:val="28"/>
                <w:szCs w:val="28"/>
                <w:lang w:val="ru-RU" w:eastAsia="en-US"/>
              </w:rPr>
              <w:t xml:space="preserve">Размер</w:t>
            </w:r>
          </w:p>
        </w:tc>
        <w:tc>
          <w:tcPr>
            <w:tcW w:w="5670" w:type="dxa"/>
          </w:tcPr>
          <w:p>
            <w:pPr>
              <w:pStyle w:val="a7"/>
              <w:keepNext/>
              <w:ind w:firstLine="0"/>
              <w:jc w:val="left"/>
              <w:rPr>
                <w:lang w:val="ru-RU" w:eastAsia="en-US"/>
              </w:rPr>
            </w:pPr>
            <w:r>
              <w:rPr>
                <w:sz w:val="28"/>
                <w:szCs w:val="28"/>
                <w:lang w:val="ru-RU" w:eastAsia="en-US"/>
              </w:rPr>
              <w:t xml:space="preserve">100,0 ГБ</w:t>
            </w:r>
          </w:p>
        </w:tc>
      </w:tr>
      <w:tr>
        <w:trPr>
          <w:cantSplit/>
        </w:trPr>
        <w:tc>
          <w:tcPr>
            <w:tcW w:w="3686" w:type="dxa"/>
          </w:tcPr>
          <w:p>
            <w:pPr>
              <w:pStyle w:val="a7"/>
              <w:keepNext/>
              <w:ind w:firstLine="0"/>
              <w:jc w:val="left"/>
              <w:rPr>
                <w:lang w:val="ru-RU" w:eastAsia="en-US"/>
              </w:rPr>
            </w:pPr>
            <w:r>
              <w:rPr>
                <w:sz w:val="28"/>
                <w:szCs w:val="28"/>
                <w:lang w:val="ru-RU" w:eastAsia="en-US"/>
              </w:rPr>
              <w:t xml:space="preserve">Тонкое выделение</w:t>
            </w:r>
          </w:p>
        </w:tc>
        <w:tc>
          <w:tcPr>
            <w:tcW w:w="5670" w:type="dxa"/>
          </w:tcPr>
          <w:p>
            <w:pPr>
              <w:pStyle w:val="a7"/>
              <w:keepNext/>
              <w:ind w:firstLine="0"/>
              <w:jc w:val="left"/>
              <w:rPr>
                <w:lang w:val="ru-RU" w:eastAsia="en-US"/>
              </w:rPr>
            </w:pPr>
            <w:r>
              <w:rPr>
                <w:sz w:val="28"/>
                <w:szCs w:val="28"/>
                <w:lang w:val="ru-RU" w:eastAsia="en-US"/>
              </w:rPr>
              <w:t xml:space="preserve">Yes</w:t>
            </w:r>
          </w:p>
        </w:tc>
      </w:tr>
      <w:tr>
        <w:trPr>
          <w:cantSplit/>
        </w:trPr>
        <w:tc>
          <w:tcPr>
            <w:tcW w:w="3686" w:type="dxa"/>
          </w:tcPr>
          <w:p>
            <w:pPr>
              <w:pStyle w:val="a7"/>
              <w:keepNext/>
              <w:ind w:firstLine="0"/>
              <w:jc w:val="left"/>
              <w:rPr>
                <w:lang w:val="ru-RU" w:eastAsia="en-US"/>
              </w:rPr>
            </w:pPr>
            <w:r>
              <w:rPr>
                <w:sz w:val="28"/>
                <w:szCs w:val="28"/>
                <w:lang w:val="ru-RU" w:eastAsia="en-US"/>
              </w:rPr>
              <w:t xml:space="preserve">Tiering Policy</w:t>
            </w:r>
          </w:p>
        </w:tc>
        <w:tc>
          <w:tcPr>
            <w:tcW w:w="5670" w:type="dxa"/>
          </w:tcPr>
          <w:p>
            <w:pPr>
              <w:pStyle w:val="a7"/>
              <w:keepNext/>
              <w:ind w:firstLine="0"/>
              <w:jc w:val="left"/>
              <w:rPr>
                <w:lang w:val="ru-RU" w:eastAsia="en-US"/>
              </w:rPr>
            </w:pPr>
            <w:r>
              <w:rPr>
                <w:sz w:val="28"/>
                <w:szCs w:val="28"/>
                <w:lang w:val="ru-RU" w:eastAsia="en-US"/>
              </w:rPr>
              <w:t xml:space="preserve">Start High Then Auto-Tier (Recommended)</w:t>
            </w:r>
          </w:p>
        </w:tc>
      </w:tr>
      <w:tr>
        <w:trPr>
          <w:cantSplit/>
        </w:trPr>
        <w:tc>
          <w:tcPr>
            <w:tcW w:w="3686" w:type="dxa"/>
          </w:tcPr>
          <w:p>
            <w:pPr>
              <w:pStyle w:val="a7"/>
              <w:keepNext/>
              <w:ind w:firstLine="0"/>
              <w:jc w:val="left"/>
              <w:rPr>
                <w:lang w:val="ru-RU" w:eastAsia="en-US"/>
              </w:rPr>
            </w:pPr>
            <w:r>
              <w:rPr>
                <w:sz w:val="28"/>
                <w:szCs w:val="28"/>
                <w:lang w:val="ru-RU" w:eastAsia="en-US"/>
              </w:rPr>
              <w:t xml:space="preserve">Дополнительные атрибуты</w:t>
            </w:r>
          </w:p>
        </w:tc>
        <w:tc>
          <w:tcPr>
            <w:tcW w:w="5670" w:type="dxa"/>
          </w:tcPr>
          <w:p>
            <w:pPr>
              <w:pStyle w:val="a7"/>
              <w:keepNext/>
              <w:ind w:firstLine="0"/>
              <w:jc w:val="left"/>
              <w:rPr>
                <w:lang w:val="ru-RU" w:eastAsia="en-US"/>
              </w:rPr>
            </w:pPr>
            <w:r>
              <w:rPr>
                <w:sz w:val="28"/>
                <w:szCs w:val="28"/>
                <w:lang w:val="ru-RU" w:eastAsia="en-US"/>
              </w:rPr>
              <w:t xml:space="preserve">настройки по умолчанию</w:t>
            </w:r>
          </w:p>
        </w:tc>
      </w:tr>
      <w:tr>
        <w:trPr>
          <w:cantSplit/>
        </w:trPr>
        <w:tc>
          <w:tcPr>
            <w:tcW w:w="3686" w:type="dxa"/>
          </w:tcPr>
          <w:p>
            <w:pPr>
              <w:pStyle w:val="a7"/>
              <w:keepNext/>
              <w:ind w:firstLine="0"/>
              <w:jc w:val="left"/>
              <w:rPr>
                <w:lang w:val="ru-RU" w:eastAsia="en-US"/>
              </w:rPr>
            </w:pPr>
            <w:r>
              <w:rPr>
                <w:sz w:val="28"/>
                <w:szCs w:val="28"/>
                <w:lang w:val="ru-RU" w:eastAsia="en-US"/>
              </w:rPr>
              <w:t xml:space="preserve">Расписание защиты данных</w:t>
            </w:r>
          </w:p>
        </w:tc>
        <w:tc>
          <w:tcPr>
            <w:tcW w:w="5670" w:type="dxa"/>
          </w:tcPr>
          <w:p>
            <w:pPr>
              <w:pStyle w:val="a7"/>
              <w:keepNext/>
              <w:ind w:firstLine="0"/>
              <w:jc w:val="left"/>
              <w:rPr>
                <w:lang w:val="ru-RU" w:eastAsia="en-US"/>
              </w:rPr>
            </w:pPr>
            <w:r>
              <w:rPr>
                <w:sz w:val="28"/>
                <w:szCs w:val="28"/>
                <w:lang w:val="ru-RU" w:eastAsia="en-US"/>
              </w:rPr>
              <w:t xml:space="preserve">Default Protection</w:t>
            </w:r>
          </w:p>
        </w:tc>
      </w:tr>
      <w:tr>
        <w:trPr>
          <w:cantSplit/>
        </w:trPr>
        <w:tc>
          <w:tcPr>
            <w:tcW w:w="3686" w:type="dxa"/>
          </w:tcPr>
          <w:p>
            <w:pPr>
              <w:pStyle w:val="a7"/>
              <w:keepNext/>
              <w:ind w:firstLine="0"/>
              <w:jc w:val="left"/>
              <w:rPr>
                <w:lang w:val="ru-RU" w:eastAsia="en-US"/>
              </w:rPr>
            </w:pPr>
            <w:r>
              <w:rPr>
                <w:sz w:val="28"/>
                <w:szCs w:val="28"/>
                <w:lang w:val="ru-RU" w:eastAsia="en-US"/>
              </w:rPr>
              <w:t xml:space="preserve">Тип общего ресурса</w:t>
            </w:r>
          </w:p>
        </w:tc>
        <w:tc>
          <w:tcPr>
            <w:tcW w:w="5670" w:type="dxa"/>
          </w:tcPr>
          <w:p>
            <w:pPr>
              <w:pStyle w:val="a7"/>
              <w:keepNext/>
              <w:ind w:firstLine="0"/>
              <w:jc w:val="left"/>
              <w:rPr>
                <w:lang w:val="ru-RU" w:eastAsia="en-US"/>
              </w:rPr>
            </w:pPr>
            <w:r>
              <w:rPr>
                <w:sz w:val="28"/>
                <w:szCs w:val="28"/>
                <w:lang w:val="ru-RU" w:eastAsia="en-US"/>
              </w:rPr>
              <w:t xml:space="preserve">Общие ресурсы Windows (CIFS)</w:t>
            </w:r>
          </w:p>
        </w:tc>
      </w:tr>
      <w:tr>
        <w:trPr>
          <w:cantSplit/>
        </w:trPr>
        <w:tc>
          <w:tcPr>
            <w:tcW w:w="3686" w:type="dxa"/>
          </w:tcPr>
          <w:p>
            <w:pPr>
              <w:pStyle w:val="a7"/>
              <w:keepNext/>
              <w:ind w:firstLine="0"/>
              <w:jc w:val="left"/>
              <w:rPr>
                <w:lang w:val="ru-RU" w:eastAsia="en-US"/>
              </w:rPr>
            </w:pPr>
            <w:r>
              <w:rPr>
                <w:sz w:val="28"/>
                <w:szCs w:val="28"/>
                <w:lang w:val="ru-RU" w:eastAsia="en-US"/>
              </w:rPr>
              <w:t xml:space="preserve">Имя общего ресурса</w:t>
            </w:r>
          </w:p>
        </w:tc>
        <w:tc>
          <w:tcPr>
            <w:tcW w:w="5670" w:type="dxa"/>
          </w:tcPr>
          <w:p>
            <w:pPr>
              <w:pStyle w:val="a7"/>
              <w:keepNext/>
              <w:ind w:firstLine="0"/>
              <w:jc w:val="left"/>
              <w:rPr>
                <w:lang w:val="ru-RU" w:eastAsia="en-US"/>
              </w:rPr>
            </w:pPr>
            <w:r>
              <w:rPr>
                <w:sz w:val="28"/>
                <w:szCs w:val="28"/>
                <w:lang w:val="ru-RU" w:eastAsia="en-US"/>
              </w:rPr>
              <w:t xml:space="preserve">RomaShare</w:t>
            </w:r>
          </w:p>
        </w:tc>
      </w:tr>
      <w:tr>
        <w:trPr>
          <w:cantSplit/>
        </w:trPr>
        <w:tc>
          <w:tcPr>
            <w:tcW w:w="3686" w:type="dxa"/>
          </w:tcPr>
          <w:p>
            <w:pPr>
              <w:pStyle w:val="a7"/>
              <w:keepNext/>
              <w:ind w:firstLine="0"/>
              <w:jc w:val="left"/>
              <w:rPr>
                <w:lang w:val="ru-RU" w:eastAsia="en-US"/>
              </w:rPr>
            </w:pPr>
            <w:r>
              <w:rPr>
                <w:sz w:val="28"/>
                <w:szCs w:val="28"/>
                <w:lang w:val="ru-RU" w:eastAsia="en-US"/>
              </w:rPr>
              <w:t xml:space="preserve">Описание общего ресурса</w:t>
            </w:r>
          </w:p>
        </w:tc>
        <w:tc>
          <w:tcPr>
            <w:tcW w:w="5670" w:type="dxa"/>
          </w:tcPr>
          <w:p>
            <w:pPr>
              <w:pStyle w:val="a7"/>
              <w:keepNext/>
              <w:ind w:firstLine="0"/>
              <w:jc w:val="left"/>
              <w:rPr>
                <w:lang w:val="ru-RU" w:eastAsia="en-US"/>
              </w:rPr>
            </w:pPr>
            <w:r>
              <w:rPr>
                <w:sz w:val="28"/>
                <w:szCs w:val="28"/>
                <w:lang w:val="ru-RU" w:eastAsia="en-US"/>
              </w:rPr>
              <w:t xml:space="preserve">RomaShare Description</w:t>
            </w:r>
          </w:p>
        </w:tc>
      </w:tr>
      <w:tr>
        <w:trPr>
          <w:cantSplit/>
        </w:trPr>
        <w:tc>
          <w:tcPr>
            <w:tcW w:w="3686" w:type="dxa"/>
          </w:tcPr>
          <w:p>
            <w:pPr>
              <w:pStyle w:val="a7"/>
              <w:keepNext/>
              <w:ind w:firstLine="0"/>
              <w:jc w:val="left"/>
              <w:rPr>
                <w:lang w:val="ru-RU" w:eastAsia="en-US"/>
              </w:rPr>
            </w:pPr>
            <w:r>
              <w:rPr>
                <w:sz w:val="28"/>
                <w:szCs w:val="28"/>
                <w:lang w:val="ru-RU" w:eastAsia="en-US"/>
              </w:rPr>
              <w:t xml:space="preserve">Локальный путь</w:t>
            </w:r>
          </w:p>
        </w:tc>
        <w:tc>
          <w:tcPr>
            <w:tcW w:w="5670" w:type="dxa"/>
          </w:tcPr>
          <w:p>
            <w:pPr>
              <w:pStyle w:val="a7"/>
              <w:keepNext/>
              <w:ind w:firstLine="0"/>
              <w:jc w:val="left"/>
              <w:rPr>
                <w:lang w:val="ru-RU" w:eastAsia="en-US"/>
              </w:rPr>
            </w:pPr>
            <w:r>
              <w:rPr>
                <w:sz w:val="28"/>
                <w:szCs w:val="28"/>
                <w:lang w:val="ru-RU" w:eastAsia="en-US"/>
              </w:rPr>
              <w:t xml:space="preserve">/</w:t>
            </w:r>
          </w:p>
        </w:tc>
      </w:tr>
      <w:tr>
        <w:trPr>
          <w:cantSplit/>
        </w:trPr>
        <w:tc>
          <w:tcPr>
            <w:tcW w:w="3686" w:type="dxa"/>
          </w:tcPr>
          <w:p>
            <w:pPr>
              <w:pStyle w:val="a7"/>
              <w:ind w:firstLine="0"/>
              <w:jc w:val="left"/>
              <w:rPr>
                <w:lang w:val="ru-RU" w:eastAsia="en-US"/>
              </w:rPr>
            </w:pPr>
            <w:r>
              <w:rPr>
                <w:sz w:val="28"/>
                <w:szCs w:val="28"/>
                <w:lang w:val="ru-RU" w:eastAsia="en-US"/>
              </w:rPr>
              <w:t xml:space="preserve">Путь экспорта</w:t>
            </w:r>
          </w:p>
        </w:tc>
        <w:tc>
          <w:tcPr>
            <w:tcW w:w="5670" w:type="dxa"/>
          </w:tcPr>
          <w:p>
            <w:pPr>
              <w:pStyle w:val="a7"/>
              <w:ind w:firstLine="0"/>
              <w:jc w:val="left"/>
              <w:rPr>
                <w:lang w:val="ru-RU" w:eastAsia="en-US"/>
              </w:rPr>
            </w:pPr>
            <w:r>
              <w:rPr>
                <w:sz w:val="28"/>
                <w:szCs w:val="28"/>
                <w:lang w:val="ru-RU" w:eastAsia="en-US"/>
              </w:rPr>
              <w:t xml:space="preserve">\\10.244.214.144\RomaShare</w:t>
            </w:r>
          </w:p>
        </w:tc>
      </w:tr>
    </w:tbl>
    <w:p>
      <w:pPr>
        <w:pStyle w:val="a7"/>
        <w:spacing w:before="320"/>
        <w:rPr>
          <w:lang w:val="ru-RU" w:eastAsia="en-US"/>
        </w:rPr>
      </w:pPr>
      <w:r>
        <w:rPr>
          <w:lang w:val="ru-RU" w:eastAsia="en-US"/>
        </w:rPr>
        <w:t xml:space="preserve">Путь экспорта \\10.244.214.144\RomaShare записан в формате UNC. По этому адресу хост Windows подключает общую папку, например через проводник или командой net use. Конфигурация совпадает с заданием, поэтому нажимаем «Готово».</w:t>
      </w:r>
    </w:p>
    <w:p>
      <w:pPr>
        <w:pStyle w:val="a7"/>
        <w:rPr>
          <w:lang w:val="ru-RU" w:eastAsia="en-US"/>
        </w:rPr>
      </w:pPr>
      <w:r>
        <w:rPr>
          <w:lang w:val="ru-RU" w:eastAsia="en-US"/>
        </w:rPr>
        <w:t xml:space="preserve">Седьмой шаг «Результаты» показывает ход создания (рисунок 1.24). Мастер выполнил три операции: создал ресурс хранения RomanFileSystem, создал файловую систему RomanFileSystem и создал общий ресурс CIFS RomaShare. Каждая операция отмечена зелёным значком, ниже выведено сообщение «Настройка успешно завершена». Для операции Unisphere создал фоновую задачу «Create or modify the storage resource: File System RomanFileSystem», за её ходом можно следить по ссылке Jobs в строке состояния. Время создания зависит от числа LUN и снимков, которые затрагивает операция.</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4320000" cy="3669275"/>
            <wp:effectExtent l="0" t="0" r="0" b="0"/>
            <wp:docPr id="1024" name="Рисунок 1024"/>
            <wp:cNvGraphicFramePr>
              <a:graphicFrameLocks noChangeAspect="1"/>
            </wp:cNvGraphicFramePr>
            <a:graphic>
              <a:graphicData uri="http://schemas.openxmlformats.org/drawingml/2006/picture">
                <pic:pic>
                  <pic:nvPicPr>
                    <pic:cNvPr id="1024" name="fig24.png"/>
                    <pic:cNvPicPr/>
                  </pic:nvPicPr>
                  <pic:blipFill>
                    <a:blip r:embed="rIdFig24"/>
                    <a:stretch>
                      <a:fillRect/>
                    </a:stretch>
                  </pic:blipFill>
                  <pic:spPr>
                    <a:xfrm>
                      <a:off x="0" y="0"/>
                      <a:ext cx="4320000" cy="3669275"/>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1.24 – Результаты работы мастера создания файловой системы</w:t>
      </w:r>
    </w:p>
    <w:p>
      <w:pPr>
        <w:pStyle w:val="a7"/>
        <w:rPr>
          <w:lang w:val="ru-RU" w:eastAsia="en-US"/>
        </w:rPr>
      </w:pPr>
      <w:r>
        <w:rPr>
          <w:lang w:val="ru-RU" w:eastAsia="en-US"/>
        </w:rPr>
        <w:t xml:space="preserve">Закрываем мастер и открываем список файловых систем в разделе «Система хранения данных» (рисунок 1.25). Файловая система RomanFileSystem появилась в списке рядом с FileSystem00 и FileSystem01. Она находится в состоянии OK, обслуживается сервером NASServer00, работает по протоколу CIFS, имеет размер 100,0 ГБ и расписание защиты Default Protection. Дедупликация для неё отключена, как и для FileSystem01. У FileSystem00 дедупликация включена.</w:t>
      </w:r>
    </w:p>
    <w:p xmlns:a="http://schemas.openxmlformats.org/drawingml/2006/main" xmlns:pic="http://schemas.openxmlformats.org/drawingml/2006/picture">
      <w:pPr>
        <w:pStyle w:val="a7"/>
        <w:keepNext/>
        <w:spacing w:before="240" w:after="120"/>
        <w:ind w:firstLine="0"/>
        <w:jc w:val="center"/>
        <w:rPr>
          <w:lang w:val="ru-RU" w:eastAsia="en-US"/>
        </w:rPr>
      </w:pPr>
      <w:r>
        <w:rPr>
          <w:noProof/>
        </w:rPr>
        <w:drawing>
          <wp:inline distT="0" distB="0" distL="0" distR="0">
            <wp:extent cx="5400000" cy="722771"/>
            <wp:effectExtent l="0" t="0" r="0" b="0"/>
            <wp:docPr id="1025" name="Рисунок 1025"/>
            <wp:cNvGraphicFramePr>
              <a:graphicFrameLocks noChangeAspect="1"/>
            </wp:cNvGraphicFramePr>
            <a:graphic>
              <a:graphicData uri="http://schemas.openxmlformats.org/drawingml/2006/picture">
                <pic:pic>
                  <pic:nvPicPr>
                    <pic:cNvPr id="1025" name="fig25.png"/>
                    <pic:cNvPicPr/>
                  </pic:nvPicPr>
                  <pic:blipFill>
                    <a:blip r:embed="rIdFig25"/>
                    <a:stretch>
                      <a:fillRect/>
                    </a:stretch>
                  </pic:blipFill>
                  <pic:spPr>
                    <a:xfrm>
                      <a:off x="0" y="0"/>
                      <a:ext cx="5400000" cy="722771"/>
                    </a:xfrm>
                    <a:prstGeom prst="rect">
                      <a:avLst/>
                    </a:prstGeom>
                  </pic:spPr>
                </pic:pic>
              </a:graphicData>
            </a:graphic>
          </wp:inline>
        </w:drawing>
      </w:r>
    </w:p>
    <w:p>
      <w:pPr>
        <w:pStyle w:val="a7"/>
        <w:spacing w:after="240"/>
        <w:ind w:firstLine="0"/>
        <w:jc w:val="center"/>
        <w:rPr>
          <w:lang w:val="ru-RU" w:eastAsia="en-US"/>
        </w:rPr>
      </w:pPr>
      <w:r>
        <w:rPr>
          <w:lang w:val="ru-RU" w:eastAsia="en-US"/>
        </w:rPr>
        <w:t xml:space="preserve">Рисунок 1.25 – Список файловых систем после создания RomanFileSystem</w:t>
      </w:r>
    </w:p>
    <w:p>
      <w:pPr>
        <w:pStyle w:val="a5"/>
        <w:pageBreakBefore/>
        <w:rPr>
          <w:lang w:val="ru-RU" w:eastAsia="en-US"/>
        </w:rPr>
      </w:pPr>
      <w:r>
        <w:rPr>
          <w:lang w:val="ru-RU" w:eastAsia="en-US"/>
        </w:rPr>
        <w:t xml:space="preserve">Заключение</w:t>
      </w:r>
    </w:p>
    <w:p>
      <w:pPr>
        <w:pStyle w:val="a7"/>
        <w:rPr>
          <w:lang w:val="ru-RU" w:eastAsia="en-US"/>
        </w:rPr>
      </w:pPr>
      <w:r>
        <w:rPr>
          <w:lang w:val="ru-RU" w:eastAsia="en-US"/>
        </w:rPr>
        <w:t xml:space="preserve">В лабораторной работе мы исследовали среду управления Unisphere системы хранения VNXe3200 на симуляторе Unisphere VNXe Demo, проверили конфигурацию массива и создали два новых ресурса хранения: блочное устройство и файловую систему.</w:t>
      </w:r>
    </w:p>
    <w:p>
      <w:pPr>
        <w:pStyle w:val="a7"/>
        <w:rPr>
          <w:lang w:val="ru-RU" w:eastAsia="en-US"/>
        </w:rPr>
      </w:pPr>
      <w:r>
        <w:rPr>
          <w:lang w:val="ru-RU" w:eastAsia="en-US"/>
        </w:rPr>
        <w:t xml:space="preserve">В первой части мы настроили панель Dashboard: блок System Information перенесли в правый верхний угол, список LUN поместили в левый верхний. В разделе Storage Resource Health мы убедились, что все семь ресурсов хранения, включая файловые системы FileSystem00 и FileSystem01, находятся в состоянии OK. Для пула MultiTier мы изучили состав уровней (пять дисков SAS и пять дисков NL SAS, каждый уровень в RAID 5 по схеме 4+1) и установили порог оповещения 50 %. При подписке пула 145 % такой порог даёт администратору запас времени на расширение пула. Для хоста Windows 2k8 мы определили, что он подключается по протоколу iSCSI, имеет доступ к массиву, один инициатор и два пути через процессоры SP A и SP B. В настройках iSCSI мы нашли четыре активных интерфейса на портах Ethernet Port 2 и Ethernet Port 4.</w:t>
      </w:r>
    </w:p>
    <w:p>
      <w:pPr>
        <w:pStyle w:val="a7"/>
        <w:rPr>
          <w:lang w:val="ru-RU" w:eastAsia="en-US"/>
        </w:rPr>
      </w:pPr>
      <w:r>
        <w:rPr>
          <w:lang w:val="ru-RU" w:eastAsia="en-US"/>
        </w:rPr>
        <w:t xml:space="preserve">Во второй части мы создали группу RomanLunGroup из десяти LUN с тонким выделением: пять томов по 100 ГБ и пять по 10 ГБ, всего 550 ГБ. Группа получила расписание защиты Default Protection и доступ для хоста 10.244.214.222 по протоколу FC. Проверка в разделе LUNs подтвердила, что конфигурация группы совпадает с заданной.</w:t>
      </w:r>
    </w:p>
    <w:p>
      <w:pPr>
        <w:pStyle w:val="a7"/>
        <w:rPr>
          <w:lang w:val="ru-RU" w:eastAsia="en-US"/>
        </w:rPr>
      </w:pPr>
      <w:r>
        <w:rPr>
          <w:lang w:val="ru-RU" w:eastAsia="en-US"/>
        </w:rPr>
        <w:t xml:space="preserve">В третьей части мы создали файловую систему RomanFileSystem размером 100 ГБ на пуле MultiTier с политикой Start High Then Auto-Tier и тонким выделением. Для хостов Windows мы открыли к ней общий ресурс CIFS RomaShare по адресу \\10.244.214.144\RomaShare и подключили ежедневное расписание снимков.</w:t>
      </w:r>
    </w:p>
    <w:p>
      <w:pPr>
        <w:pStyle w:val="a7"/>
        <w:rPr>
          <w:lang w:val="ru-RU" w:eastAsia="en-US"/>
        </w:rPr>
      </w:pPr>
      <w:r>
        <w:rPr>
          <w:lang w:val="ru-RU" w:eastAsia="en-US"/>
        </w:rPr>
        <w:t xml:space="preserve">Все задачи работы мы выполнили через пошаговые мастера и разделы Unisphere. Перед созданием ресурса мастер выводит сводку, и ошибку в конфигурации администратор находит до того, как ресурс появится на массиве. Полученные навыки понадобятся в следующих работах, где мы будем настраивать защиту данных для созданных ресурсов.</w:t>
      </w:r>
    </w:p>
    <w:sectPr w:rsidR="006726E9" w:rsidRPr="000D72C7" w:rsidSect="00343A2E">
      <w:footerReference w:type="default" r:id="rId34"/>
      <w:pgSz w:w="11906" w:h="16838"/>
      <w:pgMar w:top="1134" w:right="851" w:bottom="1531"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89B610" w14:textId="77777777" w:rsidR="00B057DE" w:rsidRDefault="00B057DE" w:rsidP="009853DE">
      <w:pPr>
        <w:spacing w:line="240" w:lineRule="auto"/>
      </w:pPr>
      <w:r>
        <w:separator/>
      </w:r>
    </w:p>
  </w:endnote>
  <w:endnote w:type="continuationSeparator" w:id="0">
    <w:p w14:paraId="50672949" w14:textId="77777777" w:rsidR="00B057DE" w:rsidRDefault="00B057DE" w:rsidP="009853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TT1918o00">
    <w:altName w:val="Cambria"/>
    <w:panose1 w:val="020B0604020202020204"/>
    <w:charset w:val="00"/>
    <w:family w:val="roman"/>
    <w:notTrueType/>
    <w:pitch w:val="default"/>
  </w:font>
  <w:font w:name="TT1976o00">
    <w:altName w:val="Cambria"/>
    <w:panose1 w:val="020B0604020202020204"/>
    <w:charset w:val="00"/>
    <w:family w:val="roman"/>
    <w:notTrueType/>
    <w:pitch w:val="default"/>
  </w:font>
  <w:font w:name="TT1977o00">
    <w:altName w:val="Cambria"/>
    <w:panose1 w:val="020B0604020202020204"/>
    <w:charset w:val="00"/>
    <w:family w:val="roman"/>
    <w:notTrueType/>
    <w:pitch w:val="default"/>
  </w:font>
  <w:font w:name="TT1975o00">
    <w:altName w:val="Cambria"/>
    <w:panose1 w:val="020B0604020202020204"/>
    <w:charset w:val="00"/>
    <w:family w:val="roman"/>
    <w:notTrueType/>
    <w:pitch w:val="default"/>
  </w:font>
  <w:font w:name="TT1979o00">
    <w:altName w:val="Cambria"/>
    <w:panose1 w:val="020B0604020202020204"/>
    <w:charset w:val="00"/>
    <w:family w:val="roman"/>
    <w:notTrueType/>
    <w:pitch w:val="default"/>
  </w:font>
  <w:font w:name="TT197Ao00">
    <w:altName w:val="Cambria"/>
    <w:panose1 w:val="020B0604020202020204"/>
    <w:charset w:val="00"/>
    <w:family w:val="roman"/>
    <w:notTrueType/>
    <w:pitch w:val="default"/>
  </w:font>
  <w:font w:name="TT1978o00">
    <w:altName w:val="Cambria"/>
    <w:panose1 w:val="020B0604020202020204"/>
    <w:charset w:val="00"/>
    <w:family w:val="roman"/>
    <w:notTrueType/>
    <w:pitch w:val="default"/>
  </w:font>
  <w:font w:name="TT191Ao00">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3645282"/>
      <w:docPartObj>
        <w:docPartGallery w:val="Page Numbers (Bottom of Page)"/>
        <w:docPartUnique/>
      </w:docPartObj>
    </w:sdtPr>
    <w:sdtContent>
      <w:p w14:paraId="642A7B97" w14:textId="03C332A8" w:rsidR="00343A2E" w:rsidRDefault="00343A2E">
        <w:pPr>
          <w:pStyle w:val="ac"/>
          <w:jc w:val="right"/>
        </w:pPr>
        <w:r>
          <w:fldChar w:fldCharType="begin"/>
        </w:r>
        <w:r>
          <w:instrText>PAGE   \* MERGEFORMAT</w:instrText>
        </w:r>
        <w:r>
          <w:fldChar w:fldCharType="separate"/>
        </w:r>
        <w:r>
          <w:t>2</w:t>
        </w:r>
        <w:r>
          <w:fldChar w:fldCharType="end"/>
        </w:r>
      </w:p>
    </w:sdtContent>
  </w:sdt>
  <w:p w14:paraId="17B1C394" w14:textId="77777777" w:rsidR="009853DE" w:rsidRDefault="009853DE">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3D36CE" w14:textId="77777777" w:rsidR="00B057DE" w:rsidRDefault="00B057DE" w:rsidP="009853DE">
      <w:pPr>
        <w:spacing w:line="240" w:lineRule="auto"/>
      </w:pPr>
      <w:r>
        <w:separator/>
      </w:r>
    </w:p>
  </w:footnote>
  <w:footnote w:type="continuationSeparator" w:id="0">
    <w:p w14:paraId="3C21A343" w14:textId="77777777" w:rsidR="00B057DE" w:rsidRDefault="00B057DE" w:rsidP="009853D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C4282E"/>
    <w:multiLevelType w:val="hybridMultilevel"/>
    <w:tmpl w:val="73EA3518"/>
    <w:lvl w:ilvl="0" w:tplc="B7AA9498">
      <w:start w:val="1"/>
      <w:numFmt w:val="decimal"/>
      <w:suff w:val="space"/>
      <w:lvlText w:val="%1"/>
      <w:lvlJc w:val="left"/>
      <w:pPr>
        <w:ind w:left="2136" w:hanging="360"/>
      </w:pPr>
      <w:rPr>
        <w:rFonts w:hint="default"/>
      </w:rPr>
    </w:lvl>
    <w:lvl w:ilvl="1" w:tplc="04230019" w:tentative="1">
      <w:start w:val="1"/>
      <w:numFmt w:val="lowerLetter"/>
      <w:lvlText w:val="%2."/>
      <w:lvlJc w:val="left"/>
      <w:pPr>
        <w:ind w:left="2148" w:hanging="360"/>
      </w:pPr>
    </w:lvl>
    <w:lvl w:ilvl="2" w:tplc="0423001B" w:tentative="1">
      <w:start w:val="1"/>
      <w:numFmt w:val="lowerRoman"/>
      <w:lvlText w:val="%3."/>
      <w:lvlJc w:val="right"/>
      <w:pPr>
        <w:ind w:left="2868" w:hanging="180"/>
      </w:pPr>
    </w:lvl>
    <w:lvl w:ilvl="3" w:tplc="0423000F" w:tentative="1">
      <w:start w:val="1"/>
      <w:numFmt w:val="decimal"/>
      <w:lvlText w:val="%4."/>
      <w:lvlJc w:val="left"/>
      <w:pPr>
        <w:ind w:left="3588" w:hanging="360"/>
      </w:pPr>
    </w:lvl>
    <w:lvl w:ilvl="4" w:tplc="04230019" w:tentative="1">
      <w:start w:val="1"/>
      <w:numFmt w:val="lowerLetter"/>
      <w:lvlText w:val="%5."/>
      <w:lvlJc w:val="left"/>
      <w:pPr>
        <w:ind w:left="4308" w:hanging="360"/>
      </w:pPr>
    </w:lvl>
    <w:lvl w:ilvl="5" w:tplc="0423001B" w:tentative="1">
      <w:start w:val="1"/>
      <w:numFmt w:val="lowerRoman"/>
      <w:lvlText w:val="%6."/>
      <w:lvlJc w:val="right"/>
      <w:pPr>
        <w:ind w:left="5028" w:hanging="180"/>
      </w:pPr>
    </w:lvl>
    <w:lvl w:ilvl="6" w:tplc="0423000F" w:tentative="1">
      <w:start w:val="1"/>
      <w:numFmt w:val="decimal"/>
      <w:lvlText w:val="%7."/>
      <w:lvlJc w:val="left"/>
      <w:pPr>
        <w:ind w:left="5748" w:hanging="360"/>
      </w:pPr>
    </w:lvl>
    <w:lvl w:ilvl="7" w:tplc="04230019" w:tentative="1">
      <w:start w:val="1"/>
      <w:numFmt w:val="lowerLetter"/>
      <w:lvlText w:val="%8."/>
      <w:lvlJc w:val="left"/>
      <w:pPr>
        <w:ind w:left="6468" w:hanging="360"/>
      </w:pPr>
    </w:lvl>
    <w:lvl w:ilvl="8" w:tplc="0423001B" w:tentative="1">
      <w:start w:val="1"/>
      <w:numFmt w:val="lowerRoman"/>
      <w:lvlText w:val="%9."/>
      <w:lvlJc w:val="right"/>
      <w:pPr>
        <w:ind w:left="7188" w:hanging="180"/>
      </w:pPr>
    </w:lvl>
  </w:abstractNum>
  <w:abstractNum w:abstractNumId="1" w15:restartNumberingAfterBreak="0">
    <w:nsid w:val="1F512E87"/>
    <w:multiLevelType w:val="hybridMultilevel"/>
    <w:tmpl w:val="69E01AC2"/>
    <w:lvl w:ilvl="0" w:tplc="D78A7EF8">
      <w:start w:val="1"/>
      <w:numFmt w:val="bullet"/>
      <w:lvlText w:val=""/>
      <w:lvlJc w:val="left"/>
      <w:pPr>
        <w:ind w:left="1429" w:hanging="360"/>
      </w:pPr>
      <w:rPr>
        <w:rFonts w:ascii="Symbol" w:hAnsi="Symbol" w:hint="default"/>
      </w:rPr>
    </w:lvl>
    <w:lvl w:ilvl="1" w:tplc="04230003" w:tentative="1">
      <w:start w:val="1"/>
      <w:numFmt w:val="bullet"/>
      <w:lvlText w:val="o"/>
      <w:lvlJc w:val="left"/>
      <w:pPr>
        <w:ind w:left="2149" w:hanging="360"/>
      </w:pPr>
      <w:rPr>
        <w:rFonts w:ascii="Courier New" w:hAnsi="Courier New" w:cs="Courier New" w:hint="default"/>
      </w:rPr>
    </w:lvl>
    <w:lvl w:ilvl="2" w:tplc="04230005" w:tentative="1">
      <w:start w:val="1"/>
      <w:numFmt w:val="bullet"/>
      <w:lvlText w:val=""/>
      <w:lvlJc w:val="left"/>
      <w:pPr>
        <w:ind w:left="2869" w:hanging="360"/>
      </w:pPr>
      <w:rPr>
        <w:rFonts w:ascii="Wingdings" w:hAnsi="Wingdings" w:hint="default"/>
      </w:rPr>
    </w:lvl>
    <w:lvl w:ilvl="3" w:tplc="04230001" w:tentative="1">
      <w:start w:val="1"/>
      <w:numFmt w:val="bullet"/>
      <w:lvlText w:val=""/>
      <w:lvlJc w:val="left"/>
      <w:pPr>
        <w:ind w:left="3589" w:hanging="360"/>
      </w:pPr>
      <w:rPr>
        <w:rFonts w:ascii="Symbol" w:hAnsi="Symbol" w:hint="default"/>
      </w:rPr>
    </w:lvl>
    <w:lvl w:ilvl="4" w:tplc="04230003" w:tentative="1">
      <w:start w:val="1"/>
      <w:numFmt w:val="bullet"/>
      <w:lvlText w:val="o"/>
      <w:lvlJc w:val="left"/>
      <w:pPr>
        <w:ind w:left="4309" w:hanging="360"/>
      </w:pPr>
      <w:rPr>
        <w:rFonts w:ascii="Courier New" w:hAnsi="Courier New" w:cs="Courier New" w:hint="default"/>
      </w:rPr>
    </w:lvl>
    <w:lvl w:ilvl="5" w:tplc="04230005" w:tentative="1">
      <w:start w:val="1"/>
      <w:numFmt w:val="bullet"/>
      <w:lvlText w:val=""/>
      <w:lvlJc w:val="left"/>
      <w:pPr>
        <w:ind w:left="5029" w:hanging="360"/>
      </w:pPr>
      <w:rPr>
        <w:rFonts w:ascii="Wingdings" w:hAnsi="Wingdings" w:hint="default"/>
      </w:rPr>
    </w:lvl>
    <w:lvl w:ilvl="6" w:tplc="04230001" w:tentative="1">
      <w:start w:val="1"/>
      <w:numFmt w:val="bullet"/>
      <w:lvlText w:val=""/>
      <w:lvlJc w:val="left"/>
      <w:pPr>
        <w:ind w:left="5749" w:hanging="360"/>
      </w:pPr>
      <w:rPr>
        <w:rFonts w:ascii="Symbol" w:hAnsi="Symbol" w:hint="default"/>
      </w:rPr>
    </w:lvl>
    <w:lvl w:ilvl="7" w:tplc="04230003" w:tentative="1">
      <w:start w:val="1"/>
      <w:numFmt w:val="bullet"/>
      <w:lvlText w:val="o"/>
      <w:lvlJc w:val="left"/>
      <w:pPr>
        <w:ind w:left="6469" w:hanging="360"/>
      </w:pPr>
      <w:rPr>
        <w:rFonts w:ascii="Courier New" w:hAnsi="Courier New" w:cs="Courier New" w:hint="default"/>
      </w:rPr>
    </w:lvl>
    <w:lvl w:ilvl="8" w:tplc="04230005" w:tentative="1">
      <w:start w:val="1"/>
      <w:numFmt w:val="bullet"/>
      <w:lvlText w:val=""/>
      <w:lvlJc w:val="left"/>
      <w:pPr>
        <w:ind w:left="7189" w:hanging="360"/>
      </w:pPr>
      <w:rPr>
        <w:rFonts w:ascii="Wingdings" w:hAnsi="Wingdings" w:hint="default"/>
      </w:rPr>
    </w:lvl>
  </w:abstractNum>
  <w:abstractNum w:abstractNumId="2" w15:restartNumberingAfterBreak="0">
    <w:nsid w:val="219B6A7B"/>
    <w:multiLevelType w:val="hybridMultilevel"/>
    <w:tmpl w:val="5FC43C02"/>
    <w:lvl w:ilvl="0" w:tplc="DDF2320A">
      <w:start w:val="1"/>
      <w:numFmt w:val="bullet"/>
      <w:suff w:val="space"/>
      <w:lvlText w:val="-"/>
      <w:lvlJc w:val="left"/>
      <w:pPr>
        <w:ind w:left="2136"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3" w15:restartNumberingAfterBreak="0">
    <w:nsid w:val="28841101"/>
    <w:multiLevelType w:val="hybridMultilevel"/>
    <w:tmpl w:val="178CC206"/>
    <w:lvl w:ilvl="0" w:tplc="F0324084">
      <w:start w:val="1"/>
      <w:numFmt w:val="decimal"/>
      <w:suff w:val="space"/>
      <w:lvlText w:val="%1"/>
      <w:lvlJc w:val="left"/>
      <w:pPr>
        <w:ind w:left="1429" w:hanging="720"/>
      </w:pPr>
      <w:rPr>
        <w:rFonts w:hint="default"/>
      </w:rPr>
    </w:lvl>
    <w:lvl w:ilvl="1" w:tplc="04230019" w:tentative="1">
      <w:start w:val="1"/>
      <w:numFmt w:val="lowerLetter"/>
      <w:lvlText w:val="%2."/>
      <w:lvlJc w:val="left"/>
      <w:pPr>
        <w:ind w:left="2149" w:hanging="360"/>
      </w:p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4" w15:restartNumberingAfterBreak="0">
    <w:nsid w:val="32EE12A9"/>
    <w:multiLevelType w:val="hybridMultilevel"/>
    <w:tmpl w:val="CCB6DF52"/>
    <w:lvl w:ilvl="0" w:tplc="5E1247D2">
      <w:start w:val="1"/>
      <w:numFmt w:val="decimal"/>
      <w:suff w:val="space"/>
      <w:lvlText w:val="%1"/>
      <w:lvlJc w:val="left"/>
      <w:pPr>
        <w:ind w:left="1429" w:hanging="360"/>
      </w:pPr>
      <w:rPr>
        <w:rFonts w:hint="default"/>
      </w:rPr>
    </w:lvl>
    <w:lvl w:ilvl="1" w:tplc="3838497E">
      <w:start w:val="1"/>
      <w:numFmt w:val="lowerLetter"/>
      <w:suff w:val="space"/>
      <w:lvlText w:val="%2."/>
      <w:lvlJc w:val="left"/>
      <w:pPr>
        <w:ind w:left="2149" w:hanging="360"/>
      </w:pPr>
      <w:rPr>
        <w:rFonts w:hint="default"/>
      </w:r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5" w15:restartNumberingAfterBreak="0">
    <w:nsid w:val="39633EF2"/>
    <w:multiLevelType w:val="hybridMultilevel"/>
    <w:tmpl w:val="FC7E367C"/>
    <w:lvl w:ilvl="0" w:tplc="B7AA9498">
      <w:start w:val="1"/>
      <w:numFmt w:val="decimal"/>
      <w:suff w:val="space"/>
      <w:lvlText w:val="%1"/>
      <w:lvlJc w:val="left"/>
      <w:pPr>
        <w:ind w:left="1428" w:hanging="360"/>
      </w:pPr>
      <w:rPr>
        <w:rFonts w:hint="default"/>
      </w:rPr>
    </w:lvl>
    <w:lvl w:ilvl="1" w:tplc="04230019" w:tentative="1">
      <w:start w:val="1"/>
      <w:numFmt w:val="lowerLetter"/>
      <w:lvlText w:val="%2."/>
      <w:lvlJc w:val="left"/>
      <w:pPr>
        <w:ind w:left="2148" w:hanging="360"/>
      </w:pPr>
    </w:lvl>
    <w:lvl w:ilvl="2" w:tplc="0423001B" w:tentative="1">
      <w:start w:val="1"/>
      <w:numFmt w:val="lowerRoman"/>
      <w:lvlText w:val="%3."/>
      <w:lvlJc w:val="right"/>
      <w:pPr>
        <w:ind w:left="2868" w:hanging="180"/>
      </w:pPr>
    </w:lvl>
    <w:lvl w:ilvl="3" w:tplc="0423000F" w:tentative="1">
      <w:start w:val="1"/>
      <w:numFmt w:val="decimal"/>
      <w:lvlText w:val="%4."/>
      <w:lvlJc w:val="left"/>
      <w:pPr>
        <w:ind w:left="3588" w:hanging="360"/>
      </w:pPr>
    </w:lvl>
    <w:lvl w:ilvl="4" w:tplc="04230019" w:tentative="1">
      <w:start w:val="1"/>
      <w:numFmt w:val="lowerLetter"/>
      <w:lvlText w:val="%5."/>
      <w:lvlJc w:val="left"/>
      <w:pPr>
        <w:ind w:left="4308" w:hanging="360"/>
      </w:pPr>
    </w:lvl>
    <w:lvl w:ilvl="5" w:tplc="0423001B" w:tentative="1">
      <w:start w:val="1"/>
      <w:numFmt w:val="lowerRoman"/>
      <w:lvlText w:val="%6."/>
      <w:lvlJc w:val="right"/>
      <w:pPr>
        <w:ind w:left="5028" w:hanging="180"/>
      </w:pPr>
    </w:lvl>
    <w:lvl w:ilvl="6" w:tplc="0423000F" w:tentative="1">
      <w:start w:val="1"/>
      <w:numFmt w:val="decimal"/>
      <w:lvlText w:val="%7."/>
      <w:lvlJc w:val="left"/>
      <w:pPr>
        <w:ind w:left="5748" w:hanging="360"/>
      </w:pPr>
    </w:lvl>
    <w:lvl w:ilvl="7" w:tplc="04230019" w:tentative="1">
      <w:start w:val="1"/>
      <w:numFmt w:val="lowerLetter"/>
      <w:lvlText w:val="%8."/>
      <w:lvlJc w:val="left"/>
      <w:pPr>
        <w:ind w:left="6468" w:hanging="360"/>
      </w:pPr>
    </w:lvl>
    <w:lvl w:ilvl="8" w:tplc="0423001B" w:tentative="1">
      <w:start w:val="1"/>
      <w:numFmt w:val="lowerRoman"/>
      <w:lvlText w:val="%9."/>
      <w:lvlJc w:val="right"/>
      <w:pPr>
        <w:ind w:left="7188" w:hanging="180"/>
      </w:pPr>
    </w:lvl>
  </w:abstractNum>
  <w:abstractNum w:abstractNumId="6" w15:restartNumberingAfterBreak="0">
    <w:nsid w:val="499A5709"/>
    <w:multiLevelType w:val="hybridMultilevel"/>
    <w:tmpl w:val="3240494C"/>
    <w:lvl w:ilvl="0" w:tplc="9238F16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7" w15:restartNumberingAfterBreak="0">
    <w:nsid w:val="528E567F"/>
    <w:multiLevelType w:val="hybridMultilevel"/>
    <w:tmpl w:val="C430F8BC"/>
    <w:lvl w:ilvl="0" w:tplc="026EA58E">
      <w:start w:val="1"/>
      <w:numFmt w:val="decimal"/>
      <w:suff w:val="space"/>
      <w:lvlText w:val="[%1]"/>
      <w:lvlJc w:val="left"/>
      <w:pPr>
        <w:ind w:left="1429" w:hanging="360"/>
      </w:pPr>
      <w:rPr>
        <w:rFonts w:hint="default"/>
        <w:color w:val="000000" w:themeColor="text1"/>
        <w:sz w:val="28"/>
        <w:szCs w:val="28"/>
        <w:u w:val="none"/>
      </w:rPr>
    </w:lvl>
    <w:lvl w:ilvl="1" w:tplc="04230019" w:tentative="1">
      <w:start w:val="1"/>
      <w:numFmt w:val="lowerLetter"/>
      <w:lvlText w:val="%2."/>
      <w:lvlJc w:val="left"/>
      <w:pPr>
        <w:ind w:left="2149" w:hanging="360"/>
      </w:p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8" w15:restartNumberingAfterBreak="0">
    <w:nsid w:val="5BEB2153"/>
    <w:multiLevelType w:val="hybridMultilevel"/>
    <w:tmpl w:val="9E6C208A"/>
    <w:lvl w:ilvl="0" w:tplc="E80A4508">
      <w:start w:val="1"/>
      <w:numFmt w:val="bullet"/>
      <w:suff w:val="space"/>
      <w:lvlText w:val="-"/>
      <w:lvlJc w:val="left"/>
      <w:pPr>
        <w:ind w:left="1428" w:hanging="360"/>
      </w:pPr>
      <w:rPr>
        <w:rFonts w:ascii="Times New Roman" w:hAnsi="Times New Roman" w:cs="Times New Roman" w:hint="default"/>
      </w:rPr>
    </w:lvl>
    <w:lvl w:ilvl="1" w:tplc="04230003">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9" w15:restartNumberingAfterBreak="0">
    <w:nsid w:val="5C34087D"/>
    <w:multiLevelType w:val="multilevel"/>
    <w:tmpl w:val="696A6670"/>
    <w:lvl w:ilvl="0">
      <w:start w:val="1"/>
      <w:numFmt w:val="decimal"/>
      <w:pStyle w:val="a"/>
      <w:suff w:val="space"/>
      <w:lvlText w:val="%1"/>
      <w:lvlJc w:val="left"/>
      <w:pPr>
        <w:ind w:left="1429" w:hanging="360"/>
      </w:pPr>
      <w:rPr>
        <w:rFonts w:hint="default"/>
      </w:rPr>
    </w:lvl>
    <w:lvl w:ilvl="1">
      <w:start w:val="1"/>
      <w:numFmt w:val="decimal"/>
      <w:pStyle w:val="a0"/>
      <w:isLgl/>
      <w:suff w:val="space"/>
      <w:lvlText w:val="%1.%2"/>
      <w:lvlJc w:val="left"/>
      <w:pPr>
        <w:ind w:left="709" w:firstLine="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10" w15:restartNumberingAfterBreak="0">
    <w:nsid w:val="6BB24818"/>
    <w:multiLevelType w:val="hybridMultilevel"/>
    <w:tmpl w:val="78220CDE"/>
    <w:lvl w:ilvl="0" w:tplc="8A00C78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11" w15:restartNumberingAfterBreak="0">
    <w:nsid w:val="75185DC1"/>
    <w:multiLevelType w:val="hybridMultilevel"/>
    <w:tmpl w:val="35683856"/>
    <w:lvl w:ilvl="0" w:tplc="DDF2320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num w:numId="1" w16cid:durableId="1615017504">
    <w:abstractNumId w:val="9"/>
  </w:num>
  <w:num w:numId="2" w16cid:durableId="958338698">
    <w:abstractNumId w:val="6"/>
  </w:num>
  <w:num w:numId="3" w16cid:durableId="1017266490">
    <w:abstractNumId w:val="4"/>
  </w:num>
  <w:num w:numId="4" w16cid:durableId="274143616">
    <w:abstractNumId w:val="3"/>
  </w:num>
  <w:num w:numId="5" w16cid:durableId="531116630">
    <w:abstractNumId w:val="9"/>
  </w:num>
  <w:num w:numId="6" w16cid:durableId="1870332678">
    <w:abstractNumId w:val="7"/>
  </w:num>
  <w:num w:numId="7" w16cid:durableId="651367658">
    <w:abstractNumId w:val="1"/>
  </w:num>
  <w:num w:numId="8" w16cid:durableId="218445826">
    <w:abstractNumId w:val="11"/>
  </w:num>
  <w:num w:numId="9" w16cid:durableId="1365522064">
    <w:abstractNumId w:val="2"/>
  </w:num>
  <w:num w:numId="10" w16cid:durableId="893008249">
    <w:abstractNumId w:val="9"/>
  </w:num>
  <w:num w:numId="11" w16cid:durableId="738727">
    <w:abstractNumId w:val="9"/>
  </w:num>
  <w:num w:numId="12" w16cid:durableId="600801191">
    <w:abstractNumId w:val="9"/>
  </w:num>
  <w:num w:numId="13" w16cid:durableId="463281838">
    <w:abstractNumId w:val="9"/>
  </w:num>
  <w:num w:numId="14" w16cid:durableId="522595750">
    <w:abstractNumId w:val="10"/>
  </w:num>
  <w:num w:numId="15" w16cid:durableId="866068469">
    <w:abstractNumId w:val="5"/>
  </w:num>
  <w:num w:numId="16" w16cid:durableId="339354460">
    <w:abstractNumId w:val="0"/>
  </w:num>
  <w:num w:numId="17" w16cid:durableId="1444307893">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08"/>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AF"/>
    <w:rsid w:val="000016A5"/>
    <w:rsid w:val="00001C69"/>
    <w:rsid w:val="00017F41"/>
    <w:rsid w:val="0002001C"/>
    <w:rsid w:val="000279AC"/>
    <w:rsid w:val="000367E6"/>
    <w:rsid w:val="00040615"/>
    <w:rsid w:val="000408A2"/>
    <w:rsid w:val="0004637A"/>
    <w:rsid w:val="00054682"/>
    <w:rsid w:val="000558A5"/>
    <w:rsid w:val="000677BC"/>
    <w:rsid w:val="00067CEA"/>
    <w:rsid w:val="00070B61"/>
    <w:rsid w:val="00071223"/>
    <w:rsid w:val="00073188"/>
    <w:rsid w:val="0007468B"/>
    <w:rsid w:val="000802FF"/>
    <w:rsid w:val="0008694D"/>
    <w:rsid w:val="0009278B"/>
    <w:rsid w:val="00093FCB"/>
    <w:rsid w:val="000940C5"/>
    <w:rsid w:val="0009661F"/>
    <w:rsid w:val="000A4AFE"/>
    <w:rsid w:val="000B4B65"/>
    <w:rsid w:val="000C1475"/>
    <w:rsid w:val="000C389E"/>
    <w:rsid w:val="000C6948"/>
    <w:rsid w:val="000D3F19"/>
    <w:rsid w:val="000D43B8"/>
    <w:rsid w:val="000D5182"/>
    <w:rsid w:val="000D72C7"/>
    <w:rsid w:val="000F5B86"/>
    <w:rsid w:val="00101581"/>
    <w:rsid w:val="00101E49"/>
    <w:rsid w:val="00103F16"/>
    <w:rsid w:val="001243CB"/>
    <w:rsid w:val="001254F4"/>
    <w:rsid w:val="00130151"/>
    <w:rsid w:val="001326E8"/>
    <w:rsid w:val="00135527"/>
    <w:rsid w:val="001364DB"/>
    <w:rsid w:val="00137950"/>
    <w:rsid w:val="001402F5"/>
    <w:rsid w:val="00143DE2"/>
    <w:rsid w:val="00147364"/>
    <w:rsid w:val="0015008D"/>
    <w:rsid w:val="00156122"/>
    <w:rsid w:val="00161BDB"/>
    <w:rsid w:val="001671BF"/>
    <w:rsid w:val="001678FF"/>
    <w:rsid w:val="00180658"/>
    <w:rsid w:val="00186EA5"/>
    <w:rsid w:val="001A6136"/>
    <w:rsid w:val="001B2BD5"/>
    <w:rsid w:val="001D4764"/>
    <w:rsid w:val="001F3840"/>
    <w:rsid w:val="001F4182"/>
    <w:rsid w:val="0020003F"/>
    <w:rsid w:val="00204D8F"/>
    <w:rsid w:val="00215C29"/>
    <w:rsid w:val="002416DB"/>
    <w:rsid w:val="00251F0E"/>
    <w:rsid w:val="00252E4F"/>
    <w:rsid w:val="00252F54"/>
    <w:rsid w:val="0025615E"/>
    <w:rsid w:val="00257DD7"/>
    <w:rsid w:val="002711B6"/>
    <w:rsid w:val="0027151B"/>
    <w:rsid w:val="002724AE"/>
    <w:rsid w:val="00282C6E"/>
    <w:rsid w:val="00287CC0"/>
    <w:rsid w:val="002A0444"/>
    <w:rsid w:val="002A4E7C"/>
    <w:rsid w:val="002A68FC"/>
    <w:rsid w:val="002A7208"/>
    <w:rsid w:val="002B482C"/>
    <w:rsid w:val="002C6508"/>
    <w:rsid w:val="002C68CF"/>
    <w:rsid w:val="002E302C"/>
    <w:rsid w:val="002E601A"/>
    <w:rsid w:val="002F0FB0"/>
    <w:rsid w:val="00317F1D"/>
    <w:rsid w:val="003229DD"/>
    <w:rsid w:val="003316B8"/>
    <w:rsid w:val="00341838"/>
    <w:rsid w:val="00343A2E"/>
    <w:rsid w:val="00347B29"/>
    <w:rsid w:val="003513D8"/>
    <w:rsid w:val="0035396B"/>
    <w:rsid w:val="00355407"/>
    <w:rsid w:val="00362734"/>
    <w:rsid w:val="00362B24"/>
    <w:rsid w:val="003651AB"/>
    <w:rsid w:val="003671E9"/>
    <w:rsid w:val="00370351"/>
    <w:rsid w:val="00384FD5"/>
    <w:rsid w:val="00385603"/>
    <w:rsid w:val="00393F1E"/>
    <w:rsid w:val="00395DE2"/>
    <w:rsid w:val="003A531F"/>
    <w:rsid w:val="003A57F1"/>
    <w:rsid w:val="003B3CA4"/>
    <w:rsid w:val="003B718E"/>
    <w:rsid w:val="003C1D4D"/>
    <w:rsid w:val="003D388D"/>
    <w:rsid w:val="003E10CA"/>
    <w:rsid w:val="003E6E12"/>
    <w:rsid w:val="00402ACA"/>
    <w:rsid w:val="00407721"/>
    <w:rsid w:val="0042612A"/>
    <w:rsid w:val="00441E87"/>
    <w:rsid w:val="004442DF"/>
    <w:rsid w:val="00444DC6"/>
    <w:rsid w:val="00445F62"/>
    <w:rsid w:val="00452F00"/>
    <w:rsid w:val="00456CBA"/>
    <w:rsid w:val="00460122"/>
    <w:rsid w:val="00460690"/>
    <w:rsid w:val="00460DCF"/>
    <w:rsid w:val="00467DFB"/>
    <w:rsid w:val="00472D9E"/>
    <w:rsid w:val="004752EA"/>
    <w:rsid w:val="004802D4"/>
    <w:rsid w:val="004835BA"/>
    <w:rsid w:val="004A3E2C"/>
    <w:rsid w:val="004B29AF"/>
    <w:rsid w:val="004B7786"/>
    <w:rsid w:val="004B7ECC"/>
    <w:rsid w:val="004D6C2E"/>
    <w:rsid w:val="004E1385"/>
    <w:rsid w:val="004E3175"/>
    <w:rsid w:val="004F6FA4"/>
    <w:rsid w:val="00505152"/>
    <w:rsid w:val="00535284"/>
    <w:rsid w:val="00542144"/>
    <w:rsid w:val="00551193"/>
    <w:rsid w:val="00562826"/>
    <w:rsid w:val="005704AB"/>
    <w:rsid w:val="00571977"/>
    <w:rsid w:val="005746F7"/>
    <w:rsid w:val="00577869"/>
    <w:rsid w:val="005850D1"/>
    <w:rsid w:val="00592848"/>
    <w:rsid w:val="005A5DC6"/>
    <w:rsid w:val="005D1A7B"/>
    <w:rsid w:val="005D5400"/>
    <w:rsid w:val="005E29FC"/>
    <w:rsid w:val="00602DBB"/>
    <w:rsid w:val="006058CC"/>
    <w:rsid w:val="00610267"/>
    <w:rsid w:val="006122F7"/>
    <w:rsid w:val="006223E7"/>
    <w:rsid w:val="006240C5"/>
    <w:rsid w:val="00625B89"/>
    <w:rsid w:val="00633ABF"/>
    <w:rsid w:val="006345BB"/>
    <w:rsid w:val="00640961"/>
    <w:rsid w:val="00651C07"/>
    <w:rsid w:val="00653AC9"/>
    <w:rsid w:val="00667780"/>
    <w:rsid w:val="006726E9"/>
    <w:rsid w:val="00676E8B"/>
    <w:rsid w:val="00677780"/>
    <w:rsid w:val="00681BAB"/>
    <w:rsid w:val="00685021"/>
    <w:rsid w:val="006A4EC5"/>
    <w:rsid w:val="006A717B"/>
    <w:rsid w:val="006B016F"/>
    <w:rsid w:val="006C3E7F"/>
    <w:rsid w:val="006C4DD2"/>
    <w:rsid w:val="006C670A"/>
    <w:rsid w:val="006C7465"/>
    <w:rsid w:val="006D2217"/>
    <w:rsid w:val="006E621B"/>
    <w:rsid w:val="006F4E44"/>
    <w:rsid w:val="00700911"/>
    <w:rsid w:val="00701855"/>
    <w:rsid w:val="00705F11"/>
    <w:rsid w:val="0071623E"/>
    <w:rsid w:val="00716AD6"/>
    <w:rsid w:val="0072128D"/>
    <w:rsid w:val="00730C51"/>
    <w:rsid w:val="00736B4E"/>
    <w:rsid w:val="00741450"/>
    <w:rsid w:val="0075210D"/>
    <w:rsid w:val="00755897"/>
    <w:rsid w:val="00760647"/>
    <w:rsid w:val="00770E04"/>
    <w:rsid w:val="007862EF"/>
    <w:rsid w:val="007A4F4D"/>
    <w:rsid w:val="007B1509"/>
    <w:rsid w:val="007B67DE"/>
    <w:rsid w:val="007B69EE"/>
    <w:rsid w:val="007D39BC"/>
    <w:rsid w:val="007D4AC1"/>
    <w:rsid w:val="007D6390"/>
    <w:rsid w:val="007D684F"/>
    <w:rsid w:val="007F203A"/>
    <w:rsid w:val="00813F59"/>
    <w:rsid w:val="00814DB7"/>
    <w:rsid w:val="00815E4A"/>
    <w:rsid w:val="00821F43"/>
    <w:rsid w:val="00845FED"/>
    <w:rsid w:val="008460C5"/>
    <w:rsid w:val="00856B02"/>
    <w:rsid w:val="0086459E"/>
    <w:rsid w:val="00864CCF"/>
    <w:rsid w:val="008755E8"/>
    <w:rsid w:val="0087665A"/>
    <w:rsid w:val="00876E6E"/>
    <w:rsid w:val="008947F8"/>
    <w:rsid w:val="008A7962"/>
    <w:rsid w:val="008B51B2"/>
    <w:rsid w:val="008D4026"/>
    <w:rsid w:val="008D7939"/>
    <w:rsid w:val="008E45E4"/>
    <w:rsid w:val="008E4AEC"/>
    <w:rsid w:val="008E75EA"/>
    <w:rsid w:val="008E7E18"/>
    <w:rsid w:val="008F512A"/>
    <w:rsid w:val="008F73E0"/>
    <w:rsid w:val="008F7FF2"/>
    <w:rsid w:val="0090597D"/>
    <w:rsid w:val="00905B2C"/>
    <w:rsid w:val="009077BD"/>
    <w:rsid w:val="00911C53"/>
    <w:rsid w:val="00911F35"/>
    <w:rsid w:val="009146EA"/>
    <w:rsid w:val="0095086D"/>
    <w:rsid w:val="00953764"/>
    <w:rsid w:val="00955BD4"/>
    <w:rsid w:val="00970967"/>
    <w:rsid w:val="009713CD"/>
    <w:rsid w:val="00980BEC"/>
    <w:rsid w:val="009853DE"/>
    <w:rsid w:val="00987ADB"/>
    <w:rsid w:val="00987B19"/>
    <w:rsid w:val="009A3755"/>
    <w:rsid w:val="009B2994"/>
    <w:rsid w:val="009B4584"/>
    <w:rsid w:val="009C193D"/>
    <w:rsid w:val="009C1DBF"/>
    <w:rsid w:val="009D2EAC"/>
    <w:rsid w:val="009D5E02"/>
    <w:rsid w:val="00A36BCB"/>
    <w:rsid w:val="00A402B9"/>
    <w:rsid w:val="00A433BD"/>
    <w:rsid w:val="00A4392C"/>
    <w:rsid w:val="00A449C6"/>
    <w:rsid w:val="00A55628"/>
    <w:rsid w:val="00A62DF0"/>
    <w:rsid w:val="00A659C7"/>
    <w:rsid w:val="00A70724"/>
    <w:rsid w:val="00A71681"/>
    <w:rsid w:val="00A837F3"/>
    <w:rsid w:val="00A869AB"/>
    <w:rsid w:val="00A973CF"/>
    <w:rsid w:val="00AA72D6"/>
    <w:rsid w:val="00AA76E8"/>
    <w:rsid w:val="00AB20E8"/>
    <w:rsid w:val="00AB4E41"/>
    <w:rsid w:val="00AB68A0"/>
    <w:rsid w:val="00AC0203"/>
    <w:rsid w:val="00AD2608"/>
    <w:rsid w:val="00AD3E8B"/>
    <w:rsid w:val="00B05708"/>
    <w:rsid w:val="00B057DE"/>
    <w:rsid w:val="00B06CCB"/>
    <w:rsid w:val="00B214F8"/>
    <w:rsid w:val="00B22DCB"/>
    <w:rsid w:val="00B235FB"/>
    <w:rsid w:val="00B24AE1"/>
    <w:rsid w:val="00B2541F"/>
    <w:rsid w:val="00B2626D"/>
    <w:rsid w:val="00B328BF"/>
    <w:rsid w:val="00B40E10"/>
    <w:rsid w:val="00B57AF8"/>
    <w:rsid w:val="00B60A9E"/>
    <w:rsid w:val="00B61612"/>
    <w:rsid w:val="00B65BA9"/>
    <w:rsid w:val="00B83760"/>
    <w:rsid w:val="00B8609F"/>
    <w:rsid w:val="00B86885"/>
    <w:rsid w:val="00B90D9F"/>
    <w:rsid w:val="00B94888"/>
    <w:rsid w:val="00BA4814"/>
    <w:rsid w:val="00BA703D"/>
    <w:rsid w:val="00BB4D55"/>
    <w:rsid w:val="00BB5D18"/>
    <w:rsid w:val="00BB7DD7"/>
    <w:rsid w:val="00BC0A64"/>
    <w:rsid w:val="00BC0F56"/>
    <w:rsid w:val="00BC528A"/>
    <w:rsid w:val="00BD20AD"/>
    <w:rsid w:val="00BE5890"/>
    <w:rsid w:val="00BF4BC4"/>
    <w:rsid w:val="00BF6101"/>
    <w:rsid w:val="00C06B45"/>
    <w:rsid w:val="00C11EA9"/>
    <w:rsid w:val="00C16893"/>
    <w:rsid w:val="00C30665"/>
    <w:rsid w:val="00C3390C"/>
    <w:rsid w:val="00C45C7D"/>
    <w:rsid w:val="00C51FD3"/>
    <w:rsid w:val="00C614DD"/>
    <w:rsid w:val="00C65DFE"/>
    <w:rsid w:val="00C80AC2"/>
    <w:rsid w:val="00C8668D"/>
    <w:rsid w:val="00CA18C4"/>
    <w:rsid w:val="00CD1097"/>
    <w:rsid w:val="00CD5E58"/>
    <w:rsid w:val="00CE78A4"/>
    <w:rsid w:val="00CF2170"/>
    <w:rsid w:val="00CF2616"/>
    <w:rsid w:val="00D015F6"/>
    <w:rsid w:val="00D044F8"/>
    <w:rsid w:val="00D07297"/>
    <w:rsid w:val="00D07B47"/>
    <w:rsid w:val="00D24D7B"/>
    <w:rsid w:val="00D36C4A"/>
    <w:rsid w:val="00D478C9"/>
    <w:rsid w:val="00D545AC"/>
    <w:rsid w:val="00D61508"/>
    <w:rsid w:val="00D703F4"/>
    <w:rsid w:val="00D70885"/>
    <w:rsid w:val="00D708EF"/>
    <w:rsid w:val="00D75B58"/>
    <w:rsid w:val="00D75E22"/>
    <w:rsid w:val="00D76A46"/>
    <w:rsid w:val="00D81658"/>
    <w:rsid w:val="00D842A2"/>
    <w:rsid w:val="00D84962"/>
    <w:rsid w:val="00DA24F9"/>
    <w:rsid w:val="00DA2750"/>
    <w:rsid w:val="00DA2BD1"/>
    <w:rsid w:val="00DA3424"/>
    <w:rsid w:val="00DA3665"/>
    <w:rsid w:val="00DD61D7"/>
    <w:rsid w:val="00DE1351"/>
    <w:rsid w:val="00DF6EE9"/>
    <w:rsid w:val="00E06E0D"/>
    <w:rsid w:val="00E1591C"/>
    <w:rsid w:val="00E17977"/>
    <w:rsid w:val="00E22ED3"/>
    <w:rsid w:val="00E2741B"/>
    <w:rsid w:val="00E46A23"/>
    <w:rsid w:val="00E46F78"/>
    <w:rsid w:val="00E5591C"/>
    <w:rsid w:val="00E559A3"/>
    <w:rsid w:val="00E602F3"/>
    <w:rsid w:val="00E827DA"/>
    <w:rsid w:val="00E92E5F"/>
    <w:rsid w:val="00E95A50"/>
    <w:rsid w:val="00EB01C9"/>
    <w:rsid w:val="00EB7D28"/>
    <w:rsid w:val="00ED18AF"/>
    <w:rsid w:val="00ED47DE"/>
    <w:rsid w:val="00EE6CFA"/>
    <w:rsid w:val="00EF1A03"/>
    <w:rsid w:val="00F03017"/>
    <w:rsid w:val="00F03460"/>
    <w:rsid w:val="00F0465F"/>
    <w:rsid w:val="00F15598"/>
    <w:rsid w:val="00F22AA2"/>
    <w:rsid w:val="00F2330B"/>
    <w:rsid w:val="00F23DA1"/>
    <w:rsid w:val="00F27CE6"/>
    <w:rsid w:val="00F37008"/>
    <w:rsid w:val="00F37AA4"/>
    <w:rsid w:val="00F412AF"/>
    <w:rsid w:val="00F43CE8"/>
    <w:rsid w:val="00F51FFF"/>
    <w:rsid w:val="00F52BC7"/>
    <w:rsid w:val="00F63DDD"/>
    <w:rsid w:val="00F97940"/>
    <w:rsid w:val="00FA3BC5"/>
    <w:rsid w:val="00FB2E9C"/>
    <w:rsid w:val="00FC6310"/>
    <w:rsid w:val="00FE3B2D"/>
    <w:rsid w:val="00FE4F6A"/>
    <w:rsid w:val="00FF10BA"/>
  </w:rsids>
  <m:mathPr>
    <m:mathFont m:val="Cambria Math"/>
    <m:brkBin m:val="before"/>
    <m:brkBinSub m:val="--"/>
    <m:smallFrac m:val="0"/>
    <m:dispDef/>
    <m:lMargin m:val="0"/>
    <m:rMargin m:val="0"/>
    <m:defJc m:val="centerGroup"/>
    <m:wrapIndent m:val="1440"/>
    <m:intLim m:val="subSup"/>
    <m:naryLim m:val="undOvr"/>
  </m:mathPr>
  <w:themeFontLang w:val="be-B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E4BB82"/>
  <w15:chartTrackingRefBased/>
  <w15:docId w15:val="{FEF3F744-6D3D-4BC7-BA52-849D22692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be-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rsid w:val="00505152"/>
    <w:pPr>
      <w:spacing w:after="0"/>
    </w:pPr>
    <w:rPr>
      <w:rFonts w:ascii="Times New Roman" w:hAnsi="Times New Roman"/>
      <w:sz w:val="28"/>
      <w:lang w:val="ru-RU"/>
    </w:rPr>
  </w:style>
  <w:style w:type="paragraph" w:styleId="1">
    <w:name w:val="heading 1"/>
    <w:basedOn w:val="a1"/>
    <w:next w:val="a1"/>
    <w:link w:val="10"/>
    <w:uiPriority w:val="9"/>
    <w:qFormat/>
    <w:rsid w:val="00CE78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1"/>
    <w:next w:val="a1"/>
    <w:link w:val="20"/>
    <w:uiPriority w:val="9"/>
    <w:semiHidden/>
    <w:unhideWhenUsed/>
    <w:qFormat/>
    <w:rsid w:val="00D044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4">
    <w:name w:val="heading 4"/>
    <w:basedOn w:val="a1"/>
    <w:next w:val="a1"/>
    <w:link w:val="40"/>
    <w:uiPriority w:val="9"/>
    <w:semiHidden/>
    <w:unhideWhenUsed/>
    <w:qFormat/>
    <w:rsid w:val="00D044F8"/>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1"/>
    <w:next w:val="a1"/>
    <w:link w:val="50"/>
    <w:uiPriority w:val="9"/>
    <w:semiHidden/>
    <w:unhideWhenUsed/>
    <w:qFormat/>
    <w:rsid w:val="00D044F8"/>
    <w:pPr>
      <w:keepNext/>
      <w:keepLines/>
      <w:spacing w:before="40"/>
      <w:outlineLvl w:val="4"/>
    </w:pPr>
    <w:rPr>
      <w:rFonts w:asciiTheme="majorHAnsi" w:eastAsiaTheme="majorEastAsia" w:hAnsiTheme="majorHAnsi" w:cstheme="majorBidi"/>
      <w:color w:val="2F5496" w:themeColor="accent1" w:themeShade="BF"/>
    </w:rPr>
  </w:style>
  <w:style w:type="paragraph" w:styleId="6">
    <w:name w:val="heading 6"/>
    <w:basedOn w:val="a1"/>
    <w:next w:val="a1"/>
    <w:link w:val="60"/>
    <w:uiPriority w:val="9"/>
    <w:semiHidden/>
    <w:unhideWhenUsed/>
    <w:qFormat/>
    <w:rsid w:val="00D044F8"/>
    <w:pPr>
      <w:keepNext/>
      <w:keepLines/>
      <w:spacing w:before="40"/>
      <w:outlineLvl w:val="5"/>
    </w:pPr>
    <w:rPr>
      <w:rFonts w:asciiTheme="majorHAnsi" w:eastAsiaTheme="majorEastAsia" w:hAnsiTheme="majorHAnsi" w:cstheme="majorBidi"/>
      <w:color w:val="1F3763" w:themeColor="accent1" w:themeShade="7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Заголовок без нумерации"/>
    <w:basedOn w:val="1"/>
    <w:link w:val="a6"/>
    <w:qFormat/>
    <w:rsid w:val="00CE78A4"/>
    <w:pPr>
      <w:spacing w:after="320" w:line="240" w:lineRule="auto"/>
      <w:ind w:right="-2"/>
      <w:jc w:val="center"/>
    </w:pPr>
    <w:rPr>
      <w:rFonts w:ascii="Times New Roman" w:eastAsia="Times New Roman" w:hAnsi="Times New Roman" w:cs="Times New Roman"/>
      <w:b/>
      <w:bCs/>
      <w:caps/>
      <w:color w:val="000000"/>
      <w:sz w:val="28"/>
      <w:szCs w:val="28"/>
      <w:lang w:eastAsia="be-BY"/>
    </w:rPr>
  </w:style>
  <w:style w:type="paragraph" w:customStyle="1" w:styleId="a7">
    <w:name w:val="Осн текст"/>
    <w:basedOn w:val="a1"/>
    <w:link w:val="a8"/>
    <w:qFormat/>
    <w:rsid w:val="00955BD4"/>
    <w:pPr>
      <w:spacing w:line="240" w:lineRule="auto"/>
      <w:ind w:right="-2" w:firstLine="708"/>
      <w:jc w:val="both"/>
    </w:pPr>
    <w:rPr>
      <w:rFonts w:eastAsia="Times New Roman" w:cs="Times New Roman"/>
      <w:color w:val="000000"/>
      <w:szCs w:val="28"/>
      <w:lang w:val="en-US" w:eastAsia="be-BY"/>
    </w:rPr>
  </w:style>
  <w:style w:type="character" w:customStyle="1" w:styleId="a6">
    <w:name w:val="Заголовок без нумерации Знак"/>
    <w:basedOn w:val="a2"/>
    <w:link w:val="a5"/>
    <w:rsid w:val="00A449C6"/>
    <w:rPr>
      <w:rFonts w:ascii="Times New Roman" w:eastAsia="Times New Roman" w:hAnsi="Times New Roman" w:cs="Times New Roman"/>
      <w:b/>
      <w:bCs/>
      <w:caps/>
      <w:color w:val="000000"/>
      <w:sz w:val="28"/>
      <w:szCs w:val="28"/>
      <w:lang w:val="ru-RU" w:eastAsia="be-BY"/>
    </w:rPr>
  </w:style>
  <w:style w:type="paragraph" w:customStyle="1" w:styleId="a">
    <w:name w:val="заголовок номерной"/>
    <w:basedOn w:val="1"/>
    <w:next w:val="a7"/>
    <w:link w:val="a9"/>
    <w:autoRedefine/>
    <w:qFormat/>
    <w:rsid w:val="00856B02"/>
    <w:pPr>
      <w:numPr>
        <w:numId w:val="1"/>
      </w:numPr>
      <w:spacing w:before="320" w:after="320" w:line="240" w:lineRule="auto"/>
    </w:pPr>
    <w:rPr>
      <w:rFonts w:ascii="Times New Roman" w:eastAsia="Times New Roman" w:hAnsi="Times New Roman" w:cs="Times New Roman"/>
      <w:b/>
      <w:caps/>
      <w:color w:val="000000"/>
      <w:sz w:val="28"/>
      <w:szCs w:val="28"/>
      <w:lang w:eastAsia="be-BY"/>
    </w:rPr>
  </w:style>
  <w:style w:type="character" w:customStyle="1" w:styleId="a8">
    <w:name w:val="Осн текст Знак"/>
    <w:basedOn w:val="a2"/>
    <w:link w:val="a7"/>
    <w:rsid w:val="00955BD4"/>
    <w:rPr>
      <w:rFonts w:ascii="Times New Roman" w:eastAsia="Times New Roman" w:hAnsi="Times New Roman" w:cs="Times New Roman"/>
      <w:color w:val="000000"/>
      <w:sz w:val="28"/>
      <w:szCs w:val="28"/>
      <w:lang w:val="en-US" w:eastAsia="be-BY"/>
    </w:rPr>
  </w:style>
  <w:style w:type="paragraph" w:styleId="aa">
    <w:name w:val="header"/>
    <w:basedOn w:val="a1"/>
    <w:link w:val="ab"/>
    <w:uiPriority w:val="99"/>
    <w:unhideWhenUsed/>
    <w:rsid w:val="009853DE"/>
    <w:pPr>
      <w:tabs>
        <w:tab w:val="center" w:pos="4677"/>
        <w:tab w:val="right" w:pos="9355"/>
      </w:tabs>
      <w:spacing w:line="240" w:lineRule="auto"/>
    </w:pPr>
  </w:style>
  <w:style w:type="character" w:customStyle="1" w:styleId="a9">
    <w:name w:val="заголовок номерной Знак"/>
    <w:basedOn w:val="a2"/>
    <w:link w:val="a"/>
    <w:rsid w:val="00856B02"/>
    <w:rPr>
      <w:rFonts w:ascii="Times New Roman" w:eastAsia="Times New Roman" w:hAnsi="Times New Roman" w:cs="Times New Roman"/>
      <w:b/>
      <w:caps/>
      <w:color w:val="000000"/>
      <w:sz w:val="28"/>
      <w:szCs w:val="28"/>
      <w:lang w:val="ru-RU" w:eastAsia="be-BY"/>
    </w:rPr>
  </w:style>
  <w:style w:type="character" w:customStyle="1" w:styleId="ab">
    <w:name w:val="Верхний колонтитул Знак"/>
    <w:basedOn w:val="a2"/>
    <w:link w:val="aa"/>
    <w:uiPriority w:val="99"/>
    <w:rsid w:val="009853DE"/>
    <w:rPr>
      <w:rFonts w:ascii="Times New Roman" w:hAnsi="Times New Roman"/>
      <w:sz w:val="28"/>
      <w:lang w:val="ru-RU"/>
    </w:rPr>
  </w:style>
  <w:style w:type="paragraph" w:styleId="ac">
    <w:name w:val="footer"/>
    <w:basedOn w:val="a1"/>
    <w:link w:val="ad"/>
    <w:uiPriority w:val="99"/>
    <w:unhideWhenUsed/>
    <w:rsid w:val="009853DE"/>
    <w:pPr>
      <w:tabs>
        <w:tab w:val="center" w:pos="4677"/>
        <w:tab w:val="right" w:pos="9355"/>
      </w:tabs>
      <w:spacing w:line="240" w:lineRule="auto"/>
    </w:pPr>
  </w:style>
  <w:style w:type="character" w:customStyle="1" w:styleId="ad">
    <w:name w:val="Нижний колонтитул Знак"/>
    <w:basedOn w:val="a2"/>
    <w:link w:val="ac"/>
    <w:uiPriority w:val="99"/>
    <w:rsid w:val="009853DE"/>
    <w:rPr>
      <w:rFonts w:ascii="Times New Roman" w:hAnsi="Times New Roman"/>
      <w:sz w:val="28"/>
      <w:lang w:val="ru-RU"/>
    </w:rPr>
  </w:style>
  <w:style w:type="character" w:customStyle="1" w:styleId="10">
    <w:name w:val="Заголовок 1 Знак"/>
    <w:basedOn w:val="a2"/>
    <w:link w:val="1"/>
    <w:uiPriority w:val="9"/>
    <w:rsid w:val="00CE78A4"/>
    <w:rPr>
      <w:rFonts w:asciiTheme="majorHAnsi" w:eastAsiaTheme="majorEastAsia" w:hAnsiTheme="majorHAnsi" w:cstheme="majorBidi"/>
      <w:color w:val="2F5496" w:themeColor="accent1" w:themeShade="BF"/>
      <w:sz w:val="32"/>
      <w:szCs w:val="32"/>
      <w:lang w:val="ru-RU"/>
    </w:rPr>
  </w:style>
  <w:style w:type="paragraph" w:styleId="11">
    <w:name w:val="toc 1"/>
    <w:basedOn w:val="a1"/>
    <w:next w:val="a1"/>
    <w:autoRedefine/>
    <w:uiPriority w:val="39"/>
    <w:unhideWhenUsed/>
    <w:rsid w:val="00CE78A4"/>
    <w:pPr>
      <w:spacing w:after="100"/>
    </w:pPr>
  </w:style>
  <w:style w:type="paragraph" w:styleId="ae">
    <w:name w:val="TOC Heading"/>
    <w:basedOn w:val="1"/>
    <w:next w:val="a1"/>
    <w:uiPriority w:val="39"/>
    <w:unhideWhenUsed/>
    <w:qFormat/>
    <w:rsid w:val="00CE78A4"/>
    <w:pPr>
      <w:outlineLvl w:val="9"/>
    </w:pPr>
    <w:rPr>
      <w:lang w:val="be-BY" w:eastAsia="be-BY"/>
    </w:rPr>
  </w:style>
  <w:style w:type="character" w:styleId="af">
    <w:name w:val="Hyperlink"/>
    <w:basedOn w:val="a2"/>
    <w:uiPriority w:val="99"/>
    <w:unhideWhenUsed/>
    <w:rsid w:val="00CE78A4"/>
    <w:rPr>
      <w:color w:val="0563C1" w:themeColor="hyperlink"/>
      <w:u w:val="single"/>
    </w:rPr>
  </w:style>
  <w:style w:type="paragraph" w:styleId="af0">
    <w:name w:val="Title"/>
    <w:basedOn w:val="a1"/>
    <w:next w:val="a1"/>
    <w:link w:val="af1"/>
    <w:uiPriority w:val="10"/>
    <w:qFormat/>
    <w:rsid w:val="00CE78A4"/>
    <w:pPr>
      <w:spacing w:line="240" w:lineRule="auto"/>
      <w:contextualSpacing/>
    </w:pPr>
    <w:rPr>
      <w:rFonts w:asciiTheme="majorHAnsi" w:eastAsiaTheme="majorEastAsia" w:hAnsiTheme="majorHAnsi" w:cstheme="majorBidi"/>
      <w:spacing w:val="-10"/>
      <w:kern w:val="28"/>
      <w:sz w:val="56"/>
      <w:szCs w:val="56"/>
    </w:rPr>
  </w:style>
  <w:style w:type="character" w:customStyle="1" w:styleId="af1">
    <w:name w:val="Заголовок Знак"/>
    <w:basedOn w:val="a2"/>
    <w:link w:val="af0"/>
    <w:uiPriority w:val="10"/>
    <w:rsid w:val="00CE78A4"/>
    <w:rPr>
      <w:rFonts w:asciiTheme="majorHAnsi" w:eastAsiaTheme="majorEastAsia" w:hAnsiTheme="majorHAnsi" w:cstheme="majorBidi"/>
      <w:spacing w:val="-10"/>
      <w:kern w:val="28"/>
      <w:sz w:val="56"/>
      <w:szCs w:val="56"/>
      <w:lang w:val="ru-RU"/>
    </w:rPr>
  </w:style>
  <w:style w:type="character" w:customStyle="1" w:styleId="20">
    <w:name w:val="Заголовок 2 Знак"/>
    <w:basedOn w:val="a2"/>
    <w:link w:val="2"/>
    <w:uiPriority w:val="9"/>
    <w:semiHidden/>
    <w:rsid w:val="00D044F8"/>
    <w:rPr>
      <w:rFonts w:asciiTheme="majorHAnsi" w:eastAsiaTheme="majorEastAsia" w:hAnsiTheme="majorHAnsi" w:cstheme="majorBidi"/>
      <w:color w:val="2F5496" w:themeColor="accent1" w:themeShade="BF"/>
      <w:sz w:val="26"/>
      <w:szCs w:val="26"/>
      <w:lang w:val="ru-RU"/>
    </w:rPr>
  </w:style>
  <w:style w:type="character" w:customStyle="1" w:styleId="40">
    <w:name w:val="Заголовок 4 Знак"/>
    <w:basedOn w:val="a2"/>
    <w:link w:val="4"/>
    <w:uiPriority w:val="9"/>
    <w:semiHidden/>
    <w:rsid w:val="00D044F8"/>
    <w:rPr>
      <w:rFonts w:asciiTheme="majorHAnsi" w:eastAsiaTheme="majorEastAsia" w:hAnsiTheme="majorHAnsi" w:cstheme="majorBidi"/>
      <w:i/>
      <w:iCs/>
      <w:color w:val="2F5496" w:themeColor="accent1" w:themeShade="BF"/>
      <w:sz w:val="28"/>
      <w:lang w:val="ru-RU"/>
    </w:rPr>
  </w:style>
  <w:style w:type="character" w:customStyle="1" w:styleId="50">
    <w:name w:val="Заголовок 5 Знак"/>
    <w:basedOn w:val="a2"/>
    <w:link w:val="5"/>
    <w:uiPriority w:val="9"/>
    <w:semiHidden/>
    <w:rsid w:val="00D044F8"/>
    <w:rPr>
      <w:rFonts w:asciiTheme="majorHAnsi" w:eastAsiaTheme="majorEastAsia" w:hAnsiTheme="majorHAnsi" w:cstheme="majorBidi"/>
      <w:color w:val="2F5496" w:themeColor="accent1" w:themeShade="BF"/>
      <w:sz w:val="28"/>
      <w:lang w:val="ru-RU"/>
    </w:rPr>
  </w:style>
  <w:style w:type="character" w:customStyle="1" w:styleId="60">
    <w:name w:val="Заголовок 6 Знак"/>
    <w:basedOn w:val="a2"/>
    <w:link w:val="6"/>
    <w:uiPriority w:val="9"/>
    <w:semiHidden/>
    <w:rsid w:val="00D044F8"/>
    <w:rPr>
      <w:rFonts w:asciiTheme="majorHAnsi" w:eastAsiaTheme="majorEastAsia" w:hAnsiTheme="majorHAnsi" w:cstheme="majorBidi"/>
      <w:color w:val="1F3763" w:themeColor="accent1" w:themeShade="7F"/>
      <w:sz w:val="28"/>
      <w:lang w:val="ru-RU"/>
    </w:rPr>
  </w:style>
  <w:style w:type="paragraph" w:customStyle="1" w:styleId="a0">
    <w:name w:val="подзаголовок"/>
    <w:basedOn w:val="2"/>
    <w:next w:val="a7"/>
    <w:link w:val="af2"/>
    <w:autoRedefine/>
    <w:qFormat/>
    <w:rsid w:val="005746F7"/>
    <w:pPr>
      <w:numPr>
        <w:ilvl w:val="1"/>
        <w:numId w:val="1"/>
      </w:numPr>
      <w:spacing w:before="320" w:after="320" w:line="240" w:lineRule="auto"/>
    </w:pPr>
    <w:rPr>
      <w:rFonts w:ascii="Times New Roman" w:hAnsi="Times New Roman"/>
      <w:b/>
      <w:color w:val="000000" w:themeColor="text1"/>
      <w:sz w:val="28"/>
    </w:rPr>
  </w:style>
  <w:style w:type="character" w:customStyle="1" w:styleId="af2">
    <w:name w:val="подзаголовок Знак"/>
    <w:basedOn w:val="20"/>
    <w:link w:val="a0"/>
    <w:rsid w:val="005746F7"/>
    <w:rPr>
      <w:rFonts w:ascii="Times New Roman" w:eastAsiaTheme="majorEastAsia" w:hAnsi="Times New Roman" w:cstheme="majorBidi"/>
      <w:b/>
      <w:color w:val="000000" w:themeColor="text1"/>
      <w:sz w:val="28"/>
      <w:szCs w:val="26"/>
      <w:lang w:val="ru-RU"/>
    </w:rPr>
  </w:style>
  <w:style w:type="paragraph" w:styleId="21">
    <w:name w:val="toc 2"/>
    <w:basedOn w:val="a1"/>
    <w:next w:val="a1"/>
    <w:autoRedefine/>
    <w:uiPriority w:val="39"/>
    <w:unhideWhenUsed/>
    <w:rsid w:val="00813F59"/>
    <w:pPr>
      <w:spacing w:after="100"/>
      <w:ind w:left="280"/>
    </w:pPr>
  </w:style>
  <w:style w:type="character" w:styleId="af3">
    <w:name w:val="Placeholder Text"/>
    <w:basedOn w:val="a2"/>
    <w:uiPriority w:val="99"/>
    <w:semiHidden/>
    <w:rsid w:val="004B29AF"/>
    <w:rPr>
      <w:color w:val="808080"/>
    </w:rPr>
  </w:style>
  <w:style w:type="character" w:customStyle="1" w:styleId="fontstyle01">
    <w:name w:val="fontstyle01"/>
    <w:basedOn w:val="a2"/>
    <w:rsid w:val="00B235FB"/>
    <w:rPr>
      <w:rFonts w:ascii="TT1918o00" w:hAnsi="TT1918o00" w:hint="default"/>
      <w:b w:val="0"/>
      <w:bCs w:val="0"/>
      <w:i w:val="0"/>
      <w:iCs w:val="0"/>
      <w:color w:val="000000"/>
      <w:sz w:val="22"/>
      <w:szCs w:val="22"/>
    </w:rPr>
  </w:style>
  <w:style w:type="character" w:customStyle="1" w:styleId="fontstyle21">
    <w:name w:val="fontstyle21"/>
    <w:basedOn w:val="a2"/>
    <w:rsid w:val="00B235FB"/>
    <w:rPr>
      <w:rFonts w:ascii="TT1976o00" w:hAnsi="TT1976o00" w:hint="default"/>
      <w:b w:val="0"/>
      <w:bCs w:val="0"/>
      <w:i w:val="0"/>
      <w:iCs w:val="0"/>
      <w:color w:val="000000"/>
      <w:sz w:val="22"/>
      <w:szCs w:val="22"/>
    </w:rPr>
  </w:style>
  <w:style w:type="character" w:customStyle="1" w:styleId="fontstyle31">
    <w:name w:val="fontstyle31"/>
    <w:basedOn w:val="a2"/>
    <w:rsid w:val="00B235FB"/>
    <w:rPr>
      <w:rFonts w:ascii="TT1977o00" w:hAnsi="TT1977o00" w:hint="default"/>
      <w:b w:val="0"/>
      <w:bCs w:val="0"/>
      <w:i w:val="0"/>
      <w:iCs w:val="0"/>
      <w:color w:val="000000"/>
      <w:sz w:val="22"/>
      <w:szCs w:val="22"/>
    </w:rPr>
  </w:style>
  <w:style w:type="character" w:customStyle="1" w:styleId="fontstyle41">
    <w:name w:val="fontstyle41"/>
    <w:basedOn w:val="a2"/>
    <w:rsid w:val="00B235FB"/>
    <w:rPr>
      <w:rFonts w:ascii="TT1975o00" w:hAnsi="TT1975o00" w:hint="default"/>
      <w:b w:val="0"/>
      <w:bCs w:val="0"/>
      <w:i w:val="0"/>
      <w:iCs w:val="0"/>
      <w:color w:val="000000"/>
      <w:sz w:val="14"/>
      <w:szCs w:val="14"/>
    </w:rPr>
  </w:style>
  <w:style w:type="character" w:customStyle="1" w:styleId="fontstyle51">
    <w:name w:val="fontstyle51"/>
    <w:basedOn w:val="a2"/>
    <w:rsid w:val="00B235FB"/>
    <w:rPr>
      <w:rFonts w:ascii="TT1979o00" w:hAnsi="TT1979o00" w:hint="default"/>
      <w:b w:val="0"/>
      <w:bCs w:val="0"/>
      <w:i w:val="0"/>
      <w:iCs w:val="0"/>
      <w:color w:val="000000"/>
      <w:sz w:val="22"/>
      <w:szCs w:val="22"/>
    </w:rPr>
  </w:style>
  <w:style w:type="character" w:customStyle="1" w:styleId="fontstyle61">
    <w:name w:val="fontstyle61"/>
    <w:basedOn w:val="a2"/>
    <w:rsid w:val="00B235FB"/>
    <w:rPr>
      <w:rFonts w:ascii="TT197Ao00" w:hAnsi="TT197Ao00" w:hint="default"/>
      <w:b w:val="0"/>
      <w:bCs w:val="0"/>
      <w:i w:val="0"/>
      <w:iCs w:val="0"/>
      <w:color w:val="000000"/>
      <w:sz w:val="22"/>
      <w:szCs w:val="22"/>
    </w:rPr>
  </w:style>
  <w:style w:type="character" w:customStyle="1" w:styleId="fontstyle71">
    <w:name w:val="fontstyle71"/>
    <w:basedOn w:val="a2"/>
    <w:rsid w:val="00B235FB"/>
    <w:rPr>
      <w:rFonts w:ascii="TT1978o00" w:hAnsi="TT1978o00" w:hint="default"/>
      <w:b w:val="0"/>
      <w:bCs w:val="0"/>
      <w:i w:val="0"/>
      <w:iCs w:val="0"/>
      <w:color w:val="000000"/>
      <w:sz w:val="14"/>
      <w:szCs w:val="14"/>
    </w:rPr>
  </w:style>
  <w:style w:type="character" w:customStyle="1" w:styleId="fontstyle81">
    <w:name w:val="fontstyle81"/>
    <w:basedOn w:val="a2"/>
    <w:rsid w:val="00B235FB"/>
    <w:rPr>
      <w:rFonts w:ascii="TT191Ao00" w:hAnsi="TT191Ao00" w:hint="default"/>
      <w:b w:val="0"/>
      <w:bCs w:val="0"/>
      <w:i w:val="0"/>
      <w:iCs w:val="0"/>
      <w:color w:val="000000"/>
      <w:sz w:val="22"/>
      <w:szCs w:val="22"/>
    </w:rPr>
  </w:style>
  <w:style w:type="paragraph" w:customStyle="1" w:styleId="PlainText">
    <w:name w:val="PlainText"/>
    <w:basedOn w:val="af4"/>
    <w:link w:val="PlainText0"/>
    <w:qFormat/>
    <w:rsid w:val="00071223"/>
    <w:pPr>
      <w:spacing w:after="320" w:line="240" w:lineRule="auto"/>
      <w:ind w:left="0" w:firstLine="709"/>
      <w:jc w:val="both"/>
    </w:pPr>
    <w:rPr>
      <w:rFonts w:cs="Times New Roman"/>
      <w:color w:val="000000" w:themeColor="text1"/>
      <w:szCs w:val="28"/>
    </w:rPr>
  </w:style>
  <w:style w:type="character" w:customStyle="1" w:styleId="PlainText0">
    <w:name w:val="PlainText Знак"/>
    <w:basedOn w:val="a2"/>
    <w:link w:val="PlainText"/>
    <w:rsid w:val="00071223"/>
    <w:rPr>
      <w:rFonts w:ascii="Times New Roman" w:hAnsi="Times New Roman" w:cs="Times New Roman"/>
      <w:color w:val="000000" w:themeColor="text1"/>
      <w:sz w:val="28"/>
      <w:szCs w:val="28"/>
      <w:lang w:val="ru-RU"/>
    </w:rPr>
  </w:style>
  <w:style w:type="paragraph" w:styleId="af4">
    <w:name w:val="List Paragraph"/>
    <w:basedOn w:val="a1"/>
    <w:uiPriority w:val="34"/>
    <w:qFormat/>
    <w:rsid w:val="00071223"/>
    <w:pPr>
      <w:ind w:left="720"/>
      <w:contextualSpacing/>
    </w:pPr>
  </w:style>
  <w:style w:type="character" w:styleId="af5">
    <w:name w:val="annotation reference"/>
    <w:basedOn w:val="a2"/>
    <w:uiPriority w:val="99"/>
    <w:semiHidden/>
    <w:unhideWhenUsed/>
    <w:rsid w:val="00F2330B"/>
    <w:rPr>
      <w:sz w:val="16"/>
      <w:szCs w:val="16"/>
    </w:rPr>
  </w:style>
  <w:style w:type="paragraph" w:styleId="af6">
    <w:name w:val="annotation text"/>
    <w:basedOn w:val="a1"/>
    <w:link w:val="af7"/>
    <w:uiPriority w:val="99"/>
    <w:semiHidden/>
    <w:unhideWhenUsed/>
    <w:rsid w:val="00F2330B"/>
    <w:pPr>
      <w:spacing w:line="240" w:lineRule="auto"/>
    </w:pPr>
    <w:rPr>
      <w:sz w:val="20"/>
      <w:szCs w:val="20"/>
    </w:rPr>
  </w:style>
  <w:style w:type="character" w:customStyle="1" w:styleId="af7">
    <w:name w:val="Текст примечания Знак"/>
    <w:basedOn w:val="a2"/>
    <w:link w:val="af6"/>
    <w:uiPriority w:val="99"/>
    <w:semiHidden/>
    <w:rsid w:val="00F2330B"/>
    <w:rPr>
      <w:rFonts w:ascii="Times New Roman" w:hAnsi="Times New Roman"/>
      <w:sz w:val="20"/>
      <w:szCs w:val="20"/>
      <w:lang w:val="ru-RU"/>
    </w:rPr>
  </w:style>
  <w:style w:type="paragraph" w:styleId="af8">
    <w:name w:val="annotation subject"/>
    <w:basedOn w:val="af6"/>
    <w:next w:val="af6"/>
    <w:link w:val="af9"/>
    <w:uiPriority w:val="99"/>
    <w:semiHidden/>
    <w:unhideWhenUsed/>
    <w:rsid w:val="00F2330B"/>
    <w:rPr>
      <w:b/>
      <w:bCs/>
    </w:rPr>
  </w:style>
  <w:style w:type="character" w:customStyle="1" w:styleId="af9">
    <w:name w:val="Тема примечания Знак"/>
    <w:basedOn w:val="af7"/>
    <w:link w:val="af8"/>
    <w:uiPriority w:val="99"/>
    <w:semiHidden/>
    <w:rsid w:val="00F2330B"/>
    <w:rPr>
      <w:rFonts w:ascii="Times New Roman" w:hAnsi="Times New Roman"/>
      <w:b/>
      <w:bCs/>
      <w:sz w:val="20"/>
      <w:szCs w:val="20"/>
      <w:lang w:val="ru-RU"/>
    </w:rPr>
  </w:style>
  <w:style w:type="table" w:styleId="afa">
    <w:name w:val="Table Grid"/>
    <w:basedOn w:val="a3"/>
    <w:uiPriority w:val="39"/>
    <w:rsid w:val="00C51F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name w:val="Обычный (ГОСТ)"/>
    <w:basedOn w:val="afc"/>
    <w:link w:val="afd"/>
    <w:qFormat/>
    <w:rsid w:val="00D07B47"/>
    <w:pPr>
      <w:spacing w:line="240" w:lineRule="auto"/>
      <w:ind w:left="0" w:firstLine="709"/>
      <w:jc w:val="both"/>
    </w:pPr>
    <w:rPr>
      <w:rFonts w:eastAsia="Times New Roman" w:cs="Times New Roman"/>
      <w:szCs w:val="28"/>
      <w:lang w:eastAsia="ru-RU"/>
    </w:rPr>
  </w:style>
  <w:style w:type="character" w:customStyle="1" w:styleId="afd">
    <w:name w:val="Обычный (ГОСТ) Знак"/>
    <w:basedOn w:val="a2"/>
    <w:link w:val="afb"/>
    <w:rsid w:val="00D07B47"/>
    <w:rPr>
      <w:rFonts w:ascii="Times New Roman" w:eastAsia="Times New Roman" w:hAnsi="Times New Roman" w:cs="Times New Roman"/>
      <w:sz w:val="28"/>
      <w:szCs w:val="28"/>
      <w:lang w:val="ru-RU" w:eastAsia="ru-RU"/>
    </w:rPr>
  </w:style>
  <w:style w:type="paragraph" w:styleId="afc">
    <w:name w:val="Normal Indent"/>
    <w:basedOn w:val="a1"/>
    <w:uiPriority w:val="99"/>
    <w:semiHidden/>
    <w:unhideWhenUsed/>
    <w:rsid w:val="00D07B47"/>
    <w:pPr>
      <w:ind w:left="708"/>
    </w:pPr>
  </w:style>
  <w:style w:type="paragraph" w:styleId="afe">
    <w:name w:val="Body Text"/>
    <w:basedOn w:val="a1"/>
    <w:link w:val="aff"/>
    <w:rsid w:val="009713CD"/>
    <w:pPr>
      <w:widowControl w:val="0"/>
      <w:overflowPunct w:val="0"/>
      <w:autoSpaceDE w:val="0"/>
      <w:autoSpaceDN w:val="0"/>
      <w:adjustRightInd w:val="0"/>
      <w:spacing w:line="260" w:lineRule="exact"/>
      <w:ind w:firstLine="567"/>
      <w:jc w:val="both"/>
      <w:textAlignment w:val="baseline"/>
    </w:pPr>
    <w:rPr>
      <w:rFonts w:eastAsia="Times New Roman" w:cs="Times New Roman"/>
      <w:sz w:val="22"/>
      <w:szCs w:val="20"/>
      <w:lang w:eastAsia="ru-RU"/>
    </w:rPr>
  </w:style>
  <w:style w:type="character" w:customStyle="1" w:styleId="aff">
    <w:name w:val="Основной текст Знак"/>
    <w:basedOn w:val="a2"/>
    <w:link w:val="afe"/>
    <w:rsid w:val="009713CD"/>
    <w:rPr>
      <w:rFonts w:ascii="Times New Roman" w:eastAsia="Times New Roman" w:hAnsi="Times New Roman" w:cs="Times New Roman"/>
      <w:szCs w:val="20"/>
      <w:lang w:val="ru-RU" w:eastAsia="ru-RU"/>
    </w:rPr>
  </w:style>
  <w:style w:type="paragraph" w:styleId="aff0">
    <w:name w:val="Normal (Web)"/>
    <w:basedOn w:val="a1"/>
    <w:uiPriority w:val="99"/>
    <w:semiHidden/>
    <w:unhideWhenUsed/>
    <w:rsid w:val="0004637A"/>
    <w:pPr>
      <w:spacing w:before="100" w:beforeAutospacing="1" w:after="100" w:afterAutospacing="1" w:line="240" w:lineRule="auto"/>
    </w:pPr>
    <w:rPr>
      <w:rFonts w:eastAsia="Times New Roman" w:cs="Times New Roman"/>
      <w:sz w:val="24"/>
      <w:szCs w:val="24"/>
      <w:lang w:val="ru-BY"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258224">
      <w:bodyDiv w:val="1"/>
      <w:marLeft w:val="0"/>
      <w:marRight w:val="0"/>
      <w:marTop w:val="0"/>
      <w:marBottom w:val="0"/>
      <w:divBdr>
        <w:top w:val="none" w:sz="0" w:space="0" w:color="auto"/>
        <w:left w:val="none" w:sz="0" w:space="0" w:color="auto"/>
        <w:bottom w:val="none" w:sz="0" w:space="0" w:color="auto"/>
        <w:right w:val="none" w:sz="0" w:space="0" w:color="auto"/>
      </w:divBdr>
    </w:div>
    <w:div w:id="8070541">
      <w:bodyDiv w:val="1"/>
      <w:marLeft w:val="0"/>
      <w:marRight w:val="0"/>
      <w:marTop w:val="0"/>
      <w:marBottom w:val="0"/>
      <w:divBdr>
        <w:top w:val="none" w:sz="0" w:space="0" w:color="auto"/>
        <w:left w:val="none" w:sz="0" w:space="0" w:color="auto"/>
        <w:bottom w:val="none" w:sz="0" w:space="0" w:color="auto"/>
        <w:right w:val="none" w:sz="0" w:space="0" w:color="auto"/>
      </w:divBdr>
    </w:div>
    <w:div w:id="44914614">
      <w:bodyDiv w:val="1"/>
      <w:marLeft w:val="0"/>
      <w:marRight w:val="0"/>
      <w:marTop w:val="0"/>
      <w:marBottom w:val="0"/>
      <w:divBdr>
        <w:top w:val="none" w:sz="0" w:space="0" w:color="auto"/>
        <w:left w:val="none" w:sz="0" w:space="0" w:color="auto"/>
        <w:bottom w:val="none" w:sz="0" w:space="0" w:color="auto"/>
        <w:right w:val="none" w:sz="0" w:space="0" w:color="auto"/>
      </w:divBdr>
    </w:div>
    <w:div w:id="74208797">
      <w:bodyDiv w:val="1"/>
      <w:marLeft w:val="0"/>
      <w:marRight w:val="0"/>
      <w:marTop w:val="0"/>
      <w:marBottom w:val="0"/>
      <w:divBdr>
        <w:top w:val="none" w:sz="0" w:space="0" w:color="auto"/>
        <w:left w:val="none" w:sz="0" w:space="0" w:color="auto"/>
        <w:bottom w:val="none" w:sz="0" w:space="0" w:color="auto"/>
        <w:right w:val="none" w:sz="0" w:space="0" w:color="auto"/>
      </w:divBdr>
    </w:div>
    <w:div w:id="76364223">
      <w:bodyDiv w:val="1"/>
      <w:marLeft w:val="0"/>
      <w:marRight w:val="0"/>
      <w:marTop w:val="0"/>
      <w:marBottom w:val="0"/>
      <w:divBdr>
        <w:top w:val="none" w:sz="0" w:space="0" w:color="auto"/>
        <w:left w:val="none" w:sz="0" w:space="0" w:color="auto"/>
        <w:bottom w:val="none" w:sz="0" w:space="0" w:color="auto"/>
        <w:right w:val="none" w:sz="0" w:space="0" w:color="auto"/>
      </w:divBdr>
    </w:div>
    <w:div w:id="118959649">
      <w:bodyDiv w:val="1"/>
      <w:marLeft w:val="0"/>
      <w:marRight w:val="0"/>
      <w:marTop w:val="0"/>
      <w:marBottom w:val="0"/>
      <w:divBdr>
        <w:top w:val="none" w:sz="0" w:space="0" w:color="auto"/>
        <w:left w:val="none" w:sz="0" w:space="0" w:color="auto"/>
        <w:bottom w:val="none" w:sz="0" w:space="0" w:color="auto"/>
        <w:right w:val="none" w:sz="0" w:space="0" w:color="auto"/>
      </w:divBdr>
    </w:div>
    <w:div w:id="227351874">
      <w:bodyDiv w:val="1"/>
      <w:marLeft w:val="0"/>
      <w:marRight w:val="0"/>
      <w:marTop w:val="0"/>
      <w:marBottom w:val="0"/>
      <w:divBdr>
        <w:top w:val="none" w:sz="0" w:space="0" w:color="auto"/>
        <w:left w:val="none" w:sz="0" w:space="0" w:color="auto"/>
        <w:bottom w:val="none" w:sz="0" w:space="0" w:color="auto"/>
        <w:right w:val="none" w:sz="0" w:space="0" w:color="auto"/>
      </w:divBdr>
    </w:div>
    <w:div w:id="346565772">
      <w:bodyDiv w:val="1"/>
      <w:marLeft w:val="0"/>
      <w:marRight w:val="0"/>
      <w:marTop w:val="0"/>
      <w:marBottom w:val="0"/>
      <w:divBdr>
        <w:top w:val="none" w:sz="0" w:space="0" w:color="auto"/>
        <w:left w:val="none" w:sz="0" w:space="0" w:color="auto"/>
        <w:bottom w:val="none" w:sz="0" w:space="0" w:color="auto"/>
        <w:right w:val="none" w:sz="0" w:space="0" w:color="auto"/>
      </w:divBdr>
    </w:div>
    <w:div w:id="651562851">
      <w:bodyDiv w:val="1"/>
      <w:marLeft w:val="0"/>
      <w:marRight w:val="0"/>
      <w:marTop w:val="0"/>
      <w:marBottom w:val="0"/>
      <w:divBdr>
        <w:top w:val="none" w:sz="0" w:space="0" w:color="auto"/>
        <w:left w:val="none" w:sz="0" w:space="0" w:color="auto"/>
        <w:bottom w:val="none" w:sz="0" w:space="0" w:color="auto"/>
        <w:right w:val="none" w:sz="0" w:space="0" w:color="auto"/>
      </w:divBdr>
    </w:div>
    <w:div w:id="842549695">
      <w:bodyDiv w:val="1"/>
      <w:marLeft w:val="0"/>
      <w:marRight w:val="0"/>
      <w:marTop w:val="0"/>
      <w:marBottom w:val="0"/>
      <w:divBdr>
        <w:top w:val="none" w:sz="0" w:space="0" w:color="auto"/>
        <w:left w:val="none" w:sz="0" w:space="0" w:color="auto"/>
        <w:bottom w:val="none" w:sz="0" w:space="0" w:color="auto"/>
        <w:right w:val="none" w:sz="0" w:space="0" w:color="auto"/>
      </w:divBdr>
    </w:div>
    <w:div w:id="845169575">
      <w:bodyDiv w:val="1"/>
      <w:marLeft w:val="0"/>
      <w:marRight w:val="0"/>
      <w:marTop w:val="0"/>
      <w:marBottom w:val="0"/>
      <w:divBdr>
        <w:top w:val="none" w:sz="0" w:space="0" w:color="auto"/>
        <w:left w:val="none" w:sz="0" w:space="0" w:color="auto"/>
        <w:bottom w:val="none" w:sz="0" w:space="0" w:color="auto"/>
        <w:right w:val="none" w:sz="0" w:space="0" w:color="auto"/>
      </w:divBdr>
    </w:div>
    <w:div w:id="923609227">
      <w:bodyDiv w:val="1"/>
      <w:marLeft w:val="0"/>
      <w:marRight w:val="0"/>
      <w:marTop w:val="0"/>
      <w:marBottom w:val="0"/>
      <w:divBdr>
        <w:top w:val="none" w:sz="0" w:space="0" w:color="auto"/>
        <w:left w:val="none" w:sz="0" w:space="0" w:color="auto"/>
        <w:bottom w:val="none" w:sz="0" w:space="0" w:color="auto"/>
        <w:right w:val="none" w:sz="0" w:space="0" w:color="auto"/>
      </w:divBdr>
    </w:div>
    <w:div w:id="992564855">
      <w:bodyDiv w:val="1"/>
      <w:marLeft w:val="0"/>
      <w:marRight w:val="0"/>
      <w:marTop w:val="0"/>
      <w:marBottom w:val="0"/>
      <w:divBdr>
        <w:top w:val="none" w:sz="0" w:space="0" w:color="auto"/>
        <w:left w:val="none" w:sz="0" w:space="0" w:color="auto"/>
        <w:bottom w:val="none" w:sz="0" w:space="0" w:color="auto"/>
        <w:right w:val="none" w:sz="0" w:space="0" w:color="auto"/>
      </w:divBdr>
    </w:div>
    <w:div w:id="1118178722">
      <w:bodyDiv w:val="1"/>
      <w:marLeft w:val="0"/>
      <w:marRight w:val="0"/>
      <w:marTop w:val="0"/>
      <w:marBottom w:val="0"/>
      <w:divBdr>
        <w:top w:val="none" w:sz="0" w:space="0" w:color="auto"/>
        <w:left w:val="none" w:sz="0" w:space="0" w:color="auto"/>
        <w:bottom w:val="none" w:sz="0" w:space="0" w:color="auto"/>
        <w:right w:val="none" w:sz="0" w:space="0" w:color="auto"/>
      </w:divBdr>
    </w:div>
    <w:div w:id="1134132453">
      <w:bodyDiv w:val="1"/>
      <w:marLeft w:val="0"/>
      <w:marRight w:val="0"/>
      <w:marTop w:val="0"/>
      <w:marBottom w:val="0"/>
      <w:divBdr>
        <w:top w:val="none" w:sz="0" w:space="0" w:color="auto"/>
        <w:left w:val="none" w:sz="0" w:space="0" w:color="auto"/>
        <w:bottom w:val="none" w:sz="0" w:space="0" w:color="auto"/>
        <w:right w:val="none" w:sz="0" w:space="0" w:color="auto"/>
      </w:divBdr>
    </w:div>
    <w:div w:id="1231383068">
      <w:bodyDiv w:val="1"/>
      <w:marLeft w:val="0"/>
      <w:marRight w:val="0"/>
      <w:marTop w:val="0"/>
      <w:marBottom w:val="0"/>
      <w:divBdr>
        <w:top w:val="none" w:sz="0" w:space="0" w:color="auto"/>
        <w:left w:val="none" w:sz="0" w:space="0" w:color="auto"/>
        <w:bottom w:val="none" w:sz="0" w:space="0" w:color="auto"/>
        <w:right w:val="none" w:sz="0" w:space="0" w:color="auto"/>
      </w:divBdr>
      <w:divsChild>
        <w:div w:id="287123008">
          <w:marLeft w:val="120"/>
          <w:marRight w:val="0"/>
          <w:marTop w:val="0"/>
          <w:marBottom w:val="120"/>
          <w:divBdr>
            <w:top w:val="none" w:sz="0" w:space="0" w:color="auto"/>
            <w:left w:val="none" w:sz="0" w:space="0" w:color="auto"/>
            <w:bottom w:val="none" w:sz="0" w:space="0" w:color="auto"/>
            <w:right w:val="none" w:sz="0" w:space="0" w:color="auto"/>
          </w:divBdr>
        </w:div>
        <w:div w:id="59327574">
          <w:marLeft w:val="120"/>
          <w:marRight w:val="0"/>
          <w:marTop w:val="0"/>
          <w:marBottom w:val="120"/>
          <w:divBdr>
            <w:top w:val="none" w:sz="0" w:space="0" w:color="auto"/>
            <w:left w:val="none" w:sz="0" w:space="0" w:color="auto"/>
            <w:bottom w:val="none" w:sz="0" w:space="0" w:color="auto"/>
            <w:right w:val="none" w:sz="0" w:space="0" w:color="auto"/>
          </w:divBdr>
        </w:div>
        <w:div w:id="934248249">
          <w:marLeft w:val="120"/>
          <w:marRight w:val="0"/>
          <w:marTop w:val="0"/>
          <w:marBottom w:val="120"/>
          <w:divBdr>
            <w:top w:val="none" w:sz="0" w:space="0" w:color="auto"/>
            <w:left w:val="none" w:sz="0" w:space="0" w:color="auto"/>
            <w:bottom w:val="none" w:sz="0" w:space="0" w:color="auto"/>
            <w:right w:val="none" w:sz="0" w:space="0" w:color="auto"/>
          </w:divBdr>
        </w:div>
        <w:div w:id="1524904732">
          <w:marLeft w:val="120"/>
          <w:marRight w:val="0"/>
          <w:marTop w:val="0"/>
          <w:marBottom w:val="120"/>
          <w:divBdr>
            <w:top w:val="none" w:sz="0" w:space="0" w:color="auto"/>
            <w:left w:val="none" w:sz="0" w:space="0" w:color="auto"/>
            <w:bottom w:val="none" w:sz="0" w:space="0" w:color="auto"/>
            <w:right w:val="none" w:sz="0" w:space="0" w:color="auto"/>
          </w:divBdr>
        </w:div>
        <w:div w:id="1093430016">
          <w:marLeft w:val="120"/>
          <w:marRight w:val="0"/>
          <w:marTop w:val="0"/>
          <w:marBottom w:val="120"/>
          <w:divBdr>
            <w:top w:val="none" w:sz="0" w:space="0" w:color="auto"/>
            <w:left w:val="none" w:sz="0" w:space="0" w:color="auto"/>
            <w:bottom w:val="none" w:sz="0" w:space="0" w:color="auto"/>
            <w:right w:val="none" w:sz="0" w:space="0" w:color="auto"/>
          </w:divBdr>
        </w:div>
        <w:div w:id="31351228">
          <w:marLeft w:val="0"/>
          <w:marRight w:val="120"/>
          <w:marTop w:val="0"/>
          <w:marBottom w:val="120"/>
          <w:divBdr>
            <w:top w:val="none" w:sz="0" w:space="0" w:color="auto"/>
            <w:left w:val="none" w:sz="0" w:space="0" w:color="auto"/>
            <w:bottom w:val="none" w:sz="0" w:space="0" w:color="auto"/>
            <w:right w:val="none" w:sz="0" w:space="0" w:color="auto"/>
          </w:divBdr>
        </w:div>
        <w:div w:id="140537929">
          <w:marLeft w:val="120"/>
          <w:marRight w:val="0"/>
          <w:marTop w:val="0"/>
          <w:marBottom w:val="120"/>
          <w:divBdr>
            <w:top w:val="none" w:sz="0" w:space="0" w:color="auto"/>
            <w:left w:val="none" w:sz="0" w:space="0" w:color="auto"/>
            <w:bottom w:val="none" w:sz="0" w:space="0" w:color="auto"/>
            <w:right w:val="none" w:sz="0" w:space="0" w:color="auto"/>
          </w:divBdr>
        </w:div>
      </w:divsChild>
    </w:div>
    <w:div w:id="1249315255">
      <w:bodyDiv w:val="1"/>
      <w:marLeft w:val="0"/>
      <w:marRight w:val="0"/>
      <w:marTop w:val="0"/>
      <w:marBottom w:val="0"/>
      <w:divBdr>
        <w:top w:val="none" w:sz="0" w:space="0" w:color="auto"/>
        <w:left w:val="none" w:sz="0" w:space="0" w:color="auto"/>
        <w:bottom w:val="none" w:sz="0" w:space="0" w:color="auto"/>
        <w:right w:val="none" w:sz="0" w:space="0" w:color="auto"/>
      </w:divBdr>
    </w:div>
    <w:div w:id="1373309080">
      <w:bodyDiv w:val="1"/>
      <w:marLeft w:val="0"/>
      <w:marRight w:val="0"/>
      <w:marTop w:val="0"/>
      <w:marBottom w:val="0"/>
      <w:divBdr>
        <w:top w:val="none" w:sz="0" w:space="0" w:color="auto"/>
        <w:left w:val="none" w:sz="0" w:space="0" w:color="auto"/>
        <w:bottom w:val="none" w:sz="0" w:space="0" w:color="auto"/>
        <w:right w:val="none" w:sz="0" w:space="0" w:color="auto"/>
      </w:divBdr>
    </w:div>
    <w:div w:id="1439829610">
      <w:bodyDiv w:val="1"/>
      <w:marLeft w:val="0"/>
      <w:marRight w:val="0"/>
      <w:marTop w:val="0"/>
      <w:marBottom w:val="0"/>
      <w:divBdr>
        <w:top w:val="none" w:sz="0" w:space="0" w:color="auto"/>
        <w:left w:val="none" w:sz="0" w:space="0" w:color="auto"/>
        <w:bottom w:val="none" w:sz="0" w:space="0" w:color="auto"/>
        <w:right w:val="none" w:sz="0" w:space="0" w:color="auto"/>
      </w:divBdr>
    </w:div>
    <w:div w:id="1592548534">
      <w:bodyDiv w:val="1"/>
      <w:marLeft w:val="0"/>
      <w:marRight w:val="0"/>
      <w:marTop w:val="0"/>
      <w:marBottom w:val="0"/>
      <w:divBdr>
        <w:top w:val="none" w:sz="0" w:space="0" w:color="auto"/>
        <w:left w:val="none" w:sz="0" w:space="0" w:color="auto"/>
        <w:bottom w:val="none" w:sz="0" w:space="0" w:color="auto"/>
        <w:right w:val="none" w:sz="0" w:space="0" w:color="auto"/>
      </w:divBdr>
    </w:div>
    <w:div w:id="1668940310">
      <w:bodyDiv w:val="1"/>
      <w:marLeft w:val="0"/>
      <w:marRight w:val="0"/>
      <w:marTop w:val="0"/>
      <w:marBottom w:val="0"/>
      <w:divBdr>
        <w:top w:val="none" w:sz="0" w:space="0" w:color="auto"/>
        <w:left w:val="none" w:sz="0" w:space="0" w:color="auto"/>
        <w:bottom w:val="none" w:sz="0" w:space="0" w:color="auto"/>
        <w:right w:val="none" w:sz="0" w:space="0" w:color="auto"/>
      </w:divBdr>
    </w:div>
    <w:div w:id="1686666976">
      <w:bodyDiv w:val="1"/>
      <w:marLeft w:val="0"/>
      <w:marRight w:val="0"/>
      <w:marTop w:val="0"/>
      <w:marBottom w:val="0"/>
      <w:divBdr>
        <w:top w:val="none" w:sz="0" w:space="0" w:color="auto"/>
        <w:left w:val="none" w:sz="0" w:space="0" w:color="auto"/>
        <w:bottom w:val="none" w:sz="0" w:space="0" w:color="auto"/>
        <w:right w:val="none" w:sz="0" w:space="0" w:color="auto"/>
      </w:divBdr>
    </w:div>
    <w:div w:id="1782408038">
      <w:bodyDiv w:val="1"/>
      <w:marLeft w:val="0"/>
      <w:marRight w:val="0"/>
      <w:marTop w:val="0"/>
      <w:marBottom w:val="0"/>
      <w:divBdr>
        <w:top w:val="none" w:sz="0" w:space="0" w:color="auto"/>
        <w:left w:val="none" w:sz="0" w:space="0" w:color="auto"/>
        <w:bottom w:val="none" w:sz="0" w:space="0" w:color="auto"/>
        <w:right w:val="none" w:sz="0" w:space="0" w:color="auto"/>
      </w:divBdr>
    </w:div>
    <w:div w:id="1787459671">
      <w:bodyDiv w:val="1"/>
      <w:marLeft w:val="0"/>
      <w:marRight w:val="0"/>
      <w:marTop w:val="0"/>
      <w:marBottom w:val="0"/>
      <w:divBdr>
        <w:top w:val="none" w:sz="0" w:space="0" w:color="auto"/>
        <w:left w:val="none" w:sz="0" w:space="0" w:color="auto"/>
        <w:bottom w:val="none" w:sz="0" w:space="0" w:color="auto"/>
        <w:right w:val="none" w:sz="0" w:space="0" w:color="auto"/>
      </w:divBdr>
    </w:div>
    <w:div w:id="1884900726">
      <w:bodyDiv w:val="1"/>
      <w:marLeft w:val="0"/>
      <w:marRight w:val="0"/>
      <w:marTop w:val="0"/>
      <w:marBottom w:val="0"/>
      <w:divBdr>
        <w:top w:val="none" w:sz="0" w:space="0" w:color="auto"/>
        <w:left w:val="none" w:sz="0" w:space="0" w:color="auto"/>
        <w:bottom w:val="none" w:sz="0" w:space="0" w:color="auto"/>
        <w:right w:val="none" w:sz="0" w:space="0" w:color="auto"/>
      </w:divBdr>
    </w:div>
    <w:div w:id="1930846832">
      <w:bodyDiv w:val="1"/>
      <w:marLeft w:val="0"/>
      <w:marRight w:val="0"/>
      <w:marTop w:val="0"/>
      <w:marBottom w:val="0"/>
      <w:divBdr>
        <w:top w:val="none" w:sz="0" w:space="0" w:color="auto"/>
        <w:left w:val="none" w:sz="0" w:space="0" w:color="auto"/>
        <w:bottom w:val="none" w:sz="0" w:space="0" w:color="auto"/>
        <w:right w:val="none" w:sz="0" w:space="0" w:color="auto"/>
      </w:divBdr>
    </w:div>
    <w:div w:id="2010668374">
      <w:bodyDiv w:val="1"/>
      <w:marLeft w:val="0"/>
      <w:marRight w:val="0"/>
      <w:marTop w:val="0"/>
      <w:marBottom w:val="0"/>
      <w:divBdr>
        <w:top w:val="none" w:sz="0" w:space="0" w:color="auto"/>
        <w:left w:val="none" w:sz="0" w:space="0" w:color="auto"/>
        <w:bottom w:val="none" w:sz="0" w:space="0" w:color="auto"/>
        <w:right w:val="none" w:sz="0" w:space="0" w:color="auto"/>
      </w:divBdr>
    </w:div>
    <w:div w:id="2097091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34"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36" Type="http://schemas.openxmlformats.org/officeDocument/2006/relationships/theme" Target="theme/theme1.xml"/><Relationship Id="rId4" Type="http://schemas.openxmlformats.org/officeDocument/2006/relationships/settings" Target="settings.xml"/><Relationship Id="rId35" Type="http://schemas.openxmlformats.org/officeDocument/2006/relationships/fontTable" Target="fontTable.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7A38B1-B5C6-4F16-A217-7546E71322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21</Pages>
  <Words>2125</Words>
  <Characters>15527</Characters>
  <Application>Microsoft Office Word</Application>
  <DocSecurity>0</DocSecurity>
  <Lines>421</Lines>
  <Paragraphs>150</Paragraphs>
  <ScaleCrop>false</ScaleCrop>
  <HeadingPairs>
    <vt:vector size="2" baseType="variant">
      <vt:variant>
        <vt:lpstr>Название</vt:lpstr>
      </vt:variant>
      <vt:variant>
        <vt:i4>1</vt:i4>
      </vt:variant>
    </vt:vector>
  </HeadingPairs>
  <TitlesOfParts>
    <vt:vector size="1" baseType="lpstr">
      <vt:lpstr>СХД. Лабораторная работа №1. Среда системы хранения</vt:lpstr>
    </vt:vector>
  </TitlesOfParts>
  <Company/>
  <LinksUpToDate>false</LinksUpToDate>
  <CharactersWithSpaces>17643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СХД. Лабораторная работа №2. Среда системы хранения</dc:title>
  <dc:subject>Системы хранения данных</dc:subject>
  <dc:creator>Власов Р. Е.</dc:creator>
  <cp:keywords/>
  <dc:description/>
  <cp:lastModifiedBy>Власов Р. Е.</cp:lastModifiedBy>
  <cp:revision>3</cp:revision>
  <dcterms:created xsi:type="dcterms:W3CDTF">2026-10-25T20:54:00Z</dcterms:created>
  <dcterms:modified xsi:type="dcterms:W3CDTF">2026-10-25T20:55:00Z</dcterms:modified>
</cp:coreProperties>
</file>