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управления интеллектуальной собственностью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2D3D7A" w:rsidRPr="00B346B5" w:rsidRDefault="002D3D7A" w:rsidP="002D3D7A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2D3D7A" w:rsidRPr="008C0370" w:rsidRDefault="00985702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Контрольная работа</w:t>
      </w:r>
    </w:p>
    <w:p w:rsidR="002D3D7A" w:rsidRPr="008C0370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«</w:t>
      </w:r>
      <w:r w:rsidR="00985702" w:rsidRPr="00985702">
        <w:rPr>
          <w:rFonts w:ascii="Times New Roman" w:hAnsi="Times New Roman" w:cs="Times New Roman"/>
          <w:sz w:val="28"/>
          <w:szCs w:val="28"/>
        </w:rPr>
        <w:t>Разработ</w:t>
      </w:r>
      <w:r w:rsidR="009C4415">
        <w:rPr>
          <w:rFonts w:ascii="Times New Roman" w:hAnsi="Times New Roman" w:cs="Times New Roman"/>
          <w:sz w:val="28"/>
          <w:szCs w:val="28"/>
        </w:rPr>
        <w:t>ка</w:t>
      </w:r>
      <w:r w:rsidR="00985702" w:rsidRPr="00985702">
        <w:rPr>
          <w:rFonts w:ascii="Times New Roman" w:hAnsi="Times New Roman" w:cs="Times New Roman"/>
          <w:sz w:val="28"/>
          <w:szCs w:val="28"/>
        </w:rPr>
        <w:t xml:space="preserve"> модел</w:t>
      </w:r>
      <w:r w:rsidR="009C4415">
        <w:rPr>
          <w:rFonts w:ascii="Times New Roman" w:hAnsi="Times New Roman" w:cs="Times New Roman"/>
          <w:sz w:val="28"/>
          <w:szCs w:val="28"/>
        </w:rPr>
        <w:t>и</w:t>
      </w:r>
      <w:r w:rsidR="00985702" w:rsidRPr="00985702">
        <w:rPr>
          <w:rFonts w:ascii="Times New Roman" w:hAnsi="Times New Roman" w:cs="Times New Roman"/>
          <w:sz w:val="28"/>
          <w:szCs w:val="28"/>
        </w:rPr>
        <w:t xml:space="preserve"> IT-стартапа. Способы защиты интеллектуальной собственности IT-стартапа</w:t>
      </w:r>
      <w:r w:rsidRPr="00CD1DF7">
        <w:rPr>
          <w:rFonts w:ascii="Times New Roman" w:hAnsi="Times New Roman" w:cs="Times New Roman"/>
          <w:sz w:val="28"/>
          <w:szCs w:val="28"/>
        </w:rPr>
        <w:t>»</w:t>
      </w: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785885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2D3D7A" w:rsidRPr="008C0370" w:rsidRDefault="002D3D7A" w:rsidP="002D3D7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D1DF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DF7">
        <w:rPr>
          <w:rFonts w:ascii="Times New Roman" w:hAnsi="Times New Roman" w:cs="Times New Roman"/>
          <w:sz w:val="28"/>
          <w:szCs w:val="28"/>
        </w:rPr>
        <w:t>гр.</w:t>
      </w:r>
      <w:r>
        <w:rPr>
          <w:rFonts w:ascii="Times New Roman" w:hAnsi="Times New Roman" w:cs="Times New Roman"/>
          <w:sz w:val="28"/>
          <w:szCs w:val="28"/>
        </w:rPr>
        <w:t xml:space="preserve"> 250541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2D3D7A" w:rsidRDefault="002D3D7A" w:rsidP="002D3D7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Власов Р.Е.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B2893" w:rsidRPr="00AB7066" w:rsidRDefault="002D3D7A" w:rsidP="000B3EB9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 w:rsidR="000B3EB9">
        <w:rPr>
          <w:rFonts w:ascii="Times New Roman" w:hAnsi="Times New Roman" w:cs="Times New Roman"/>
          <w:sz w:val="28"/>
          <w:szCs w:val="28"/>
        </w:rPr>
        <w:t>6</w:t>
      </w:r>
    </w:p>
    <w:p w:rsidR="00A53E38" w:rsidRDefault="008B2893" w:rsidP="00A53E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</w:t>
      </w:r>
      <w:r w:rsidR="00A53E38" w:rsidRPr="003B36CE">
        <w:rPr>
          <w:rFonts w:ascii="Times New Roman" w:hAnsi="Times New Roman" w:cs="Times New Roman"/>
          <w:b/>
          <w:sz w:val="28"/>
          <w:szCs w:val="28"/>
        </w:rPr>
        <w:t>ОДЕРЖАНИЕ</w:t>
      </w:r>
    </w:p>
    <w:p w:rsidR="00AB7066" w:rsidRDefault="00AB7066" w:rsidP="00A53E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53E38" w:rsidRPr="009C4415" w:rsidRDefault="008B2893" w:rsidP="000B3EB9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bookmarkStart w:id="0" w:name="OLE_LINK5"/>
      <w:bookmarkStart w:id="1" w:name="OLE_LINK6"/>
      <w:r>
        <w:rPr>
          <w:rFonts w:ascii="Times New Roman" w:hAnsi="Times New Roman" w:cs="Times New Roman"/>
          <w:sz w:val="28"/>
          <w:szCs w:val="28"/>
        </w:rPr>
        <w:t>1</w:t>
      </w:r>
      <w:r w:rsidRPr="008B2893">
        <w:rPr>
          <w:rFonts w:ascii="Times New Roman" w:hAnsi="Times New Roman" w:cs="Times New Roman"/>
          <w:sz w:val="28"/>
          <w:szCs w:val="28"/>
        </w:rPr>
        <w:t xml:space="preserve">. </w:t>
      </w:r>
      <w:r w:rsidR="000B3EB9" w:rsidRPr="000B3EB9">
        <w:rPr>
          <w:rFonts w:ascii="Times New Roman" w:hAnsi="Times New Roman" w:cs="Times New Roman"/>
          <w:sz w:val="28"/>
          <w:szCs w:val="28"/>
        </w:rPr>
        <w:t xml:space="preserve">Модель IT-стартапа в Республике Беларусь: продукт, команда, корпоративная и налоговая архитектура </w:t>
      </w:r>
      <w:r w:rsidRPr="002C6779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bCs/>
          <w:sz w:val="28"/>
          <w:szCs w:val="28"/>
        </w:rPr>
        <w:t>3</w:t>
      </w:r>
    </w:p>
    <w:p w:rsidR="00C94934" w:rsidRPr="009C4415" w:rsidRDefault="00C94934" w:rsidP="00C94934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bookmarkStart w:id="2" w:name="OLE_LINK9"/>
      <w:bookmarkStart w:id="3" w:name="OLE_LINK10"/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 xml:space="preserve">    1</w:t>
      </w:r>
      <w:r w:rsidRPr="00C94934">
        <w:rPr>
          <w:rFonts w:ascii="Times New Roman" w:hAnsi="Times New Roman" w:cs="Times New Roman"/>
          <w:sz w:val="28"/>
          <w:szCs w:val="28"/>
        </w:rPr>
        <w:t>.1</w:t>
      </w:r>
      <w:r w:rsidRPr="008B2893">
        <w:rPr>
          <w:rFonts w:ascii="Times New Roman" w:hAnsi="Times New Roman" w:cs="Times New Roman"/>
          <w:sz w:val="28"/>
          <w:szCs w:val="28"/>
        </w:rPr>
        <w:t>.</w:t>
      </w:r>
      <w:r w:rsidRPr="00C94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Понятие IT-стартапа и ключевые элементы бизнес-модели</w:t>
      </w:r>
      <w:r w:rsidRPr="002C6779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bCs/>
          <w:sz w:val="28"/>
          <w:szCs w:val="28"/>
        </w:rPr>
        <w:t>3</w:t>
      </w:r>
    </w:p>
    <w:bookmarkEnd w:id="2"/>
    <w:bookmarkEnd w:id="3"/>
    <w:p w:rsidR="00C94934" w:rsidRPr="009C4415" w:rsidRDefault="00C94934" w:rsidP="00C94934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</w:t>
      </w:r>
      <w:r w:rsidRPr="00C94934">
        <w:rPr>
          <w:rFonts w:ascii="Times New Roman" w:hAnsi="Times New Roman" w:cs="Times New Roman"/>
          <w:sz w:val="28"/>
          <w:szCs w:val="28"/>
        </w:rPr>
        <w:t>.2</w:t>
      </w:r>
      <w:r w:rsidRPr="008B2893">
        <w:rPr>
          <w:rFonts w:ascii="Times New Roman" w:hAnsi="Times New Roman" w:cs="Times New Roman"/>
          <w:sz w:val="28"/>
          <w:szCs w:val="28"/>
        </w:rPr>
        <w:t>.</w:t>
      </w:r>
      <w:r w:rsidRPr="00C94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Выбор организационно-правовой формы и корпоративной структуры</w:t>
      </w:r>
      <w:r w:rsidRPr="002C6779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bCs/>
          <w:sz w:val="28"/>
          <w:szCs w:val="28"/>
        </w:rPr>
        <w:t>5</w:t>
      </w:r>
    </w:p>
    <w:p w:rsidR="00C94934" w:rsidRPr="009C4415" w:rsidRDefault="00C94934" w:rsidP="00C94934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</w:t>
      </w:r>
      <w:r w:rsidRPr="00C94934">
        <w:rPr>
          <w:rFonts w:ascii="Times New Roman" w:hAnsi="Times New Roman" w:cs="Times New Roman"/>
          <w:sz w:val="28"/>
          <w:szCs w:val="28"/>
        </w:rPr>
        <w:t>.3</w:t>
      </w:r>
      <w:r w:rsidRPr="008B2893">
        <w:rPr>
          <w:rFonts w:ascii="Times New Roman" w:hAnsi="Times New Roman" w:cs="Times New Roman"/>
          <w:sz w:val="28"/>
          <w:szCs w:val="28"/>
        </w:rPr>
        <w:t>.</w:t>
      </w:r>
      <w:r w:rsidRPr="00C94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Государственная регистрация и учредительные документы стартапа</w:t>
      </w:r>
      <w:r w:rsidRPr="002C6779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bCs/>
          <w:sz w:val="28"/>
          <w:szCs w:val="28"/>
        </w:rPr>
        <w:t>6</w:t>
      </w:r>
    </w:p>
    <w:p w:rsidR="001C59D9" w:rsidRDefault="001C59D9" w:rsidP="001C59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BY"/>
        </w:rPr>
      </w:pPr>
      <w:bookmarkStart w:id="4" w:name="OLE_LINK21"/>
      <w:bookmarkStart w:id="5" w:name="OLE_LINK22"/>
      <w:bookmarkStart w:id="6" w:name="OLE_LINK31"/>
      <w:bookmarkStart w:id="7" w:name="OLE_LINK32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B7066">
        <w:rPr>
          <w:rFonts w:ascii="Times New Roman" w:hAnsi="Times New Roman" w:cs="Times New Roman"/>
          <w:sz w:val="28"/>
          <w:szCs w:val="28"/>
        </w:rPr>
        <w:t xml:space="preserve"> </w:t>
      </w:r>
      <w:r w:rsidR="00C94934" w:rsidRPr="00C94934">
        <w:rPr>
          <w:rFonts w:ascii="Times New Roman" w:hAnsi="Times New Roman" w:cs="Times New Roman"/>
          <w:sz w:val="28"/>
          <w:szCs w:val="28"/>
        </w:rPr>
        <w:t xml:space="preserve">1.4. </w:t>
      </w:r>
      <w:r w:rsidR="000B3EB9" w:rsidRPr="000B3EB9">
        <w:rPr>
          <w:rFonts w:ascii="Times New Roman" w:hAnsi="Times New Roman" w:cs="Times New Roman"/>
          <w:sz w:val="28"/>
          <w:szCs w:val="28"/>
          <w:lang w:val="ru-BY"/>
        </w:rPr>
        <w:t>Налогообложение и специальные режимы: общий порядок, УСН, ПВ</w:t>
      </w:r>
    </w:p>
    <w:p w:rsidR="000B3EB9" w:rsidRPr="009C4415" w:rsidRDefault="00C94934" w:rsidP="00C94934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2C6779">
        <w:rPr>
          <w:rFonts w:ascii="Times New Roman" w:hAnsi="Times New Roman"/>
          <w:sz w:val="28"/>
          <w:szCs w:val="28"/>
        </w:rPr>
        <w:ptab w:relativeTo="margin" w:alignment="right" w:leader="dot"/>
      </w:r>
      <w:bookmarkEnd w:id="6"/>
      <w:bookmarkEnd w:id="7"/>
      <w:r w:rsidR="009C4415" w:rsidRPr="009C4415">
        <w:rPr>
          <w:rFonts w:ascii="Times New Roman" w:hAnsi="Times New Roman"/>
          <w:bCs/>
          <w:sz w:val="28"/>
          <w:szCs w:val="28"/>
        </w:rPr>
        <w:t>8</w:t>
      </w:r>
    </w:p>
    <w:p w:rsidR="00C94934" w:rsidRPr="009C4415" w:rsidRDefault="00AB7066" w:rsidP="00AB7066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B3EB9" w:rsidRPr="00C94934">
        <w:rPr>
          <w:rFonts w:ascii="Times New Roman" w:hAnsi="Times New Roman" w:cs="Times New Roman"/>
          <w:sz w:val="28"/>
          <w:szCs w:val="28"/>
        </w:rPr>
        <w:t>1.</w:t>
      </w:r>
      <w:r w:rsidR="000B3EB9" w:rsidRPr="000B3EB9">
        <w:rPr>
          <w:rFonts w:ascii="Times New Roman" w:hAnsi="Times New Roman" w:cs="Times New Roman"/>
          <w:sz w:val="28"/>
          <w:szCs w:val="28"/>
        </w:rPr>
        <w:t>5</w:t>
      </w:r>
      <w:r w:rsidR="000B3EB9" w:rsidRPr="00C94934">
        <w:rPr>
          <w:rFonts w:ascii="Times New Roman" w:hAnsi="Times New Roman" w:cs="Times New Roman"/>
          <w:sz w:val="28"/>
          <w:szCs w:val="28"/>
        </w:rPr>
        <w:t xml:space="preserve">. </w:t>
      </w:r>
      <w:r w:rsidR="000B3EB9" w:rsidRPr="000B3EB9">
        <w:rPr>
          <w:rFonts w:ascii="Times New Roman" w:hAnsi="Times New Roman" w:cs="Times New Roman"/>
          <w:sz w:val="28"/>
          <w:szCs w:val="28"/>
          <w:lang w:val="ru-BY"/>
        </w:rPr>
        <w:t>Кадровая модель стартапа: трудовые отношения, ГПД, удаленная разработка</w:t>
      </w:r>
      <w:r w:rsidR="000B3EB9" w:rsidRPr="002C6779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bCs/>
          <w:sz w:val="28"/>
          <w:szCs w:val="28"/>
        </w:rPr>
        <w:t>10</w:t>
      </w:r>
    </w:p>
    <w:p w:rsidR="000B3EB9" w:rsidRPr="009C4415" w:rsidRDefault="008B2893" w:rsidP="00AB7066">
      <w:pPr>
        <w:spacing w:after="0" w:line="360" w:lineRule="auto"/>
        <w:rPr>
          <w:rFonts w:ascii="Times New Roman" w:hAnsi="Times New Roman"/>
          <w:sz w:val="28"/>
          <w:szCs w:val="28"/>
        </w:rPr>
      </w:pPr>
      <w:bookmarkStart w:id="8" w:name="OLE_LINK19"/>
      <w:bookmarkStart w:id="9" w:name="OLE_LINK20"/>
      <w:bookmarkEnd w:id="4"/>
      <w:bookmarkEnd w:id="5"/>
      <w:r>
        <w:rPr>
          <w:rFonts w:ascii="Times New Roman" w:hAnsi="Times New Roman" w:cs="Times New Roman"/>
          <w:sz w:val="28"/>
          <w:szCs w:val="28"/>
        </w:rPr>
        <w:t>2</w:t>
      </w:r>
      <w:r w:rsidRPr="008B2893">
        <w:rPr>
          <w:rFonts w:ascii="Times New Roman" w:hAnsi="Times New Roman" w:cs="Times New Roman"/>
          <w:sz w:val="28"/>
          <w:szCs w:val="28"/>
        </w:rPr>
        <w:t xml:space="preserve">. </w:t>
      </w:r>
      <w:r w:rsidR="000B3EB9" w:rsidRPr="000B3EB9">
        <w:rPr>
          <w:rFonts w:ascii="Times New Roman" w:hAnsi="Times New Roman" w:cs="Times New Roman"/>
          <w:sz w:val="28"/>
          <w:szCs w:val="28"/>
        </w:rPr>
        <w:t>Интеллектуальная собственность IT-стартапа</w:t>
      </w:r>
      <w:r w:rsidRPr="00C94934">
        <w:rPr>
          <w:rFonts w:ascii="Times New Roman" w:hAnsi="Times New Roman" w:cs="Times New Roman"/>
          <w:sz w:val="28"/>
          <w:szCs w:val="28"/>
        </w:rPr>
        <w:t>.</w:t>
      </w:r>
      <w:r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sz w:val="28"/>
          <w:szCs w:val="28"/>
        </w:rPr>
        <w:t>12</w:t>
      </w:r>
    </w:p>
    <w:p w:rsidR="00C94934" w:rsidRPr="009C4415" w:rsidRDefault="00AB7066" w:rsidP="00AB7066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C94934" w:rsidRPr="00C94934">
        <w:rPr>
          <w:rFonts w:ascii="Times New Roman" w:hAnsi="Times New Roman" w:cs="Times New Roman"/>
          <w:sz w:val="28"/>
          <w:szCs w:val="28"/>
        </w:rPr>
        <w:t xml:space="preserve">2.1. </w:t>
      </w:r>
      <w:r w:rsidR="000B3EB9" w:rsidRPr="000B3EB9">
        <w:rPr>
          <w:rFonts w:ascii="Times New Roman" w:hAnsi="Times New Roman" w:cs="Times New Roman"/>
          <w:sz w:val="28"/>
          <w:szCs w:val="28"/>
          <w:lang w:val="ru-BY"/>
        </w:rPr>
        <w:t>Программы для ЭВМ, базы данных и документация как объекты авторского права</w:t>
      </w:r>
      <w:r w:rsidR="00C94934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sz w:val="28"/>
          <w:szCs w:val="28"/>
        </w:rPr>
        <w:t>12</w:t>
      </w:r>
    </w:p>
    <w:p w:rsidR="00C94934" w:rsidRPr="009C4415" w:rsidRDefault="00AB7066" w:rsidP="00AB7066">
      <w:pPr>
        <w:spacing w:after="0" w:line="360" w:lineRule="auto"/>
        <w:rPr>
          <w:rFonts w:ascii="Times New Roman" w:hAnsi="Times New Roman"/>
          <w:sz w:val="28"/>
          <w:szCs w:val="28"/>
        </w:rPr>
      </w:pPr>
      <w:bookmarkStart w:id="10" w:name="OLE_LINK27"/>
      <w:bookmarkStart w:id="11" w:name="OLE_LINK28"/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C94934" w:rsidRPr="00C94934">
        <w:rPr>
          <w:rFonts w:ascii="Times New Roman" w:hAnsi="Times New Roman" w:cs="Times New Roman"/>
          <w:sz w:val="28"/>
          <w:szCs w:val="28"/>
        </w:rPr>
        <w:t xml:space="preserve">2.2. </w:t>
      </w:r>
      <w:r w:rsidR="000B3EB9" w:rsidRPr="000B3EB9">
        <w:rPr>
          <w:rFonts w:ascii="Times New Roman" w:hAnsi="Times New Roman" w:cs="Times New Roman"/>
          <w:sz w:val="28"/>
          <w:szCs w:val="28"/>
          <w:lang w:val="ru-BY"/>
        </w:rPr>
        <w:t>Изобретения, полезные модели и промышленные образцы в IT-проектах</w:t>
      </w:r>
      <w:r w:rsidR="00C94934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C94934" w:rsidRPr="00985702">
        <w:rPr>
          <w:rFonts w:ascii="Times New Roman" w:hAnsi="Times New Roman"/>
          <w:sz w:val="28"/>
          <w:szCs w:val="28"/>
        </w:rPr>
        <w:t>1</w:t>
      </w:r>
      <w:r w:rsidR="009C4415" w:rsidRPr="009C4415">
        <w:rPr>
          <w:rFonts w:ascii="Times New Roman" w:hAnsi="Times New Roman"/>
          <w:sz w:val="28"/>
          <w:szCs w:val="28"/>
        </w:rPr>
        <w:t>3</w:t>
      </w:r>
    </w:p>
    <w:p w:rsidR="000B3EB9" w:rsidRPr="009C4415" w:rsidRDefault="00C94934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C94934">
        <w:rPr>
          <w:rFonts w:ascii="Times New Roman" w:hAnsi="Times New Roman" w:cs="Times New Roman"/>
          <w:sz w:val="28"/>
          <w:szCs w:val="28"/>
        </w:rPr>
        <w:t xml:space="preserve">  </w:t>
      </w:r>
      <w:r w:rsidR="00AB7066">
        <w:rPr>
          <w:rFonts w:ascii="Times New Roman" w:hAnsi="Times New Roman" w:cs="Times New Roman"/>
          <w:sz w:val="28"/>
          <w:szCs w:val="28"/>
        </w:rPr>
        <w:t xml:space="preserve">  </w:t>
      </w:r>
      <w:r w:rsidRPr="00C94934">
        <w:rPr>
          <w:rFonts w:ascii="Times New Roman" w:hAnsi="Times New Roman" w:cs="Times New Roman"/>
          <w:sz w:val="28"/>
          <w:szCs w:val="28"/>
        </w:rPr>
        <w:t xml:space="preserve">  2.3. </w:t>
      </w:r>
      <w:r w:rsidR="000B3EB9" w:rsidRPr="000B3EB9">
        <w:rPr>
          <w:rFonts w:ascii="Times New Roman" w:hAnsi="Times New Roman" w:cs="Times New Roman"/>
          <w:sz w:val="28"/>
          <w:szCs w:val="28"/>
          <w:lang w:val="ru-BY"/>
        </w:rPr>
        <w:t xml:space="preserve">Средства индивидуализации: фирменное наименование, товарный знак, доменное </w:t>
      </w:r>
      <w:bookmarkStart w:id="12" w:name="OLE_LINK33"/>
      <w:bookmarkStart w:id="13" w:name="OLE_LINK34"/>
      <w:r w:rsidR="000B3EB9" w:rsidRPr="000B3EB9">
        <w:rPr>
          <w:rFonts w:ascii="Times New Roman" w:hAnsi="Times New Roman" w:cs="Times New Roman"/>
          <w:sz w:val="28"/>
          <w:szCs w:val="28"/>
          <w:lang w:val="ru-BY"/>
        </w:rPr>
        <w:t>имя</w:t>
      </w:r>
      <w:r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Pr="00985702">
        <w:rPr>
          <w:rFonts w:ascii="Times New Roman" w:hAnsi="Times New Roman"/>
          <w:sz w:val="28"/>
          <w:szCs w:val="28"/>
        </w:rPr>
        <w:t>1</w:t>
      </w:r>
      <w:r w:rsidR="009C4415" w:rsidRPr="009C4415">
        <w:rPr>
          <w:rFonts w:ascii="Times New Roman" w:hAnsi="Times New Roman"/>
          <w:sz w:val="28"/>
          <w:szCs w:val="28"/>
        </w:rPr>
        <w:t>4</w:t>
      </w:r>
      <w:r w:rsidRPr="00C94934">
        <w:rPr>
          <w:rFonts w:ascii="Times New Roman" w:hAnsi="Times New Roman"/>
          <w:sz w:val="28"/>
          <w:szCs w:val="28"/>
        </w:rPr>
        <w:t xml:space="preserve"> </w:t>
      </w:r>
      <w:bookmarkEnd w:id="12"/>
      <w:bookmarkEnd w:id="13"/>
      <w:r w:rsidR="000B3EB9" w:rsidRPr="000B3EB9">
        <w:rPr>
          <w:rFonts w:ascii="Times New Roman" w:hAnsi="Times New Roman"/>
          <w:sz w:val="28"/>
          <w:szCs w:val="28"/>
        </w:rPr>
        <w:br/>
      </w:r>
      <w:r w:rsidR="00AB7066">
        <w:rPr>
          <w:rFonts w:ascii="Times New Roman" w:hAnsi="Times New Roman"/>
          <w:sz w:val="28"/>
          <w:szCs w:val="28"/>
        </w:rPr>
        <w:t xml:space="preserve">      </w:t>
      </w:r>
      <w:r w:rsidR="000B3EB9" w:rsidRPr="000B3EB9">
        <w:rPr>
          <w:rFonts w:ascii="Times New Roman" w:hAnsi="Times New Roman"/>
          <w:sz w:val="28"/>
          <w:szCs w:val="28"/>
        </w:rPr>
        <w:t xml:space="preserve">2.4 </w:t>
      </w:r>
      <w:r w:rsidR="000B3EB9" w:rsidRPr="000B3EB9">
        <w:rPr>
          <w:rFonts w:ascii="Times New Roman" w:hAnsi="Times New Roman"/>
          <w:sz w:val="28"/>
          <w:szCs w:val="28"/>
        </w:rPr>
        <w:t>Коммерческая тайна и ноу-хау: «ядро» технологии и управленческий режим</w:t>
      </w:r>
      <w:r w:rsidR="000B3EB9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0B3EB9" w:rsidRPr="00985702">
        <w:rPr>
          <w:rFonts w:ascii="Times New Roman" w:hAnsi="Times New Roman"/>
          <w:sz w:val="28"/>
          <w:szCs w:val="28"/>
        </w:rPr>
        <w:t>1</w:t>
      </w:r>
      <w:r w:rsidR="009C4415" w:rsidRPr="009C4415">
        <w:rPr>
          <w:rFonts w:ascii="Times New Roman" w:hAnsi="Times New Roman"/>
          <w:sz w:val="28"/>
          <w:szCs w:val="28"/>
        </w:rPr>
        <w:t>5</w:t>
      </w:r>
      <w:r w:rsidR="000B3EB9" w:rsidRPr="000B3EB9">
        <w:rPr>
          <w:rFonts w:ascii="Times New Roman" w:hAnsi="Times New Roman"/>
          <w:sz w:val="28"/>
          <w:szCs w:val="28"/>
        </w:rPr>
        <w:br/>
      </w:r>
      <w:r w:rsidR="00AB7066">
        <w:rPr>
          <w:rFonts w:ascii="Times New Roman" w:hAnsi="Times New Roman"/>
          <w:sz w:val="28"/>
          <w:szCs w:val="28"/>
        </w:rPr>
        <w:t xml:space="preserve">      </w:t>
      </w:r>
      <w:r w:rsidR="000B3EB9" w:rsidRPr="000B3EB9">
        <w:rPr>
          <w:rFonts w:ascii="Times New Roman" w:hAnsi="Times New Roman"/>
          <w:sz w:val="28"/>
          <w:szCs w:val="28"/>
        </w:rPr>
        <w:t>2.5. Открытое ПО, сторонние библиотеки и комплаенс лицензий</w:t>
      </w:r>
      <w:r w:rsidR="000B3EB9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0B3EB9" w:rsidRPr="00985702">
        <w:rPr>
          <w:rFonts w:ascii="Times New Roman" w:hAnsi="Times New Roman"/>
          <w:sz w:val="28"/>
          <w:szCs w:val="28"/>
        </w:rPr>
        <w:t>1</w:t>
      </w:r>
      <w:r w:rsidR="009C4415" w:rsidRPr="009C4415">
        <w:rPr>
          <w:rFonts w:ascii="Times New Roman" w:hAnsi="Times New Roman"/>
          <w:sz w:val="28"/>
          <w:szCs w:val="28"/>
        </w:rPr>
        <w:t>6</w:t>
      </w:r>
    </w:p>
    <w:p w:rsidR="000B3EB9" w:rsidRPr="009C4415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0B3EB9">
        <w:rPr>
          <w:rFonts w:ascii="Times New Roman" w:hAnsi="Times New Roman"/>
          <w:sz w:val="28"/>
          <w:szCs w:val="28"/>
        </w:rPr>
        <w:t xml:space="preserve">3 </w:t>
      </w:r>
      <w:r w:rsidRPr="000B3EB9">
        <w:rPr>
          <w:rFonts w:ascii="Times New Roman" w:hAnsi="Times New Roman"/>
          <w:sz w:val="28"/>
          <w:szCs w:val="28"/>
        </w:rPr>
        <w:t xml:space="preserve">Способы защиты интеллектуальной собственности </w:t>
      </w:r>
      <w:r w:rsidRPr="000B3EB9">
        <w:rPr>
          <w:rFonts w:ascii="Times New Roman" w:hAnsi="Times New Roman"/>
          <w:sz w:val="28"/>
          <w:szCs w:val="28"/>
          <w:lang w:val="en-US"/>
        </w:rPr>
        <w:t>IT</w:t>
      </w:r>
      <w:r w:rsidRPr="000B3EB9">
        <w:rPr>
          <w:rFonts w:ascii="Times New Roman" w:hAnsi="Times New Roman"/>
          <w:sz w:val="28"/>
          <w:szCs w:val="28"/>
        </w:rPr>
        <w:t>-стартапа</w:t>
      </w:r>
      <w:r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Pr="00985702">
        <w:rPr>
          <w:rFonts w:ascii="Times New Roman" w:hAnsi="Times New Roman"/>
          <w:sz w:val="28"/>
          <w:szCs w:val="28"/>
        </w:rPr>
        <w:t>1</w:t>
      </w:r>
      <w:r w:rsidR="009C4415" w:rsidRPr="009C4415">
        <w:rPr>
          <w:rFonts w:ascii="Times New Roman" w:hAnsi="Times New Roman"/>
          <w:sz w:val="28"/>
          <w:szCs w:val="28"/>
        </w:rPr>
        <w:t>7</w:t>
      </w:r>
    </w:p>
    <w:p w:rsidR="000B3EB9" w:rsidRPr="009C4415" w:rsidRDefault="00AB706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0B3EB9" w:rsidRPr="000B3EB9">
        <w:rPr>
          <w:rFonts w:ascii="Times New Roman" w:hAnsi="Times New Roman"/>
          <w:sz w:val="28"/>
          <w:szCs w:val="28"/>
        </w:rPr>
        <w:t>3.1. Первичное закрепление прав: служебные результаты, отчуждение, лицензирование</w:t>
      </w:r>
      <w:r w:rsidR="000B3EB9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0B3EB9" w:rsidRPr="00985702">
        <w:rPr>
          <w:rFonts w:ascii="Times New Roman" w:hAnsi="Times New Roman"/>
          <w:sz w:val="28"/>
          <w:szCs w:val="28"/>
        </w:rPr>
        <w:t>1</w:t>
      </w:r>
      <w:r w:rsidR="009C4415" w:rsidRPr="009C4415">
        <w:rPr>
          <w:rFonts w:ascii="Times New Roman" w:hAnsi="Times New Roman"/>
          <w:sz w:val="28"/>
          <w:szCs w:val="28"/>
        </w:rPr>
        <w:t>7</w:t>
      </w:r>
    </w:p>
    <w:p w:rsidR="000B3EB9" w:rsidRPr="009C4415" w:rsidRDefault="00AB706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0B3EB9" w:rsidRPr="000B3EB9">
        <w:rPr>
          <w:rFonts w:ascii="Times New Roman" w:hAnsi="Times New Roman"/>
          <w:sz w:val="28"/>
          <w:szCs w:val="28"/>
        </w:rPr>
        <w:t>3.2. Регистрация и фиксация прав: НЦИС, международные процедуры, доказательства создания</w:t>
      </w:r>
      <w:r w:rsidR="000B3EB9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0B3EB9" w:rsidRPr="00985702">
        <w:rPr>
          <w:rFonts w:ascii="Times New Roman" w:hAnsi="Times New Roman"/>
          <w:sz w:val="28"/>
          <w:szCs w:val="28"/>
        </w:rPr>
        <w:t>1</w:t>
      </w:r>
      <w:r w:rsidR="009C4415" w:rsidRPr="009C4415">
        <w:rPr>
          <w:rFonts w:ascii="Times New Roman" w:hAnsi="Times New Roman"/>
          <w:sz w:val="28"/>
          <w:szCs w:val="28"/>
        </w:rPr>
        <w:t>8</w:t>
      </w:r>
    </w:p>
    <w:p w:rsidR="000B3EB9" w:rsidRPr="00D8150C" w:rsidRDefault="00AB706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0B3EB9" w:rsidRPr="000B3EB9">
        <w:rPr>
          <w:rFonts w:ascii="Times New Roman" w:hAnsi="Times New Roman"/>
          <w:sz w:val="28"/>
          <w:szCs w:val="28"/>
        </w:rPr>
        <w:t xml:space="preserve">3.3. Организационно-технические меры: </w:t>
      </w:r>
      <w:r w:rsidR="000B3EB9" w:rsidRPr="000B3EB9">
        <w:rPr>
          <w:rFonts w:ascii="Times New Roman" w:hAnsi="Times New Roman"/>
          <w:sz w:val="28"/>
          <w:szCs w:val="28"/>
          <w:lang w:val="en-US"/>
        </w:rPr>
        <w:t>NDA</w:t>
      </w:r>
      <w:r w:rsidR="000B3EB9" w:rsidRPr="000B3EB9">
        <w:rPr>
          <w:rFonts w:ascii="Times New Roman" w:hAnsi="Times New Roman"/>
          <w:sz w:val="28"/>
          <w:szCs w:val="28"/>
        </w:rPr>
        <w:t>, контроль доступа, режимы разработки и хранения кода</w:t>
      </w:r>
      <w:r w:rsidR="000B3EB9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D8150C" w:rsidRPr="00D8150C">
        <w:rPr>
          <w:rFonts w:ascii="Times New Roman" w:hAnsi="Times New Roman"/>
          <w:sz w:val="28"/>
          <w:szCs w:val="28"/>
        </w:rPr>
        <w:t>19</w:t>
      </w:r>
    </w:p>
    <w:p w:rsidR="000B3EB9" w:rsidRPr="009C4415" w:rsidRDefault="00AB706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0B3EB9" w:rsidRPr="000B3EB9">
        <w:rPr>
          <w:rFonts w:ascii="Times New Roman" w:hAnsi="Times New Roman"/>
          <w:sz w:val="28"/>
          <w:szCs w:val="28"/>
        </w:rPr>
        <w:t>3.4. Реагирование на нарушения: претензионный порядок, суд, административные меры, таможенная защита</w:t>
      </w:r>
      <w:r w:rsidR="000B3EB9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sz w:val="28"/>
          <w:szCs w:val="28"/>
        </w:rPr>
        <w:t>21</w:t>
      </w:r>
    </w:p>
    <w:p w:rsidR="000B3EB9" w:rsidRPr="009C4415" w:rsidRDefault="00AB706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0B3EB9" w:rsidRPr="000B3EB9">
        <w:rPr>
          <w:rFonts w:ascii="Times New Roman" w:hAnsi="Times New Roman"/>
          <w:sz w:val="28"/>
          <w:szCs w:val="28"/>
        </w:rPr>
        <w:t xml:space="preserve">3.5. Комплексная </w:t>
      </w:r>
      <w:r w:rsidR="000B3EB9" w:rsidRPr="000B3EB9">
        <w:rPr>
          <w:rFonts w:ascii="Times New Roman" w:hAnsi="Times New Roman"/>
          <w:sz w:val="28"/>
          <w:szCs w:val="28"/>
          <w:lang w:val="en-US"/>
        </w:rPr>
        <w:t>IP</w:t>
      </w:r>
      <w:r w:rsidR="000B3EB9" w:rsidRPr="000B3EB9">
        <w:rPr>
          <w:rFonts w:ascii="Times New Roman" w:hAnsi="Times New Roman"/>
          <w:sz w:val="28"/>
          <w:szCs w:val="28"/>
        </w:rPr>
        <w:t>-дорожная карта для стартапа (по стадиям развития)</w:t>
      </w:r>
      <w:r w:rsidR="000B3EB9" w:rsidRPr="00C94934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 w:rsidRPr="009C4415">
        <w:rPr>
          <w:rFonts w:ascii="Times New Roman" w:hAnsi="Times New Roman"/>
          <w:sz w:val="28"/>
          <w:szCs w:val="28"/>
        </w:rPr>
        <w:t>22</w:t>
      </w:r>
    </w:p>
    <w:bookmarkEnd w:id="8"/>
    <w:bookmarkEnd w:id="9"/>
    <w:bookmarkEnd w:id="10"/>
    <w:bookmarkEnd w:id="11"/>
    <w:p w:rsidR="008B2893" w:rsidRPr="009C4415" w:rsidRDefault="008B2893" w:rsidP="001C59D9">
      <w:pPr>
        <w:spacing w:after="0" w:line="276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Pr="008B2893">
        <w:rPr>
          <w:rFonts w:ascii="Times New Roman" w:hAnsi="Times New Roman" w:cs="Times New Roman"/>
          <w:sz w:val="28"/>
          <w:szCs w:val="28"/>
        </w:rPr>
        <w:t>.</w:t>
      </w:r>
      <w:r w:rsidRPr="002C6779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C4415">
        <w:rPr>
          <w:rFonts w:ascii="Times New Roman" w:hAnsi="Times New Roman"/>
          <w:bCs/>
          <w:sz w:val="28"/>
          <w:szCs w:val="28"/>
          <w:lang w:val="en-US"/>
        </w:rPr>
        <w:t>24</w:t>
      </w:r>
    </w:p>
    <w:p w:rsidR="006D3250" w:rsidRPr="006D3250" w:rsidRDefault="00785885" w:rsidP="001C59D9">
      <w:pPr>
        <w:spacing w:line="276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85885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 xml:space="preserve">1. </w:t>
      </w:r>
      <w:r w:rsidR="000B3EB9" w:rsidRPr="000B3EB9">
        <w:rPr>
          <w:rFonts w:ascii="Times New Roman" w:hAnsi="Times New Roman" w:cs="Times New Roman"/>
          <w:b/>
          <w:bCs/>
          <w:sz w:val="28"/>
          <w:szCs w:val="28"/>
          <w:lang w:val="ru-BY"/>
        </w:rPr>
        <w:t>Модель IT-стартапа в Республике Беларусь: продукт, команда, корпоративная и налоговая архитектура</w:t>
      </w:r>
    </w:p>
    <w:p w:rsidR="00D1411A" w:rsidRDefault="006D3250" w:rsidP="00D1411A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3250"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D1411A" w:rsidRPr="00D1411A">
        <w:rPr>
          <w:rFonts w:ascii="Times New Roman" w:hAnsi="Times New Roman" w:cs="Times New Roman"/>
          <w:b/>
          <w:sz w:val="28"/>
          <w:szCs w:val="28"/>
          <w:lang w:val="ru-BY"/>
        </w:rPr>
        <w:t>1</w:t>
      </w:r>
      <w:r w:rsidR="00D1411A" w:rsidRPr="00D1411A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0B3EB9" w:rsidRPr="000B3EB9">
        <w:rPr>
          <w:rFonts w:ascii="Times New Roman" w:hAnsi="Times New Roman" w:cs="Times New Roman"/>
          <w:b/>
          <w:sz w:val="28"/>
          <w:szCs w:val="28"/>
        </w:rPr>
        <w:t>Понятие IT-стартапа и ключевые элементы бизнес-модели</w:t>
      </w:r>
    </w:p>
    <w:p w:rsidR="00D1411A" w:rsidRPr="00D1411A" w:rsidRDefault="00D1411A" w:rsidP="006D3250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B3EB9" w:rsidRPr="006C3A48" w:rsidRDefault="00D1411A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Под IT-стартапом целесообразно понимать создаваемый «с нуля» инновационный бизнес-проект в сфере информационных технологий, нацеленный на быстрый рост за счет масштабируемого продукта (как правило, программного обеспечения или цифрового сервиса) и последующую коммерциализацию результатов разработки. Юридически стартап в Республике Беларусь не является самостоятельной «особой» организационно-правовой формой: на практике он оформляется как субъект хозяйствования (чаще всего общество с ограниченной ответственностью), который создает и использует результаты интеллектуальной деятельности и средства индивидуализации, заключает договоры, нанимает работников, принимает инвестиции, получает доход и несет ответственность по обязательствам.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[1]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3A48"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 xml:space="preserve">Особенность IT-стартапа состоит в том, что ключевым активом с первых стадий выступает не материальная база, а нематериальные активы: исходный код, архитектура, данные, алгоритмические решения, «продуктовая логика» и бренд.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[11]</w:t>
      </w:r>
      <w:r w:rsidR="006C3A4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Это означает, что модель стартапа должна изначально включать:</w:t>
      </w:r>
    </w:p>
    <w:p w:rsidR="000B3EB9" w:rsidRPr="00E27711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7711">
        <w:rPr>
          <w:rFonts w:ascii="Times New Roman" w:hAnsi="Times New Roman" w:cs="Times New Roman"/>
          <w:bCs/>
          <w:sz w:val="28"/>
          <w:szCs w:val="28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1) </w:t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продуктовую модель (что именно создается; какая ценность и чем стартап отличается);</w:t>
      </w:r>
    </w:p>
    <w:p w:rsidR="000B3EB9" w:rsidRPr="00E27711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7711">
        <w:rPr>
          <w:rFonts w:ascii="Times New Roman" w:hAnsi="Times New Roman" w:cs="Times New Roman"/>
          <w:bCs/>
          <w:sz w:val="28"/>
          <w:szCs w:val="28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модель правовой «упаковки» (кто является правообладателем результата разработки; на каком основании права возникли и переданы; как защищаются);</w:t>
      </w:r>
    </w:p>
    <w:p w:rsidR="000B3EB9" w:rsidRPr="00E27711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7711">
        <w:rPr>
          <w:rFonts w:ascii="Times New Roman" w:hAnsi="Times New Roman" w:cs="Times New Roman"/>
          <w:bCs/>
          <w:sz w:val="28"/>
          <w:szCs w:val="28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модель монетизации (как стартап будет получать деньги и на каких договорах);</w:t>
      </w:r>
    </w:p>
    <w:p w:rsidR="000B3EB9" w:rsidRPr="00E27711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7711">
        <w:rPr>
          <w:rFonts w:ascii="Times New Roman" w:hAnsi="Times New Roman" w:cs="Times New Roman"/>
          <w:bCs/>
          <w:sz w:val="28"/>
          <w:szCs w:val="28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4) </w:t>
      </w:r>
      <w:r w:rsidRPr="000B3EB9">
        <w:rPr>
          <w:rFonts w:ascii="Times New Roman" w:hAnsi="Times New Roman" w:cs="Times New Roman"/>
          <w:bCs/>
          <w:sz w:val="28"/>
          <w:szCs w:val="28"/>
        </w:rPr>
        <w:t>корпоративную модель (кто участники/акционеры, как распределены доли, как принимаются решения, как решаются конфликты);</w:t>
      </w:r>
    </w:p>
    <w:p w:rsidR="000B3EB9" w:rsidRPr="00E27711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7711">
        <w:rPr>
          <w:rFonts w:ascii="Times New Roman" w:hAnsi="Times New Roman" w:cs="Times New Roman"/>
          <w:bCs/>
          <w:sz w:val="28"/>
          <w:szCs w:val="28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0B3EB9">
        <w:rPr>
          <w:rFonts w:ascii="Times New Roman" w:hAnsi="Times New Roman" w:cs="Times New Roman"/>
          <w:bCs/>
          <w:sz w:val="28"/>
          <w:szCs w:val="28"/>
        </w:rPr>
        <w:t>кадровую и договорную модель (как оформлены отношения с разработчиками, дизайнерами, аналитиками, подрядчиками; как закреплены права на результаты их труда);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27711">
        <w:rPr>
          <w:rFonts w:ascii="Times New Roman" w:hAnsi="Times New Roman" w:cs="Times New Roman"/>
          <w:bCs/>
          <w:sz w:val="28"/>
          <w:szCs w:val="28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налоговую и финансовую модель (какой налоговый режим; какие льготы возможны; как учитывать расходы на разработку; как платить вознаграждения);</w:t>
      </w:r>
      <w:r w:rsidR="006C3A48" w:rsidRPr="006C3A48">
        <w:t xml:space="preserve">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</w:t>
      </w:r>
      <w:r w:rsidR="006C3A48">
        <w:rPr>
          <w:rFonts w:ascii="Times New Roman" w:hAnsi="Times New Roman" w:cs="Times New Roman"/>
          <w:bCs/>
          <w:sz w:val="28"/>
          <w:szCs w:val="28"/>
        </w:rPr>
        <w:t>2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]</w:t>
      </w:r>
    </w:p>
    <w:p w:rsidR="000B3EB9" w:rsidRPr="006C3A48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3A48">
        <w:rPr>
          <w:rFonts w:ascii="Times New Roman" w:hAnsi="Times New Roman" w:cs="Times New Roman"/>
          <w:bCs/>
          <w:sz w:val="28"/>
          <w:szCs w:val="28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7) </w:t>
      </w:r>
      <w:r w:rsidRPr="000B3EB9">
        <w:rPr>
          <w:rFonts w:ascii="Times New Roman" w:hAnsi="Times New Roman" w:cs="Times New Roman"/>
          <w:bCs/>
          <w:sz w:val="28"/>
          <w:szCs w:val="28"/>
        </w:rPr>
        <w:t>модель юридических рисков (включая IP-риски: открытые лицензии, нарушение прав третьих лиц, утечки, конфликт прав).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[1]</w:t>
      </w:r>
    </w:p>
    <w:p w:rsidR="000B3EB9" w:rsidRPr="000B3EB9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B3EB9" w:rsidRPr="00481BF6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C3A48"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Pr="000B3EB9">
        <w:rPr>
          <w:rFonts w:ascii="Times New Roman" w:hAnsi="Times New Roman" w:cs="Times New Roman"/>
          <w:bCs/>
          <w:sz w:val="28"/>
          <w:szCs w:val="28"/>
        </w:rPr>
        <w:t>Ниже предложена примерная модель IT-стартапа (как «шаблон»), которую можно адаптировать под любой продукт. Для усиления практической части модель будет описана на условном примере, близком к сфере контроля внешнеэкономической деятельности.</w:t>
      </w:r>
    </w:p>
    <w:p w:rsidR="000B3EB9" w:rsidRPr="000B3EB9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0B3EB9">
        <w:rPr>
          <w:rFonts w:ascii="Times New Roman" w:hAnsi="Times New Roman" w:cs="Times New Roman"/>
          <w:bCs/>
          <w:sz w:val="28"/>
          <w:szCs w:val="28"/>
        </w:rPr>
        <w:t>Пример стартапа (условное название): «</w:t>
      </w:r>
      <w:proofErr w:type="spellStart"/>
      <w:r w:rsidRPr="000B3EB9">
        <w:rPr>
          <w:rFonts w:ascii="Times New Roman" w:hAnsi="Times New Roman" w:cs="Times New Roman"/>
          <w:bCs/>
          <w:sz w:val="28"/>
          <w:szCs w:val="28"/>
        </w:rPr>
        <w:t>CustomsAssist</w:t>
      </w:r>
      <w:proofErr w:type="spellEnd"/>
      <w:r w:rsidRPr="000B3EB9">
        <w:rPr>
          <w:rFonts w:ascii="Times New Roman" w:hAnsi="Times New Roman" w:cs="Times New Roman"/>
          <w:bCs/>
          <w:sz w:val="28"/>
          <w:szCs w:val="28"/>
        </w:rPr>
        <w:t xml:space="preserve"> AI».</w:t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B3EB9">
        <w:rPr>
          <w:rFonts w:ascii="Times New Roman" w:hAnsi="Times New Roman" w:cs="Times New Roman"/>
          <w:bCs/>
          <w:sz w:val="28"/>
          <w:szCs w:val="28"/>
        </w:rPr>
        <w:t>Суть продукта: облачный сервис (</w:t>
      </w:r>
      <w:proofErr w:type="spellStart"/>
      <w:r w:rsidRPr="000B3EB9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Pr="000B3EB9">
        <w:rPr>
          <w:rFonts w:ascii="Times New Roman" w:hAnsi="Times New Roman" w:cs="Times New Roman"/>
          <w:bCs/>
          <w:sz w:val="28"/>
          <w:szCs w:val="28"/>
        </w:rPr>
        <w:t>) для предприятий ВЭД и таможенных представителей, который:</w:t>
      </w:r>
    </w:p>
    <w:p w:rsidR="000B3EB9" w:rsidRPr="000B3EB9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автоматизирует подготовку пакета документов для таможенного декларирования (проверка полноты, шаблоны, контроль реквизитов);</w:t>
      </w:r>
    </w:p>
    <w:p w:rsidR="000B3EB9" w:rsidRPr="000B3EB9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помогает предварительно классифицировать товар по ТН ВЭД ЕАЭС на основе описания и характеристик (подсказки, риск-индикаторы);</w:t>
      </w:r>
    </w:p>
    <w:p w:rsidR="000B3EB9" w:rsidRPr="000B3EB9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формирует «карточку товара» с историей поставок, единицами измерения, базой коммерческих документов;</w:t>
      </w:r>
    </w:p>
    <w:p w:rsidR="000B3EB9" w:rsidRPr="000B3EB9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предоставляет API-интеграции с учетными системами клиента;</w:t>
      </w:r>
    </w:p>
    <w:p w:rsidR="000B3EB9" w:rsidRPr="00481BF6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в перспективе применяет методы машинного обучения для выявления типичных ошибок и противоречий (например, несоответствие веса/объема, расхождения в описании и коде, несогласованность происхождения и пр.).</w:t>
      </w:r>
    </w:p>
    <w:p w:rsidR="000B3EB9" w:rsidRPr="00481BF6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0B3EB9">
        <w:rPr>
          <w:rFonts w:ascii="Times New Roman" w:hAnsi="Times New Roman" w:cs="Times New Roman"/>
          <w:bCs/>
          <w:sz w:val="28"/>
          <w:szCs w:val="28"/>
        </w:rPr>
        <w:t>Целевые пользователи: импортеры/экспортеры, логистические операторы, таможенные представители, отделы ВЭД предприятий.</w:t>
      </w:r>
    </w:p>
    <w:p w:rsidR="000B3EB9" w:rsidRPr="00481BF6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0B3EB9">
        <w:rPr>
          <w:rFonts w:ascii="Times New Roman" w:hAnsi="Times New Roman" w:cs="Times New Roman"/>
          <w:bCs/>
          <w:sz w:val="28"/>
          <w:szCs w:val="28"/>
        </w:rPr>
        <w:t>Ценность: снижение временных затрат, минимизация ошибок, повышение комплаенса, «прозрачная» подготовка документов и снижения риска корректировок и претензий.</w:t>
      </w:r>
      <w:r w:rsidR="00481BF6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Модель монетизации:</w:t>
      </w:r>
    </w:p>
    <w:p w:rsidR="000B3EB9" w:rsidRPr="000B3EB9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="000B3EB9" w:rsidRPr="000B3EB9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="000B3EB9" w:rsidRPr="000B3EB9">
        <w:rPr>
          <w:rFonts w:ascii="Times New Roman" w:hAnsi="Times New Roman" w:cs="Times New Roman"/>
          <w:bCs/>
          <w:sz w:val="28"/>
          <w:szCs w:val="28"/>
        </w:rPr>
        <w:t>-подписка по числу пользователей и объему операций;</w:t>
      </w:r>
    </w:p>
    <w:p w:rsidR="000B3EB9" w:rsidRPr="000B3EB9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пакеты API-запросов (для интеграции);</w:t>
      </w:r>
    </w:p>
    <w:p w:rsidR="000B3EB9" w:rsidRPr="000B3EB9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платные «комплаенс-отчеты» и аудит пакета документов;</w:t>
      </w:r>
    </w:p>
    <w:p w:rsidR="000B3EB9" w:rsidRPr="00481BF6" w:rsidRDefault="00E27711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</w:rPr>
        <w:t>– корпоративные внедрения (</w:t>
      </w:r>
      <w:proofErr w:type="spellStart"/>
      <w:r w:rsidR="000B3EB9" w:rsidRPr="000B3EB9">
        <w:rPr>
          <w:rFonts w:ascii="Times New Roman" w:hAnsi="Times New Roman" w:cs="Times New Roman"/>
          <w:bCs/>
          <w:sz w:val="28"/>
          <w:szCs w:val="28"/>
        </w:rPr>
        <w:t>enterprise</w:t>
      </w:r>
      <w:proofErr w:type="spellEnd"/>
      <w:r w:rsidR="000B3EB9" w:rsidRPr="000B3EB9">
        <w:rPr>
          <w:rFonts w:ascii="Times New Roman" w:hAnsi="Times New Roman" w:cs="Times New Roman"/>
          <w:bCs/>
          <w:sz w:val="28"/>
          <w:szCs w:val="28"/>
        </w:rPr>
        <w:t>) и обучение.</w:t>
      </w:r>
    </w:p>
    <w:p w:rsidR="000B3EB9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0B3EB9">
        <w:rPr>
          <w:rFonts w:ascii="Times New Roman" w:hAnsi="Times New Roman" w:cs="Times New Roman"/>
          <w:bCs/>
          <w:sz w:val="28"/>
          <w:szCs w:val="28"/>
        </w:rPr>
        <w:t>Ключевой вывод для темы интеллектуальной собственности: даже если бизнес-идея (автоматизация процессов) сама по себе не охраняется как объект авторского или патентного права, охраняются конкретные результаты ее реализации: программный код, структура базы данных, интерфейсы (как произведения дизайна/графики), оригинальные тексты документации, а также бренд (товарный знак) и коммерческая тайна (например, уникальные правила проверок и наборы данных).</w:t>
      </w:r>
    </w:p>
    <w:p w:rsidR="00D1411A" w:rsidRDefault="00D1411A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C4415" w:rsidRDefault="009C4415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C4415" w:rsidRPr="009C4415" w:rsidRDefault="009C4415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D1411A" w:rsidRDefault="00D1411A" w:rsidP="00D1411A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D1411A">
        <w:rPr>
          <w:rFonts w:ascii="Times New Roman" w:hAnsi="Times New Roman" w:cs="Times New Roman"/>
          <w:b/>
          <w:sz w:val="28"/>
          <w:szCs w:val="28"/>
          <w:lang w:val="ru-BY"/>
        </w:rPr>
        <w:lastRenderedPageBreak/>
        <w:tab/>
        <w:t>1</w:t>
      </w:r>
      <w:r w:rsidRPr="00985702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0B3EB9" w:rsidRPr="000B3EB9">
        <w:rPr>
          <w:rFonts w:ascii="Times New Roman" w:hAnsi="Times New Roman" w:cs="Times New Roman"/>
          <w:b/>
          <w:sz w:val="28"/>
          <w:szCs w:val="28"/>
        </w:rPr>
        <w:t>Выбор организационно-правовой формы и корпоративной структуры</w:t>
      </w:r>
    </w:p>
    <w:p w:rsidR="00D1411A" w:rsidRPr="00D1411A" w:rsidRDefault="00D1411A" w:rsidP="006D3250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0B3EB9" w:rsidRPr="000B3EB9" w:rsidRDefault="00D1411A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В Республике Беларусь для технологических проектов на практике чаще всего выбирается организация в форме хозяйственного общества. Закон «О хозяйственных обществах» регулирует создание и деятельность обществ, в том числе общества с ограниченной ответственностью (ООО), общества с дополнительной ответственностью (ОДО), акционерного общества (АО). Для стартапа базовым и наиболее гибким вариантом обычно является ООО, поскольку оно: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– ограничивает риск участников пределами их вкладов (общий принцип ограниченной ответственности);</w:t>
      </w:r>
    </w:p>
    <w:p w:rsidR="000B3EB9" w:rsidRPr="000B3EB9" w:rsidRDefault="000B3EB9" w:rsidP="00481BF6">
      <w:pPr>
        <w:tabs>
          <w:tab w:val="left" w:pos="709"/>
        </w:tabs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B3EB9">
        <w:rPr>
          <w:rFonts w:ascii="Times New Roman" w:hAnsi="Times New Roman" w:cs="Times New Roman"/>
          <w:bCs/>
          <w:sz w:val="28"/>
          <w:szCs w:val="28"/>
          <w:lang w:val="ru-BY"/>
        </w:rPr>
        <w:t>– обеспечивает относительно простую структуру управления и более низкие издержки на корпоративное администрирование по сравнению с АО;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– позволяет договорно закрепить порядок принятия решений, распределения прибыли, выхода участника и отчуждения доли.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При этом, если стартап нацелен на венчурные инвестиции и создание опционных программ для сотрудников, на практике рассматриваются также механизмы, допускаемые специальным регулированием для резидентов Парка высоких технологий (ПВТ), поскольку в рамках ПВТ реализуются правовые инструменты, ориентированные на технологический бизнес (в том числе договор конвертируемого займа и иные конструкции, прямо предусмотренные в правовом эксперименте). В Декрете № 8 «О развитии цифровой экономики» закреплены положения о продлении специального правового режима ПВТ и предоставлении резидентам ПВТ расширенного набора правовых возможностей (включая договор конвертируемого займа), что важно для инвестиционной модели IT-стартапа.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Корпоративная структура стартапа должна решить минимум четыре юридические задачи:</w:t>
      </w:r>
    </w:p>
    <w:p w:rsidR="000B3EB9" w:rsidRPr="00E27711" w:rsidRDefault="000B3EB9" w:rsidP="00E27711">
      <w:pPr>
        <w:pStyle w:val="a3"/>
        <w:numPr>
          <w:ilvl w:val="0"/>
          <w:numId w:val="26"/>
        </w:num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27711">
        <w:rPr>
          <w:rFonts w:ascii="Times New Roman" w:hAnsi="Times New Roman" w:cs="Times New Roman"/>
          <w:bCs/>
          <w:sz w:val="28"/>
          <w:szCs w:val="28"/>
          <w:lang w:val="ru-BY"/>
        </w:rPr>
        <w:t>кто владеет компанией (участники/акционеры) и в каком объеме;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2) 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как принимаются решения (компетенции общего собрания, директора, возможного коллегиального органа);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3) 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как распределяются доходы (дивиденды, реинвестирование);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4) 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как защищается стартап от «корпоративных рисков» (конфликт участников, «уход» ключевого разработчика-участника, тупик (deadlock) при голосовании, недобросовестный выход с выносом кода и т.д.).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Типовая «корпоративная» модель для IT-стартапа в форме ООО:</w:t>
      </w:r>
    </w:p>
    <w:p w:rsidR="000B3EB9" w:rsidRPr="00E27711" w:rsidRDefault="00E27711" w:rsidP="00E27711">
      <w:pPr>
        <w:pStyle w:val="a3"/>
        <w:numPr>
          <w:ilvl w:val="0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у</w:t>
      </w:r>
      <w:r w:rsidR="000B3EB9" w:rsidRPr="00E27711">
        <w:rPr>
          <w:rFonts w:ascii="Times New Roman" w:hAnsi="Times New Roman" w:cs="Times New Roman"/>
          <w:bCs/>
          <w:sz w:val="28"/>
          <w:szCs w:val="28"/>
          <w:lang w:val="ru-BY"/>
        </w:rPr>
        <w:t>частники: 2–3 основателя (например, CEO/продукт, CTO/технологии, коммерческий директор)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:rsidR="000B3EB9" w:rsidRPr="00E27711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р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аспределение долей: исходно фиксируется долями в уставном фонде (например, 40/40/20 или 33/33/34)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27711">
        <w:rPr>
          <w:rFonts w:ascii="Times New Roman" w:hAnsi="Times New Roman" w:cs="Times New Roman"/>
          <w:bCs/>
          <w:sz w:val="28"/>
          <w:szCs w:val="28"/>
        </w:rPr>
        <w:t>о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рганы: общее собрание участников; единоличный исполнительный орган (директор)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:rsidR="000B3EB9" w:rsidRPr="000B3EB9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>д</w:t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ополнительные соглашения между участниками (по сути, «founders agreement»): порядок голосования по ключевым вопросам, ограничения отчуждения долей, условия выхода, «порядок урегулирования тупика», условное «вестинг-распределение» экономических прав (если допускается), обязанности по внесению вкладов в проект, ответственность за нарушение конфиденциальности. В белорусском праве подобные договоренности реализуются через инструменты гражданского законодательства и корпоративного регулирования, при условии, что они не противоречат императивным нормам.</w:t>
      </w:r>
    </w:p>
    <w:p w:rsidR="00D1411A" w:rsidRDefault="00481BF6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0B3EB9" w:rsidRPr="000B3EB9">
        <w:rPr>
          <w:rFonts w:ascii="Times New Roman" w:hAnsi="Times New Roman" w:cs="Times New Roman"/>
          <w:bCs/>
          <w:sz w:val="28"/>
          <w:szCs w:val="28"/>
          <w:lang w:val="ru-BY"/>
        </w:rPr>
        <w:t>Особое внимание в корпоративной модели стартапа следует уделить тому, чтобы исключительные права на ключевые объекты интеллектуальной собственности принадлежали компании, а не физическим лицам-основателям. Практический риск типичен: продукт делается «на коленке» до регистрации компании, и код юридически принадлежит конкретным авторам. Затем при конфликте или выходе одного основателя возникает спор, а инвестор при проверке (due diligence) выявляет «разрыв цепочки прав» и отказывается от сделки. Поэтому правильная последовательность: либо заранее заключить между авторами и будущей компанией/учредителями договоры об отчуждении прав, либо документально оформить вклад в уставный фонд правами на результаты интеллектуальной деятельности, либо оформить лицензию с последующим выкупом прав (если бизнес-логика такова). При этом надо учитывать требования к оценке неденежных вкладов и к форме сделок с исключительными правами.</w:t>
      </w:r>
    </w:p>
    <w:p w:rsidR="000B3EB9" w:rsidRPr="00E40F9B" w:rsidRDefault="000B3EB9" w:rsidP="000B3EB9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1411A" w:rsidRDefault="00D1411A" w:rsidP="00D1411A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D1411A">
        <w:rPr>
          <w:rFonts w:ascii="Times New Roman" w:hAnsi="Times New Roman" w:cs="Times New Roman"/>
          <w:b/>
          <w:sz w:val="28"/>
          <w:szCs w:val="28"/>
          <w:lang w:val="ru-BY"/>
        </w:rPr>
        <w:tab/>
        <w:t>1</w:t>
      </w:r>
      <w:r w:rsidRPr="00985702">
        <w:rPr>
          <w:rFonts w:ascii="Times New Roman" w:hAnsi="Times New Roman" w:cs="Times New Roman"/>
          <w:b/>
          <w:sz w:val="28"/>
          <w:szCs w:val="28"/>
        </w:rPr>
        <w:t xml:space="preserve">.3 </w:t>
      </w:r>
      <w:r w:rsidR="00E40F9B" w:rsidRPr="00E40F9B">
        <w:rPr>
          <w:rFonts w:ascii="Times New Roman" w:hAnsi="Times New Roman" w:cs="Times New Roman"/>
          <w:b/>
          <w:sz w:val="28"/>
          <w:szCs w:val="28"/>
        </w:rPr>
        <w:t>Государственная регистрация и учредительные документы стартапа</w:t>
      </w:r>
    </w:p>
    <w:p w:rsidR="00D1411A" w:rsidRPr="00985702" w:rsidRDefault="00D1411A" w:rsidP="006D3250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40F9B" w:rsidRPr="00E40F9B" w:rsidRDefault="006D3250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Создание юридического лица (например, ООО) требует прохождения государственной регистрации в порядке, установленном Декретом Президента Республики Беларусь № 1 «О государственной регистрации и ликвидации (прекращении деятельности) субъектов хозяйствования». По общему правилу стартап как хозяйственное общество создается на основании решения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учредителей, утверждения устава и подачи документов в регистрирующий орган с последующим внесением записи в Единый государственный регистр юридических лиц и индивидуальных предпринимателей.</w:t>
      </w:r>
      <w:r w:rsidR="006C3A48" w:rsidRPr="006C3A48">
        <w:t xml:space="preserve">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[6][5]</w:t>
      </w:r>
    </w:p>
    <w:p w:rsidR="00E40F9B" w:rsidRPr="00E40F9B" w:rsidRDefault="00E40F9B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Устав стартапа должен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фиксировать фирменное наименование (в том числе сокращенное);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определять состав и компетенцию органов управления;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устанавливать порядок внесения вкладов в уставный фонд, распределения прибыли, выхода участника и отчуждения доли;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предусматривать механизмы защиты интересов компании (например, преимущественное право покупки доли, согласие общества/участников на отчуждение, порядок внесения дополнительных вкладов, санкции за нарушение обязанностей участника).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Для IT-стартапа важна деталь: фирменное наименование юридического лица само по себе является средством индивидуализации, однако его практическая защита (особенно для продукта) обычно недостаточна без регистрации товарного знака. Поэтому в бизнес-модели следует разграничить:</w:t>
      </w:r>
    </w:p>
    <w:p w:rsidR="00E40F9B" w:rsidRPr="00E40F9B" w:rsidRDefault="00E40F9B" w:rsidP="00481BF6">
      <w:pPr>
        <w:tabs>
          <w:tab w:val="left" w:pos="709"/>
        </w:tabs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юридическое имя компании (ООО «КастомсАссист»);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коммерческое обозначение/название продукта (CustomsAssist AI);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товарный знак (логотип/слово), который регистрируется для конкретных классов товаров/услуг;</w:t>
      </w:r>
    </w:p>
    <w:p w:rsidR="00E40F9B" w:rsidRPr="00E40F9B" w:rsidRDefault="00E27711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доменные имена (customsassist.by, customsassist.ai, и т.п.), которые обеспечивают присутствие в сети и снижают риск «киберсквоттинга».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[20][21]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Рекомендуемая последовательность действий по «юридической упаковке» стартапа: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проверка уникальности названия (минимум: поиск по ЕГР на сходные наименования; поиск по базе товарных знаков; поиск доменов);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регистрация доменного имени (до публичного анонса);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госрегистрация юридического лица (ООО);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открытие расчетного счета, постановка на учет по налогам, выбор системы налогообложения;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заключение договоров с командой и подрядчиками с обязательными IP-условиями;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27711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подготовка и подача заявок на регистрацию товарного знака (и при необходимости – международная процедура);</w:t>
      </w:r>
    </w:p>
    <w:p w:rsidR="00E40F9B" w:rsidRPr="00E40F9B" w:rsidRDefault="00E27711" w:rsidP="00E27711">
      <w:pPr>
        <w:tabs>
          <w:tab w:val="left" w:pos="709"/>
        </w:tabs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фиксация прав на ПО (добровольная регистрация/депонирование, внутренние акты, хранение исходных материалов);</w:t>
      </w:r>
    </w:p>
    <w:p w:rsidR="00E40F9B" w:rsidRPr="00E40F9B" w:rsidRDefault="00E27711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ab/>
      </w: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–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создание режима коммерческой тайны (для «секретной» части технологии и данных).</w:t>
      </w:r>
    </w:p>
    <w:p w:rsid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С юридической точки зрения слабое место многих стартапов — отсутствие «доказательной базы» создания кода и передачи прав. Поэтому даже на ранней стадии следует выстроить «бумажный след»: технические задания и постановки задач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акты приема-передачи результатов работ по договорам подряда/оказания услуг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служебные задания работникам (если разработка ведется в рамках трудовых отношений)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>,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локальные акты о конфиденциальности и коммерческой тайне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отдельные соглашения об отчуждении исключительных прав либо положения в договорах, которые однозначно закрепляют переход прав к компании.</w:t>
      </w:r>
    </w:p>
    <w:p w:rsidR="00E40F9B" w:rsidRDefault="00E40F9B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:rsidR="00D1411A" w:rsidRDefault="00E40F9B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D1411A" w:rsidRPr="00D1411A">
        <w:rPr>
          <w:rFonts w:ascii="Times New Roman" w:hAnsi="Times New Roman" w:cs="Times New Roman"/>
          <w:b/>
          <w:sz w:val="28"/>
          <w:szCs w:val="28"/>
          <w:lang w:val="ru-BY"/>
        </w:rPr>
        <w:t xml:space="preserve">1.4 </w:t>
      </w:r>
      <w:r w:rsidRPr="00E40F9B">
        <w:rPr>
          <w:rFonts w:ascii="Times New Roman" w:hAnsi="Times New Roman" w:cs="Times New Roman"/>
          <w:b/>
          <w:sz w:val="28"/>
          <w:szCs w:val="28"/>
          <w:lang w:val="ru-BY"/>
        </w:rPr>
        <w:t>Налогообложение и специальные режимы: общий порядок, УСН, ПВТ</w:t>
      </w:r>
    </w:p>
    <w:p w:rsidR="00D1411A" w:rsidRPr="00D1411A" w:rsidRDefault="00D1411A" w:rsidP="006D325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E40F9B" w:rsidRPr="00E40F9B" w:rsidRDefault="00D1411A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Налоговая модель IT-стартапа в Республике Беларусь формируется с учетом Налогового кодекса Республики Беларусь (общая и особенная части). На практике возможны разные варианты, в том числе: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общий порядок налогообложения (налог на прибыль и т.п. по общим правилам);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упрощенная система налогообложения (при соблюдении критериев);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специальные режимы (в частности, режим Парка высоких технологий).</w:t>
      </w:r>
    </w:p>
    <w:p w:rsidR="00481BF6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В рамках контрольной работы ключевой аспект — юридическая логика выбора режима, а также налоговые последствия владения и использования интеллектуальной собственности.</w:t>
      </w:r>
      <w:r w:rsidR="006C3A48" w:rsidRPr="006C3A48">
        <w:t xml:space="preserve">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[2][3]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При общем режиме для IT-компании будут актуальны вопросы: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учет расходов на разработку (прямые расходы, зарплата, услуги подрядчиков, амортизация оборудования);</w:t>
      </w:r>
    </w:p>
    <w:p w:rsidR="00E40F9B" w:rsidRPr="00E40F9B" w:rsidRDefault="00E27711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налогообложение доходов от лицензирования (роялти) и продажи прав (учитывается как доход);</w:t>
      </w:r>
    </w:p>
    <w:p w:rsidR="00E40F9B" w:rsidRPr="00E40F9B" w:rsidRDefault="00E27711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НДС по операциям (в зависимости от характера услуг/места реализации, особенностей IT-услуг, экспорт/импорт услуг);</w:t>
      </w:r>
    </w:p>
    <w:p w:rsidR="00E40F9B" w:rsidRPr="00E40F9B" w:rsidRDefault="00481BF6" w:rsidP="00481BF6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удержание налогов при выплатах нерезидентам (если используются иностранные сервисы/подрядчики; возможны соглашения об избежании двойного налогообложения).</w:t>
      </w:r>
    </w:p>
    <w:p w:rsidR="00E40F9B" w:rsidRPr="00E40F9B" w:rsidRDefault="00481BF6" w:rsidP="00481BF6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УСН может быть привлекательна на ранней стадии из-за простоты администрирования. Однако по мере роста и привлечения инвестиций стартап часто переходит на общий режим либо рассматривает резидентство в ПВТ.</w:t>
      </w:r>
      <w:r w:rsidR="006C3A48" w:rsidRPr="006C3A48">
        <w:t xml:space="preserve">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[2][3][7]</w:t>
      </w:r>
    </w:p>
    <w:p w:rsidR="00E40F9B" w:rsidRPr="00E40F9B" w:rsidRDefault="00481BF6" w:rsidP="00481BF6">
      <w:pPr>
        <w:tabs>
          <w:tab w:val="left" w:pos="0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ПВТ в Республике Беларусь является специальным правовым режимом для IT-бизнеса, который:</w:t>
      </w:r>
    </w:p>
    <w:p w:rsidR="00E40F9B" w:rsidRPr="00E40F9B" w:rsidRDefault="00E40F9B" w:rsidP="00481BF6">
      <w:pPr>
        <w:tabs>
          <w:tab w:val="left" w:pos="993"/>
        </w:tabs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имеет принцип экстерриториальности (деятельность резидентов возможна вне «территории парка»);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ориентирован на разработку ПО, оказание IT-услуг и иные виды деятельности, закрепленные в Положении о ПВТ;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предоставляет налоговые и иные преимущества при соблюдении критериев резидентства.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Правовое регулирование ПВТ основано на Декрете Президента Республики Беларусь № 12 «О Парке высоких технологий» и Декрете Президента Республики Беларусь № 8 «О развитии цифровой экономики», который, в частности, продлил действие специального правового режима ПВТ до 1 января 2049 года и расширил перечень разрешенных видов деятельности для резидентов ПВТ, а также закрепил правовой эксперимент для апробации новых правовых институтов (в том числе договора конвертируемого займа). Для стартапа это важно, потому что венчурные сделки часто требуют гибких инструментов финансирования и корпоративного структурирования (конвертация займа в долю/акции, опционные механизмы и т.п.).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В модели стартапа резидентство в ПВТ можно рассматривать как «второй этап» после MVP: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Этап 1 (доходов мало, продукт тестируется): ООО на общем режиме или УСН, минимальный штат, активная разработка.</w:t>
      </w:r>
    </w:p>
    <w:p w:rsidR="00E40F9B" w:rsidRPr="00E40F9B" w:rsidRDefault="00E40F9B" w:rsidP="00481BF6">
      <w:pPr>
        <w:tabs>
          <w:tab w:val="left" w:pos="993"/>
        </w:tabs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Этап 2 (появились клиенты, растет команда): подача заявки на резидентство ПВТ, переход на режим, усиление юридических процедур (комплаенс, IP, учет).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Этап 3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: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международное структурирование договоров, защита IP на ключевых рынках.</w:t>
      </w:r>
    </w:p>
    <w:p w:rsidR="00E40F9B" w:rsidRPr="00E40F9B" w:rsidRDefault="00481BF6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В контексте интеллектуальной собственности налоговая тема проявляется в следующем: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исключительные права могут формировать нематериальные активы компании и влиять на инвестиционную оценку;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доходы от лицензирования могут иметь специфический налоговый режим;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внесение прав в уставный фонд (неденежный вклад) требует корректного оформления, оценки и учета;</w:t>
      </w:r>
    </w:p>
    <w:p w:rsid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выплаты авторам/разработчикам (вознаграждения) должны быть юридически и налогово обоснованы (заработная плата, гонорар, вознаграждение за отчуждение прав и т.п.).</w:t>
      </w:r>
    </w:p>
    <w:p w:rsidR="006D3250" w:rsidRDefault="00E40F9B" w:rsidP="00E40F9B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br/>
      </w:r>
      <w:r w:rsidR="00E27711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E40F9B">
        <w:rPr>
          <w:rFonts w:ascii="Times New Roman" w:hAnsi="Times New Roman" w:cs="Times New Roman"/>
          <w:b/>
          <w:sz w:val="28"/>
          <w:szCs w:val="28"/>
          <w:lang w:val="ru-BY"/>
        </w:rPr>
        <w:t>1.5. Кадровая модель стартапа: трудовые отношения, ГПД, удаленная разработка</w:t>
      </w:r>
    </w:p>
    <w:p w:rsidR="00E27711" w:rsidRDefault="00E27711" w:rsidP="00E27711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E40F9B" w:rsidRPr="00E40F9B" w:rsidRDefault="00E40F9B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Кадровая модель IT-стартапа всегда связана с вопросом: кому принадлежат права на результат разработки, созданный конкретным человеком. Поэтому выбор формы отношений (трудовой договор или гражданско-правовой договор) должен делаться не только исходя из удобства, но и исходя из устойчивости «цепочки прав» на интеллектуальную собственность.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Трудовой кодекс Республики Беларусь регулирует отношения между работодателем и работником: прием, перевод, увольнение, режим рабочего времени, дисциплинарную ответственность и т.п. Для стартапа это означает:</w:t>
      </w:r>
    </w:p>
    <w:p w:rsidR="00E40F9B" w:rsidRPr="00E40F9B" w:rsidRDefault="00E40F9B" w:rsidP="00E27711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возможность закрепить трудовую функцию разработчика (создание ПО) и условия конфиденциальности;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возможность установить локальные нормативные акты (политика безопасности, коммерческая тайна, положение о служебных результатах, порядок передачи кода);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возможность доказать, что результат создан «в рамках трудовых обязанностей», что принципиально важно для режима служебных произведений/служебных результатов интеллектуальной деятельности.</w:t>
      </w:r>
      <w:r w:rsidR="006C3A48" w:rsidRPr="006C3A48">
        <w:t xml:space="preserve">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[4][11][1]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При трудовой модели крайне важно: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описать трудовую функцию и задачи максимально конкретно (разработка программного обеспечения, модулей, дизайна, документации, тестов);</w:t>
      </w:r>
    </w:p>
    <w:p w:rsidR="00E40F9B" w:rsidRPr="00E40F9B" w:rsidRDefault="00E40F9B" w:rsidP="00E27711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закрепить обязанность передавать работодателю исходные материалы и результат (код, макеты, документацию);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прописать порядок использования средств разработки (репозитории, корпоративные аккаунты);</w:t>
      </w:r>
    </w:p>
    <w:p w:rsidR="00E40F9B" w:rsidRPr="00E40F9B" w:rsidRDefault="00E40F9B" w:rsidP="00E27711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дополнительно заключить соглашение о конфиденциальности и (при необходимости) соглашение о коммерческой тайне;</w:t>
      </w:r>
    </w:p>
    <w:p w:rsidR="00E40F9B" w:rsidRPr="00E40F9B" w:rsidRDefault="00E40F9B" w:rsidP="00E27711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– установить порядок выплаты вознаграждения за служебные результаты в случаях, предусмотренных специальным законодательством (это важно для правовой чистоты).</w:t>
      </w:r>
    </w:p>
    <w:p w:rsidR="00E40F9B" w:rsidRPr="00E40F9B" w:rsidRDefault="00E40F9B" w:rsidP="00E27711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Гражданско-правовые договоры (подряд/услуги) с разработчиками и подрядчиками часто применя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>ю</w:t>
      </w: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тся для фрилансеров, дизайнеров, внешних команд. Риск здесь выше: по общему правилу исключительные права остаются у автора/исполнителя, если они не отчуждены или не лицензированы в явной форме. Поэтому ГПД обязательно должен содержать: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четкое описание создаваемого результата (какой модуль, какой дизайн, какая документация);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условие о переходе исключительных прав к заказчику (либо о предоставлении исключительной лицензии) с указанием территории, срока, способов использования;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обязательство передать исходники (source files) и права на них;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гарантии «оригинальности» результата и отсутствие нарушений прав третьих лиц (особенно по стоковым элементам, шрифтам, библиотекам);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порядок приемки (акты), поскольку акты — ключевой документ для подтверждения создания и передачи.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С учетом современной практики стартап может использовать распределенную команду (разработчики в разных странах). Тогда модель должна включать: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определение применимого права и юрисдикции в договорах (если это международные договоры);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механизмы легального перевода денежных средств, налоговые аспекты;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обязательные IP-условия в договорах;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меры защиты коммерческой тайны и управления доступом.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В любом варианте кадровой модели «правило № 1» для стартапа: права на продукт должны аккумулироваться у компании, иначе проект становится уязвимым для корпоративных конфликтов, недобросовестных действий и отрицательных результатов инвестиционной проверки.</w:t>
      </w:r>
    </w:p>
    <w:p w:rsidR="006D3250" w:rsidRPr="006D3250" w:rsidRDefault="006D3250" w:rsidP="00E2771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:rsidR="009C4415" w:rsidRDefault="00D1411A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  <w:lang w:val="ru-BY"/>
        </w:rPr>
        <w:tab/>
      </w:r>
    </w:p>
    <w:p w:rsidR="009C4415" w:rsidRDefault="009C4415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9C4415" w:rsidRDefault="009C4415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9C4415" w:rsidRDefault="009C4415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9C4415" w:rsidRDefault="009C4415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9C4415" w:rsidRDefault="009C4415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:rsidR="006D3250" w:rsidRPr="00D1411A" w:rsidRDefault="009C4415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  <w:lang w:val="ru-BY"/>
        </w:rPr>
        <w:lastRenderedPageBreak/>
        <w:tab/>
      </w:r>
      <w:r w:rsidR="00D1411A" w:rsidRPr="00D1411A">
        <w:rPr>
          <w:rFonts w:ascii="Times New Roman" w:hAnsi="Times New Roman" w:cs="Times New Roman"/>
          <w:b/>
          <w:sz w:val="28"/>
          <w:szCs w:val="28"/>
          <w:lang w:val="ru-BY"/>
        </w:rPr>
        <w:t xml:space="preserve">2 </w:t>
      </w:r>
      <w:r w:rsidR="00E40F9B" w:rsidRPr="00E40F9B">
        <w:rPr>
          <w:rFonts w:ascii="Times New Roman" w:hAnsi="Times New Roman" w:cs="Times New Roman"/>
          <w:b/>
          <w:sz w:val="28"/>
          <w:szCs w:val="28"/>
          <w:lang w:val="ru-BY"/>
        </w:rPr>
        <w:t>Интеллектуальная собственность IT-стартапа: состав объектов и правовой режим</w:t>
      </w:r>
    </w:p>
    <w:p w:rsidR="006D3250" w:rsidRPr="006D3250" w:rsidRDefault="006D3250" w:rsidP="00E2771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:rsidR="006D3250" w:rsidRPr="00D1411A" w:rsidRDefault="00D1411A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D1411A">
        <w:rPr>
          <w:rFonts w:ascii="Times New Roman" w:hAnsi="Times New Roman" w:cs="Times New Roman"/>
          <w:b/>
          <w:sz w:val="28"/>
          <w:szCs w:val="28"/>
          <w:lang w:val="ru-BY"/>
        </w:rPr>
        <w:t xml:space="preserve">2.1 </w:t>
      </w:r>
      <w:r w:rsidR="00E40F9B" w:rsidRPr="00E40F9B">
        <w:rPr>
          <w:rFonts w:ascii="Times New Roman" w:hAnsi="Times New Roman" w:cs="Times New Roman"/>
          <w:b/>
          <w:sz w:val="28"/>
          <w:szCs w:val="28"/>
          <w:lang w:val="ru-BY"/>
        </w:rPr>
        <w:t>Программы для ЭВМ, базы данных и документация как объекты авторского права</w:t>
      </w:r>
    </w:p>
    <w:p w:rsidR="00E40F9B" w:rsidRPr="006D3250" w:rsidRDefault="00E40F9B" w:rsidP="00E27711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:rsidR="00E40F9B" w:rsidRPr="00E40F9B" w:rsidRDefault="00E40F9B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Для IT-стартапа основной массив охраняемых результатов обычно относится к авторскому праву. Программы для ЭВМ, базы данных, техническая документация, тексты интерфейсов, графика, дизайн, контент сайта (при наличии творческого характера) — все это в общем случае может охраняться как произведения науки, литературы и искусства.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Ключевые юридические особенности авторского права, которые необходимо учитывать при построении модели стартапа: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Авторское право возникает по факту создания произведения и не требует обязательной регистрации. Это особенно важно для программного обеспечения: не нужно «получать патент», чтобы возникла охрана именно кода как творческого результата.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Авторское право защищает форму выражения, а не идею.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[11]</w:t>
      </w:r>
      <w:r w:rsidR="006C3A4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То есть «идея сервиса» или «бизнес-логика» не охраняется сама по себе; охраняется конкретная реализация (код, тексты, графика, структура материалов).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Личные неимущественные права автора (например, право авторства, право на имя) обычно неотчуждаемы. Экономическое содержание бизнеса формируется через исключительное (имущественное) право, которое может быть передано (отчуждение) или предоставлено по лицензии.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Для стартапа критично документально закрепить, что исключительные права на служебные произведения и результаты разработки принадлежат компании либо переданы ей на законном основании.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В рамках белорусского правового регулирования авторское право и смежные права регулируются, в том числе, специальным Законом Республики Беларусь «Об авторском праве и смежных правах» (в актуальных редакциях), а также положениями гражданского законодательства.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Хотя регистрация авторских прав не является обязательной, в Беларуси предусмотрены механизмы добровольной государственной регистрации отдельных объектов авторского права и смежных прав (в частности, программ для ЭВМ и баз данных) и депонирования. Практическое назначение — доказательство факта существования произведения на определенную дату и принадлежности прав, что может быть критично в споре.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Для стартапа это дает три прикладных эффекта:</w:t>
      </w:r>
    </w:p>
    <w:p w:rsidR="00E40F9B" w:rsidRPr="00E40F9B" w:rsidRDefault="00E40F9B" w:rsidP="00E27711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– усиление доказательственной базы (когда нужно доказать, что код существовал раньше, чем у конкурента);</w:t>
      </w:r>
    </w:p>
    <w:p w:rsidR="00E40F9B" w:rsidRPr="00E40F9B" w:rsidRDefault="00E40F9B" w:rsidP="00E27711">
      <w:pPr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повышение доверия инвесторов/партнеров (в due diligence легче показать «фиксацию прав»);</w:t>
      </w:r>
    </w:p>
    <w:p w:rsidR="00E40F9B" w:rsidRPr="00E40F9B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удобство при лицензировании (контрагент понимает, что право оформлено и подтверждено).</w:t>
      </w:r>
    </w:p>
    <w:p w:rsidR="006D3250" w:rsidRPr="006D3250" w:rsidRDefault="00481BF6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Однако важно понимать: добровольная регистрация не «создает» право, а фиксирует его. Поэтому регистрация — инструмент доказательства и управления риском, а не основной источник прав.</w:t>
      </w:r>
    </w:p>
    <w:p w:rsidR="006D3250" w:rsidRPr="00D1411A" w:rsidRDefault="00D1411A" w:rsidP="00E2771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D1411A">
        <w:rPr>
          <w:rFonts w:ascii="Times New Roman" w:hAnsi="Times New Roman" w:cs="Times New Roman"/>
          <w:b/>
          <w:sz w:val="28"/>
          <w:szCs w:val="28"/>
          <w:lang w:val="ru-BY"/>
        </w:rPr>
        <w:t xml:space="preserve">2.2 </w:t>
      </w:r>
      <w:r w:rsidR="00E40F9B" w:rsidRPr="00E40F9B">
        <w:rPr>
          <w:rFonts w:ascii="Times New Roman" w:hAnsi="Times New Roman" w:cs="Times New Roman"/>
          <w:b/>
          <w:sz w:val="28"/>
          <w:szCs w:val="28"/>
          <w:lang w:val="ru-BY"/>
        </w:rPr>
        <w:t>Изобретения, полезные модели и промышленные образцы в IT-проектах</w:t>
      </w:r>
    </w:p>
    <w:p w:rsidR="006D3250" w:rsidRPr="006D3250" w:rsidRDefault="006D3250" w:rsidP="00E27711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:rsidR="00E40F9B" w:rsidRPr="00E40F9B" w:rsidRDefault="00D1411A" w:rsidP="00E27711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В IT-сфере патентная охрана применяется не всегда, но она может быть ключевой для стартапов, которые создают:</w:t>
      </w:r>
    </w:p>
    <w:p w:rsidR="00E40F9B" w:rsidRPr="00E40F9B" w:rsidRDefault="00481BF6" w:rsidP="00E27711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аппаратно-программные комплексы (устройства, сенсоры, терминалы, сканеры, системы контроля);</w:t>
      </w:r>
    </w:p>
    <w:p w:rsidR="00E40F9B" w:rsidRPr="00E40F9B" w:rsidRDefault="00481BF6" w:rsidP="00E27711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технические способы обработки сигналов/данных с измерительными эффектами;</w:t>
      </w:r>
    </w:p>
    <w:p w:rsidR="00E40F9B" w:rsidRPr="00E40F9B" w:rsidRDefault="00481BF6" w:rsidP="00E27711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методы, имеющие технический результат (например, улучшение работы сети, снижение задержки, управление энергопотреблением, криптографические протоколы в техническом применении);</w:t>
      </w:r>
    </w:p>
    <w:p w:rsidR="00E40F9B" w:rsidRPr="00E40F9B" w:rsidRDefault="00481BF6" w:rsidP="00E27711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промышленный дизайн устройств или, в некоторых правопорядках, графические интерфейсы (если охраняются как промышленные образцы).</w:t>
      </w:r>
    </w:p>
    <w:p w:rsidR="00E27711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Белорусское законодательство о патентах (на изобретения, полезные модели и промышленные образцы) устанавливает общие критерии охраноспособности и порядок получения патента. С практической точки зрения для IT-стартапа важны две группы вопросов: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что потенциально можно запатентовать;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когда патентование оправдано экономически.</w:t>
      </w:r>
    </w:p>
    <w:p w:rsidR="00E40F9B" w:rsidRPr="00E40F9B" w:rsidRDefault="00481BF6" w:rsidP="00E27711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Многие стартапы ошибочно считают, что «алгоритм» можно запатентовать напрямую. В реальности патентное право ориентировано на технический характер решения. Программный код как объект авторского права охраняется в любом случае, но патент может быть получен только на техническое решение, которое соответствует критериям патентоспособности (для изобретения — обычно новизна, изобретательский уровень, промышленная применимость). При этом абстрактные правила, методы и программы для ЭВМ «как таковые» обычно не признаются изобретениями. Практически это означает: если стартап хочет патент, нужно формулировать решение как технический способ/систему, где программные средства </w:t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обеспечивают технический результат.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Если стартап использует устройства (например, сканирующие устройства, устройства контроля, аппаратные модули), полезная модель может быть способом получить охрану быстрее и проще, поскольку критерии для полезной модели обычно мягче, чем для изобретения (как минимум в части «изобретательского уровня»). Но полезная модель обычно относится к устройствам, а не к «чистым» программным решениям.</w:t>
      </w:r>
      <w:r w:rsidR="006C3A48" w:rsidRPr="006C3A48">
        <w:t xml:space="preserve">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[13]</w:t>
      </w:r>
      <w:r w:rsidR="00E2771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Если стартап создает физическое устройство, важен дизайн корпуса, элементов управления и визуального решения. Промышленный образец защищает внешний вид изделия как результат художественно-конструкторской деятельности. В IT-сфере это актуально для гаджетов, терминалов самообслуживания, устройств учета, «умных» замков и т.п. Также в отдельных случаях может быть актуальна защита UI/UX через механизмы дизайна, если национальное право и практика допускают подобную охрану.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Патентная стратегия стартапа должна быть прагматичной: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если продукт легко копируется и патент дает барьер входа на рынок — патентование оправдано;</w:t>
      </w:r>
    </w:p>
    <w:p w:rsidR="00E40F9B" w:rsidRPr="00E40F9B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если ключевая ценность в скорости разработки и данных, а публикация патентной заявки раскроет технологию — выгоднее режим коммерческой тайны;</w:t>
      </w:r>
    </w:p>
    <w:p w:rsidR="006D3250" w:rsidRPr="006D3250" w:rsidRDefault="00481BF6" w:rsidP="00E40F9B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E40F9B" w:rsidRPr="00E40F9B">
        <w:rPr>
          <w:rFonts w:ascii="Times New Roman" w:hAnsi="Times New Roman" w:cs="Times New Roman"/>
          <w:bCs/>
          <w:sz w:val="28"/>
          <w:szCs w:val="28"/>
          <w:lang w:val="ru-BY"/>
        </w:rPr>
        <w:t>– если стартап ориентирован на экспорт — важно заранее определить страны и процедуры (PCT и т.п.) и соотнести бюджет.</w:t>
      </w:r>
    </w:p>
    <w:p w:rsidR="006D3250" w:rsidRPr="00E27711" w:rsidRDefault="006D3250" w:rsidP="00C9493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D3250" w:rsidRPr="00E40F9B" w:rsidRDefault="00C94934" w:rsidP="00C94934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C94934">
        <w:rPr>
          <w:rFonts w:ascii="Times New Roman" w:hAnsi="Times New Roman" w:cs="Times New Roman"/>
          <w:b/>
          <w:sz w:val="28"/>
          <w:szCs w:val="28"/>
          <w:lang w:val="ru-BY"/>
        </w:rPr>
        <w:t>2</w:t>
      </w:r>
      <w:r w:rsidRPr="00985702">
        <w:rPr>
          <w:rFonts w:ascii="Times New Roman" w:hAnsi="Times New Roman" w:cs="Times New Roman"/>
          <w:b/>
          <w:sz w:val="28"/>
          <w:szCs w:val="28"/>
        </w:rPr>
        <w:t xml:space="preserve">.3 </w:t>
      </w:r>
      <w:bookmarkStart w:id="14" w:name="OLE_LINK29"/>
      <w:bookmarkStart w:id="15" w:name="OLE_LINK30"/>
      <w:r w:rsidR="00E40F9B" w:rsidRPr="00E40F9B">
        <w:rPr>
          <w:rFonts w:ascii="Times New Roman" w:hAnsi="Times New Roman" w:cs="Times New Roman"/>
          <w:b/>
          <w:sz w:val="28"/>
          <w:szCs w:val="28"/>
        </w:rPr>
        <w:t>Средства индивидуализации: фирменное наименование, товарный знак, доменное имя</w:t>
      </w:r>
    </w:p>
    <w:bookmarkEnd w:id="14"/>
    <w:bookmarkEnd w:id="15"/>
    <w:p w:rsidR="006D3250" w:rsidRPr="006D3250" w:rsidRDefault="006D3250" w:rsidP="006D325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:rsidR="00AB7066" w:rsidRPr="00AB7066" w:rsidRDefault="00C94934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В цифровой экономике бренд — это актив. Для IT-стартапа средства индивидуализации обеспечивают: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узнаваемость продукта;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юридическую возможность запрещать использование сходных обозначений конкурентами;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возможность защиты от подделок и недобросовестного использования названия/логотипа;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основу для франчайзинга и лицензирования бренда.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Фирменное наименование — это наименование юридического лица. Оно фиксируется при госрегистрации. Однако само по себе фирменное наименование не всегда закрывает потребность в защите названия продукта. На практике стартапу нужен товарный знак.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Товарный знак (знак обслуживания) регистрируется в установленном порядке и дает исключительное право на обозначение в отношении конкретных классов товаров/услуг. Для IT-стартапа в большинстве случаев выбираются классы, связанные с программным обеспечением, IT-услугами, обработкой данных, обучением и т.п.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Критические моменты, которые нужно учитывать: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проверка обозначения на охраноспособность и конфликт с ранее зарегистрированными знаками (предварительный поиск — обязательный элемент управления риском);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правильный выбор классов и формулировок товаров/услуг, чтобы охрана реально покрывала бизнес;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стратегия «сейчас Беларусь — потом международно» или сразу международная регистрация через Мадридскую систему (если стартап планирует экспорт);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обеспечение использования знака (чтобы не возникли риски оспаривания по основаниям неиспользования, если такие механизмы применимы).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Доменное имя является ключевым элементом цифровой идентичности. В Беларуси порядок регистрации доменных имен в национальной доменной зоне (.BY и .БЕЛ) регулируется соответствующей инструкцией и правилами администратора доменной зоны. Домен не равен товарному знаку, но на практике доменные споры часто решаются через аргументацию прав на товарный знак и недобросовестность регистрации.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Рекомендация для модели стартапа: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зарегистрировать домен заранее (минимум .BY и основные международные домены для будущего);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зарегистрировать товарный знак на ключевых рынках;</w:t>
      </w:r>
    </w:p>
    <w:p w:rsid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ru-BY"/>
        </w:rPr>
        <w:t>– обеспечить единообразие бренда: домен, товарный знак, название продукта, фирменный стиль.</w:t>
      </w:r>
      <w:r w:rsidR="00AB7066" w:rsidRPr="00AB706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</w:p>
    <w:p w:rsidR="00AB7066" w:rsidRDefault="00AB706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ab/>
      </w:r>
      <w:r w:rsidR="00AB7066">
        <w:rPr>
          <w:rFonts w:ascii="Times New Roman" w:hAnsi="Times New Roman" w:cs="Times New Roman"/>
          <w:b/>
          <w:bCs/>
          <w:sz w:val="28"/>
          <w:szCs w:val="28"/>
          <w:lang w:val="ru-BY"/>
        </w:rPr>
        <w:t>2.4</w:t>
      </w:r>
      <w:r w:rsidR="00AB7066" w:rsidRPr="00AB7066">
        <w:t xml:space="preserve">  </w:t>
      </w:r>
      <w:r w:rsidR="00AB7066" w:rsidRPr="00AB7066">
        <w:rPr>
          <w:rFonts w:ascii="Times New Roman" w:hAnsi="Times New Roman" w:cs="Times New Roman"/>
          <w:b/>
          <w:bCs/>
          <w:sz w:val="28"/>
          <w:szCs w:val="28"/>
          <w:lang w:val="ru-BY"/>
        </w:rPr>
        <w:t>Коммерческая тайна и ноу-хау: «ядро» технологии и управленческий режим</w:t>
      </w:r>
      <w:r w:rsidR="00AB7066" w:rsidRPr="00AB7066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</w:p>
    <w:p w:rsidR="00B52D24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:rsidR="00AB706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Для большинства IT-стартапов ключевой конкурентный барьер состоит не только в коде (который при желании можно переписать), а в уникальных знаниях и данных: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правила обработки исключительных случаев;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модели риска и эвристики;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– структура и качество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датасетов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>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дорожная карта продукта;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клиентская база и условия договоров;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технические «скрипты» настройки и инфраструктуры;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метрики, аналитика, модели монетизации.</w:t>
      </w:r>
    </w:p>
    <w:p w:rsidR="00AB7066" w:rsidRPr="00481BF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Все это может быть защищено как коммерческая тайна и/или ноу-хау при условии соблюдения режима конфиденциальности. Закон Республики Беларусь «О коммерческой тайне» закрепляет правовые основы охраны коммерческой тайны, а гражданское законодательство признает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охраноспособность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соответствующих нематериальных благ при выполнении условий.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Ключевое правило: секретность не возникает автоматически. Компания должна принять разумные меры, чтобы информация действительно сохранялась в тайне. В модели стартапа это означает построение системы: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перечень сведений, составляющих коммерческую тайну (локальный акт);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маркировка документов/репозиториев/папок;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разграничение доступа (роль, проект);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учет носителей и выдачи доступов;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NDA и соглашения о конфиденциальности с работниками и подрядчиками;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меры кибербезопасности и журналирование доступа;</w:t>
      </w:r>
    </w:p>
    <w:p w:rsidR="00AB7066" w:rsidRPr="00481BF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процедуры увольнения/выхода из проекта (отзыв доступов, сдача носителей).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Особая ценность режима коммерческой тайны для IT-стартапа: он позволяет защищать то, что не защищается напрямую авторским или патентным правом (например, бизнес-логика, набор правил, метрики, база знаний), при условии, что информация не раскрыта публично.</w:t>
      </w:r>
    </w:p>
    <w:p w:rsidR="00AB7066" w:rsidRPr="00AB7066" w:rsidRDefault="00AB706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B7066" w:rsidRPr="00AB7066" w:rsidRDefault="00B52D24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/>
          <w:sz w:val="28"/>
          <w:szCs w:val="28"/>
        </w:rPr>
        <w:t>2.5. Открытое ПО, сторонние библиотеки и комплаенс лицензий</w:t>
      </w:r>
    </w:p>
    <w:p w:rsidR="00AB7066" w:rsidRPr="00AB7066" w:rsidRDefault="00AB706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Современная разработка практически всегда использует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source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: библиотеки, фреймворки, компоненты. Юридическая проблема: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source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— это не «ничье». Это лицензионные условия, нарушение которых может привести к:</w:t>
      </w:r>
    </w:p>
    <w:p w:rsidR="00AB7066" w:rsidRPr="00AB7066" w:rsidRDefault="00AB7066" w:rsidP="00481BF6">
      <w:pPr>
        <w:tabs>
          <w:tab w:val="left" w:pos="709"/>
        </w:tabs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7066">
        <w:rPr>
          <w:rFonts w:ascii="Times New Roman" w:hAnsi="Times New Roman" w:cs="Times New Roman"/>
          <w:bCs/>
          <w:sz w:val="28"/>
          <w:szCs w:val="28"/>
        </w:rPr>
        <w:t>– обязанности раскрыть исходный код (для «копилефт» лицензий при определенных условиях распространения);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обязанности сохранять уведомления об авторстве и лицензии;</w:t>
      </w:r>
    </w:p>
    <w:p w:rsidR="00AB7066" w:rsidRPr="00AB706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– прекращению лицензии (в ряде случаев автоматически) и, как следствие, нарушению авторских прав;</w:t>
      </w:r>
    </w:p>
    <w:p w:rsidR="00AB7066" w:rsidRPr="00481BF6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– инвестиционным рискам: инвесторы часто проверяют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source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compliance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, наличие SBOM и риск «GPL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contamination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>».</w:t>
      </w:r>
    </w:p>
    <w:p w:rsidR="00AB7066" w:rsidRPr="00E27711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Поэтому модель IT-стартапа должна включать минимальный «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source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compliance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>»:</w:t>
      </w:r>
      <w:r w:rsid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инвентаризация всех сторонних компонентов (реестр зависимостей)</w:t>
      </w:r>
      <w:r w:rsidR="00E27711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учет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лицензий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AB7066" w:rsidRPr="00481BF6">
        <w:rPr>
          <w:rFonts w:ascii="Times New Roman" w:hAnsi="Times New Roman" w:cs="Times New Roman"/>
          <w:bCs/>
          <w:sz w:val="28"/>
          <w:szCs w:val="28"/>
          <w:lang w:val="en-US"/>
        </w:rPr>
        <w:t>MIT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481BF6">
        <w:rPr>
          <w:rFonts w:ascii="Times New Roman" w:hAnsi="Times New Roman" w:cs="Times New Roman"/>
          <w:bCs/>
          <w:sz w:val="28"/>
          <w:szCs w:val="28"/>
          <w:lang w:val="en-US"/>
        </w:rPr>
        <w:t>Apache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2.0, </w:t>
      </w:r>
      <w:r w:rsidR="00AB7066" w:rsidRPr="00481BF6">
        <w:rPr>
          <w:rFonts w:ascii="Times New Roman" w:hAnsi="Times New Roman" w:cs="Times New Roman"/>
          <w:bCs/>
          <w:sz w:val="28"/>
          <w:szCs w:val="28"/>
          <w:lang w:val="en-US"/>
        </w:rPr>
        <w:t>BSD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481BF6">
        <w:rPr>
          <w:rFonts w:ascii="Times New Roman" w:hAnsi="Times New Roman" w:cs="Times New Roman"/>
          <w:bCs/>
          <w:sz w:val="28"/>
          <w:szCs w:val="28"/>
          <w:lang w:val="en-US"/>
        </w:rPr>
        <w:t>GPL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481BF6">
        <w:rPr>
          <w:rFonts w:ascii="Times New Roman" w:hAnsi="Times New Roman" w:cs="Times New Roman"/>
          <w:bCs/>
          <w:sz w:val="28"/>
          <w:szCs w:val="28"/>
          <w:lang w:val="en-US"/>
        </w:rPr>
        <w:t>LGPL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481BF6">
        <w:rPr>
          <w:rFonts w:ascii="Times New Roman" w:hAnsi="Times New Roman" w:cs="Times New Roman"/>
          <w:bCs/>
          <w:sz w:val="28"/>
          <w:szCs w:val="28"/>
          <w:lang w:val="en-US"/>
        </w:rPr>
        <w:t>AGPL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и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др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>.)</w:t>
      </w:r>
      <w:r w:rsidR="00E27711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E27711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политика использования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source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 xml:space="preserve"> (что можно, что нельзя без юриста)</w:t>
      </w:r>
      <w:r w:rsidR="00E27711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процедуры проверки при релизе и при включении нового компонента</w:t>
      </w:r>
      <w:r w:rsidR="00E27711" w:rsidRPr="00E27711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хранение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en-US"/>
        </w:rPr>
        <w:t>license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en-US"/>
        </w:rPr>
        <w:t>notices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и</w:t>
      </w:r>
      <w:r w:rsidR="00AB7066" w:rsidRPr="00E277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B7066" w:rsidRPr="00AB7066">
        <w:rPr>
          <w:rFonts w:ascii="Times New Roman" w:hAnsi="Times New Roman" w:cs="Times New Roman"/>
          <w:bCs/>
          <w:sz w:val="28"/>
          <w:szCs w:val="28"/>
          <w:lang w:val="en-US"/>
        </w:rPr>
        <w:t>attribution</w:t>
      </w:r>
      <w:r w:rsidR="00E27711" w:rsidRPr="009C441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контроль использования шрифтов, иконок, UI-</w:t>
      </w:r>
      <w:proofErr w:type="spellStart"/>
      <w:r w:rsidR="00AB7066" w:rsidRPr="00AB7066">
        <w:rPr>
          <w:rFonts w:ascii="Times New Roman" w:hAnsi="Times New Roman" w:cs="Times New Roman"/>
          <w:bCs/>
          <w:sz w:val="28"/>
          <w:szCs w:val="28"/>
        </w:rPr>
        <w:t>kit</w:t>
      </w:r>
      <w:proofErr w:type="spellEnd"/>
      <w:r w:rsidR="00AB7066" w:rsidRPr="00AB7066">
        <w:rPr>
          <w:rFonts w:ascii="Times New Roman" w:hAnsi="Times New Roman" w:cs="Times New Roman"/>
          <w:bCs/>
          <w:sz w:val="28"/>
          <w:szCs w:val="28"/>
        </w:rPr>
        <w:t>, стоковых материалов.</w:t>
      </w:r>
    </w:p>
    <w:p w:rsidR="00B52D24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27711">
        <w:rPr>
          <w:rFonts w:ascii="Times New Roman" w:hAnsi="Times New Roman" w:cs="Times New Roman"/>
          <w:bCs/>
          <w:sz w:val="28"/>
          <w:szCs w:val="28"/>
        </w:rPr>
        <w:tab/>
      </w:r>
      <w:r w:rsidR="00AB7066" w:rsidRPr="00AB7066">
        <w:rPr>
          <w:rFonts w:ascii="Times New Roman" w:hAnsi="Times New Roman" w:cs="Times New Roman"/>
          <w:bCs/>
          <w:sz w:val="28"/>
          <w:szCs w:val="28"/>
        </w:rPr>
        <w:t>С юридической точки зрения это напрямую связано с защитой интеллектуальной собственности стартапа: невозможно «защищать свой продукт», если часть продукта собрана с нарушением прав третьих лиц — это ослабляет позицию в спорах и подрывает устойчивость бизнеса.</w:t>
      </w:r>
      <w:r w:rsidR="00AB7066" w:rsidRPr="00AB70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7066"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:rsidR="00481BF6" w:rsidRPr="00B52D24" w:rsidRDefault="00B52D24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81BF6">
        <w:rPr>
          <w:rFonts w:ascii="Times New Roman" w:hAnsi="Times New Roman" w:cs="Times New Roman"/>
          <w:b/>
          <w:sz w:val="28"/>
          <w:szCs w:val="28"/>
        </w:rPr>
        <w:t>3</w:t>
      </w:r>
      <w:r w:rsidR="00481BF6" w:rsidRPr="00481BF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AB7066" w:rsidRPr="00AB7066">
        <w:rPr>
          <w:rFonts w:ascii="Times New Roman" w:hAnsi="Times New Roman" w:cs="Times New Roman"/>
          <w:b/>
          <w:sz w:val="28"/>
          <w:szCs w:val="28"/>
        </w:rPr>
        <w:t>Способы защиты интеллектуальной собственности IT-стартапа: стратегия, инструменты, порядок действий</w:t>
      </w:r>
    </w:p>
    <w:p w:rsidR="00481BF6" w:rsidRPr="00B52D24" w:rsidRDefault="00481BF6" w:rsidP="00AB706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1BF6" w:rsidRPr="00481BF6" w:rsidRDefault="009C4415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/>
          <w:sz w:val="28"/>
          <w:szCs w:val="28"/>
        </w:rPr>
        <w:t>3.1. Первичное закрепление прав: служебные результаты, отчуждение, лицензирование</w:t>
      </w:r>
    </w:p>
    <w:p w:rsidR="00481BF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1BF6" w:rsidRPr="009C4415" w:rsidRDefault="00B52D24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4415"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Защита интеллектуальной собственности начинается не с подачи заявки в патентное ведомство, а с правильного закрепления прав внутри стартапа. В юридически корректной модели стартапа должны быть решены три вопроса:</w:t>
      </w:r>
      <w:r w:rsidRPr="00B52D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кто является автором/создателем результата;</w:t>
      </w:r>
      <w:r w:rsidRPr="00B52D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кто является правообладателем исключительных прав;</w:t>
      </w:r>
      <w:r w:rsidRPr="00B52D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на каком документе основан переход прав.</w:t>
      </w:r>
      <w:r w:rsidR="009C4415" w:rsidRP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C4415"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Если разработчик работает по трудовому договору, результат интеллектуальной деятельности может быть создан как «служебный» (в рамках трудовой функции). Чтобы исключить спор, работодателю нужно: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четко определить служебные обязанности (в трудовом договоре, должностной инструкции, KPI);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фиксировать задания (служебные задания, трекер задач, постановки);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– оформлять передачу результатов (внутренние акты, </w:t>
      </w:r>
      <w:proofErr w:type="spellStart"/>
      <w:r w:rsidR="00481BF6" w:rsidRPr="00481BF6">
        <w:rPr>
          <w:rFonts w:ascii="Times New Roman" w:hAnsi="Times New Roman" w:cs="Times New Roman"/>
          <w:bCs/>
          <w:sz w:val="28"/>
          <w:szCs w:val="28"/>
        </w:rPr>
        <w:t>релизные</w:t>
      </w:r>
      <w:proofErr w:type="spellEnd"/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 документы);</w:t>
      </w:r>
    </w:p>
    <w:p w:rsidR="00481BF6" w:rsidRPr="00B52D24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соблюдать нормы о вознаграждении, если это предусмотрено для конкретного вида объекта.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Результаты по договорам с подрядчиками.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Если результат создается подрядчиком/исполнителем по гражданско-правовому договору, типовой безопасный подход: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договор подряда/оказания услуг + отдельный раздел «Интеллектуальная собственность»;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указание, что исключительные права на результат переходят к заказчику с момента оплаты и подписания акта (или с момента создания);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передача исходников и исключительных прав на производные материалы;</w:t>
      </w:r>
    </w:p>
    <w:p w:rsidR="00481BF6" w:rsidRPr="009C4415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гарантии и ответственность за нарушение прав третьих лиц.</w:t>
      </w:r>
    </w:p>
    <w:p w:rsidR="00481BF6" w:rsidRPr="00481BF6" w:rsidRDefault="009C4415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Отчуждение исключительного права и лицензии.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В бизнес-обороте есть два базовых механизма: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отчуждение исключительного права (передача права полностью, «продажа» прав);</w:t>
      </w:r>
    </w:p>
    <w:p w:rsidR="00481BF6" w:rsidRPr="009C4415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лицензионный договор (разрешение на использование на определенных условиях; лицензия может быть исключительной или неисключительной).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Стартапу обычно выгодно аккумулировать права у компании через отчуждение (если объект критичен для ядра продукта) или через исключительную лицензию (если есть причины оставить право у автора, но дать компании монопольное использование). Но при промышленной собственности (патенты, товарные знаки) сделки и лицензии могут требовать регистрации (в установленном порядке), иначе для третьих лиц последствия могут быть ограничены.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Р</w:t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егистрация договоров по объектам промышленной собственности.</w:t>
      </w:r>
    </w:p>
    <w:p w:rsidR="00B52D24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1BF6">
        <w:rPr>
          <w:rFonts w:ascii="Times New Roman" w:hAnsi="Times New Roman" w:cs="Times New Roman"/>
          <w:bCs/>
          <w:sz w:val="28"/>
          <w:szCs w:val="28"/>
        </w:rPr>
        <w:t>Для патентов и товарных знаков в Беларуси установлен порядок регистрации лицензионных договоров, договоров уступки прав и иных договоров в уполномоченном органе (НЦИС) в соответствии с законодательством и подзаконными актами. Это важный элемент юридической корректности: если стартап, например, передает лицензию на товарный знак партнеру, но не регистрирует договор, возникают риски оспаривания, а также проблемы в доказательстве прав в споре.</w:t>
      </w:r>
    </w:p>
    <w:p w:rsidR="00B52D24" w:rsidRDefault="00B52D24" w:rsidP="00B52D24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81BF6" w:rsidRDefault="00481BF6" w:rsidP="00B52D24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1BF6">
        <w:rPr>
          <w:rFonts w:ascii="Times New Roman" w:hAnsi="Times New Roman" w:cs="Times New Roman"/>
          <w:b/>
          <w:sz w:val="28"/>
          <w:szCs w:val="28"/>
        </w:rPr>
        <w:t>3.2. Регистрация и фиксация прав: НЦИС, международные процедуры, доказательства создания</w:t>
      </w:r>
    </w:p>
    <w:p w:rsidR="00481BF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1BF6" w:rsidRPr="00481BF6" w:rsidRDefault="00B52D24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Вторая линия защиты — формальная регистрация (там, где она предусмотрена) и доказательственная фиксация.</w:t>
      </w:r>
      <w:r w:rsid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В Беларуси функции в сфере регистрации и учета объектов промышленной собственности и отдельных объектов авторского права реализуются через Национальный центр интеллектуальной собственности (НЦИС). Стартапу важно использовать официальные процедуры и сервисы НЦИС: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заявки на товарные знаки;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заявки на патенты;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добровольная регистрация программ для ЭВМ и баз данных (как инструмент доказательства);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регистрация договоров по объектам промышленной собственности (лицензии, уступки).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[16][17]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Если стартап нацелен на экспорт, защита только в Беларуси недостаточна. Логика международной защиты: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 авторскому праву: охрана обеспечивается в государствах-участниках международных конвенций (например, Бернской конвенции) в силу принципа национального режима; однако доказательства авторства и даты создания все равно нужны;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 товарным знакам: возможно международное расширение охраны через Мадридскую систему (международная регистрация с указанием стран);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 патентам: международная процедура PCT (в международном измерении) для отсрочки выбора стран и проведения международного поиска.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Доказательства создания кода и материалов.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Даже при отсутствии обязательной регистрации стартап должен иметь доказательства: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репозитории с историей коммитов (</w:t>
      </w:r>
      <w:proofErr w:type="spellStart"/>
      <w:r w:rsidR="00481BF6" w:rsidRPr="00481BF6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="00481BF6" w:rsidRPr="00481BF6">
        <w:rPr>
          <w:rFonts w:ascii="Times New Roman" w:hAnsi="Times New Roman" w:cs="Times New Roman"/>
          <w:bCs/>
          <w:sz w:val="28"/>
          <w:szCs w:val="28"/>
        </w:rPr>
        <w:t>) и управлением доступом;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внутренние системы трекинга задач (</w:t>
      </w:r>
      <w:proofErr w:type="spellStart"/>
      <w:r w:rsidR="00481BF6" w:rsidRPr="00481BF6">
        <w:rPr>
          <w:rFonts w:ascii="Times New Roman" w:hAnsi="Times New Roman" w:cs="Times New Roman"/>
          <w:bCs/>
          <w:sz w:val="28"/>
          <w:szCs w:val="28"/>
        </w:rPr>
        <w:t>Jira</w:t>
      </w:r>
      <w:proofErr w:type="spellEnd"/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481BF6" w:rsidRPr="00481BF6">
        <w:rPr>
          <w:rFonts w:ascii="Times New Roman" w:hAnsi="Times New Roman" w:cs="Times New Roman"/>
          <w:bCs/>
          <w:sz w:val="28"/>
          <w:szCs w:val="28"/>
        </w:rPr>
        <w:t>YouTrack</w:t>
      </w:r>
      <w:proofErr w:type="spellEnd"/>
      <w:r w:rsidR="00481BF6" w:rsidRPr="00481BF6">
        <w:rPr>
          <w:rFonts w:ascii="Times New Roman" w:hAnsi="Times New Roman" w:cs="Times New Roman"/>
          <w:bCs/>
          <w:sz w:val="28"/>
          <w:szCs w:val="28"/>
        </w:rPr>
        <w:t>) с фиксацией исполнителя и даты;</w:t>
      </w:r>
    </w:p>
    <w:p w:rsidR="00481BF6" w:rsidRPr="00481BF6" w:rsidRDefault="00481BF6" w:rsidP="00B52D24">
      <w:pPr>
        <w:tabs>
          <w:tab w:val="left" w:pos="709"/>
        </w:tabs>
        <w:spacing w:after="0" w:line="276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1BF6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spellStart"/>
      <w:r w:rsidRPr="00481BF6">
        <w:rPr>
          <w:rFonts w:ascii="Times New Roman" w:hAnsi="Times New Roman" w:cs="Times New Roman"/>
          <w:bCs/>
          <w:sz w:val="28"/>
          <w:szCs w:val="28"/>
        </w:rPr>
        <w:t>релизные</w:t>
      </w:r>
      <w:proofErr w:type="spellEnd"/>
      <w:r w:rsidRPr="00481BF6">
        <w:rPr>
          <w:rFonts w:ascii="Times New Roman" w:hAnsi="Times New Roman" w:cs="Times New Roman"/>
          <w:bCs/>
          <w:sz w:val="28"/>
          <w:szCs w:val="28"/>
        </w:rPr>
        <w:t xml:space="preserve"> заметки и сборки;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акты приемки работ от подрядчиков;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депонирование (как дополнительный слой) и/или иные юридически значимые отметки времени (в том числе нотариальное удостоверение даты существования отдельных материалов — по мере необходимости).</w:t>
      </w:r>
    </w:p>
    <w:p w:rsidR="00B52D24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9C4415">
        <w:rPr>
          <w:rFonts w:ascii="Times New Roman" w:hAnsi="Times New Roman" w:cs="Times New Roman"/>
          <w:bCs/>
          <w:sz w:val="28"/>
          <w:szCs w:val="28"/>
        </w:rPr>
        <w:t>Юридически</w:t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 сильная позиция в споре почти всегда строится на совокупности доказательств, а не на одном документе</w:t>
      </w:r>
      <w:r w:rsidR="00481BF6" w:rsidRPr="00481BF6">
        <w:rPr>
          <w:rFonts w:ascii="Times New Roman" w:hAnsi="Times New Roman" w:cs="Times New Roman"/>
          <w:b/>
          <w:sz w:val="28"/>
          <w:szCs w:val="28"/>
        </w:rPr>
        <w:t>.</w:t>
      </w:r>
    </w:p>
    <w:p w:rsidR="009C4415" w:rsidRDefault="009C4415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C4415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9C4415" w:rsidRDefault="009C4415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81BF6" w:rsidRPr="00481BF6" w:rsidRDefault="009C4415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ab/>
      </w:r>
      <w:r w:rsidR="00481BF6" w:rsidRPr="00481BF6">
        <w:rPr>
          <w:rFonts w:ascii="Times New Roman" w:hAnsi="Times New Roman" w:cs="Times New Roman"/>
          <w:b/>
          <w:sz w:val="28"/>
          <w:szCs w:val="28"/>
        </w:rPr>
        <w:t>3.3. Организационно-технические меры: NDA, контроль доступа, режимы разработки и хранения кода</w:t>
      </w:r>
    </w:p>
    <w:p w:rsidR="00481BF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Третья линия защиты — организационные и технические меры. Они особенно важны для коммерческой тайны и ноу-хау, а также для защиты исходного кода.</w:t>
      </w:r>
    </w:p>
    <w:p w:rsidR="00481BF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1BF6">
        <w:rPr>
          <w:rFonts w:ascii="Times New Roman" w:hAnsi="Times New Roman" w:cs="Times New Roman"/>
          <w:bCs/>
          <w:sz w:val="28"/>
          <w:szCs w:val="28"/>
        </w:rPr>
        <w:t>Минимальный «контур защиты» в модели IT-стартапа:</w:t>
      </w:r>
    </w:p>
    <w:p w:rsidR="00B52D24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Конфиденциальность: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NDA со всеми лицами, имеющими доступ к продукту (работники, подрядчики, консультанты);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отдельные условия о неразглашении в трудовых договорах и ГПД;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обязательство не использовать информацию стартапа вне проекта.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Режим коммерческой тайны: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локальный акт о коммерческой тайне;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перечень сведений;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порядок доступа и ответственность.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Управление доступом: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корпоративные учетные записи (не личные);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двухфакторная аутентификация;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разграничение прав на репозитории и базы данных;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журналирование.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Кибербезопасность: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резервные копии;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контроль утечек (DLP по мере необходимости);</w:t>
      </w:r>
    </w:p>
    <w:p w:rsidR="00B52D24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политики работы с устройствами.</w:t>
      </w:r>
    </w:p>
    <w:p w:rsidR="00B52D24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Процедуры увольнения/выхода: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чек-лист отключения доступов;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возврат носителей;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подтверждение уничтожения копий (если применимо).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Юридическая ценность этих мер в том, что они: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подтверждают, что стартап предпринимал меры по охране тайны (важно для квалификации информации как коммерческой тайны);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уменьшают риск утечек и конфликтов;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повышают шансы на успешное взыскание убытков и применение мер ответственности.</w:t>
      </w:r>
    </w:p>
    <w:p w:rsidR="00481BF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C4415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481BF6" w:rsidRPr="00481BF6" w:rsidRDefault="009C4415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ab/>
      </w:r>
      <w:r w:rsidR="00481BF6" w:rsidRPr="00481BF6">
        <w:rPr>
          <w:rFonts w:ascii="Times New Roman" w:hAnsi="Times New Roman" w:cs="Times New Roman"/>
          <w:b/>
          <w:sz w:val="28"/>
          <w:szCs w:val="28"/>
        </w:rPr>
        <w:t>3.4. Реагирование на нарушения: претензионный порядок, суд, административные меры, таможенная защита</w:t>
      </w:r>
    </w:p>
    <w:p w:rsidR="00481BF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81BF6" w:rsidRPr="00481BF6" w:rsidRDefault="00B52D24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Защита интеллектуальной собственности — это не только регистрация, но и способность пресекать нарушения.</w:t>
      </w:r>
      <w:r w:rsid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Модель стартапа должна предусматривать, что при обнаружении нарушения: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фиксируются доказательства (скриншоты, логи, копии сайтов, контрольные закупки при необходимости);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проводится юридическая квалификация (что нарушено: авторское право, товарный знак, коммерческая тайна, недобросовестная конкуренция);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направляется претензия с требованиями прекратить нарушение, удалить контент, выплатить компенсацию/возместить убытки (в зависимости от выбранной стратегии).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Основной механизм </w:t>
      </w:r>
      <w:r w:rsidR="009C4415">
        <w:rPr>
          <w:rFonts w:ascii="Times New Roman" w:hAnsi="Times New Roman" w:cs="Times New Roman"/>
          <w:bCs/>
          <w:sz w:val="28"/>
          <w:szCs w:val="28"/>
        </w:rPr>
        <w:t xml:space="preserve">судебной защиты </w:t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— обращение в суд с требованиями о: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пресечении нарушения (запрет использования);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взыскании убытков (или компенсации, если предусмотрена);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изъятии и уничтожении контрафактных экземпляров;</w:t>
      </w:r>
    </w:p>
    <w:p w:rsidR="00481BF6" w:rsidRPr="00481BF6" w:rsidRDefault="00B52D24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публикации решения (в ряде случаев).</w:t>
      </w:r>
      <w:r w:rsid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В зависимости от состава и тяжести нарушения законодательство может предусматривать административные меры и даже уголовную ответственность (например, в случаях систематического пиратства). Для контрольной работы достаточно подчеркнуть, что стартап должен оценивать целесообразность обращения в правоохранительные органы и использовать этот канал при существенном ущербе.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Таможенная защита (важно для защиты бренда и борьбы с контрафактом).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Для стартапа, который продает товары с маркировкой (включая, например, устройства, терминалы, носители, </w:t>
      </w:r>
      <w:proofErr w:type="spellStart"/>
      <w:r w:rsidR="00481BF6" w:rsidRPr="00481BF6">
        <w:rPr>
          <w:rFonts w:ascii="Times New Roman" w:hAnsi="Times New Roman" w:cs="Times New Roman"/>
          <w:bCs/>
          <w:sz w:val="28"/>
          <w:szCs w:val="28"/>
        </w:rPr>
        <w:t>мерч</w:t>
      </w:r>
      <w:proofErr w:type="spellEnd"/>
      <w:r w:rsidR="00481BF6" w:rsidRPr="00481BF6">
        <w:rPr>
          <w:rFonts w:ascii="Times New Roman" w:hAnsi="Times New Roman" w:cs="Times New Roman"/>
          <w:bCs/>
          <w:sz w:val="28"/>
          <w:szCs w:val="28"/>
        </w:rPr>
        <w:t>, упаковку), существует риск ввоза контрафактной продукции с незаконным использованием товарного знака. В рамках ЕАЭС таможенные органы принимают меры по защите прав на объекты интеллектуальной собственности при перемещении товаров через таможенную границу и помещении товаров под таможенные процедуры, что реализуется через механизмы таможенных реестров: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национальный таможенный реестр объектов интеллектуальной собственности;</w:t>
      </w:r>
    </w:p>
    <w:p w:rsidR="00481BF6" w:rsidRPr="006C3A48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– единый таможенный реестр объектов интеллектуальной собственности государств — членов ЕАЭС.</w:t>
      </w:r>
      <w:r w:rsidR="006C3A48" w:rsidRPr="006C3A48">
        <w:t xml:space="preserve">  </w:t>
      </w:r>
      <w:r w:rsidR="006C3A48" w:rsidRPr="006C3A48">
        <w:rPr>
          <w:rFonts w:ascii="Times New Roman" w:hAnsi="Times New Roman" w:cs="Times New Roman"/>
          <w:bCs/>
          <w:sz w:val="28"/>
          <w:szCs w:val="28"/>
        </w:rPr>
        <w:t>[22]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С практической точки зрения, если IT-стартап зарегистрировал товарный знак, он может подать заявление о включении товарного знака в таможенный реестр. После включения таможенные органы при выявлении подозрительных товаров могут применять меры, предусмотренные таможенным законодательством ЕАЭС, включая приостановление выпуска и информирование правообладателя.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Для руководителя/владельца IP-прав это является сильным инструментом превентивной защиты, особенно если товар/устройство поставляется через внешнюю торговлю, а контрафакт чаще всего перемещается через границу.</w:t>
      </w:r>
    </w:p>
    <w:p w:rsidR="00481BF6" w:rsidRPr="00481BF6" w:rsidRDefault="00B52D24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Cs/>
          <w:sz w:val="28"/>
          <w:szCs w:val="28"/>
        </w:rPr>
        <w:t>Важно: таможенная защита имеет смысл именно для средств индивидуализации (товарных знаков) и иных объектов, используемых в товарах. Для «чистого софта» как услуги (</w:t>
      </w:r>
      <w:proofErr w:type="spellStart"/>
      <w:r w:rsidR="00481BF6" w:rsidRPr="00481BF6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) таможенная защита обычно не является ключевым инструментом, но для </w:t>
      </w:r>
      <w:proofErr w:type="spellStart"/>
      <w:r w:rsidR="00481BF6" w:rsidRPr="00481BF6">
        <w:rPr>
          <w:rFonts w:ascii="Times New Roman" w:hAnsi="Times New Roman" w:cs="Times New Roman"/>
          <w:bCs/>
          <w:sz w:val="28"/>
          <w:szCs w:val="28"/>
        </w:rPr>
        <w:t>hardware+software</w:t>
      </w:r>
      <w:proofErr w:type="spellEnd"/>
      <w:r w:rsidR="00481BF6" w:rsidRPr="00481BF6">
        <w:rPr>
          <w:rFonts w:ascii="Times New Roman" w:hAnsi="Times New Roman" w:cs="Times New Roman"/>
          <w:bCs/>
          <w:sz w:val="28"/>
          <w:szCs w:val="28"/>
        </w:rPr>
        <w:t xml:space="preserve"> проектов и бренда — может быть стратегически значимой.</w:t>
      </w:r>
    </w:p>
    <w:p w:rsidR="00481BF6" w:rsidRPr="00481BF6" w:rsidRDefault="00481BF6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1BF6" w:rsidRDefault="001C59D9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481BF6" w:rsidRPr="00481BF6">
        <w:rPr>
          <w:rFonts w:ascii="Times New Roman" w:hAnsi="Times New Roman" w:cs="Times New Roman"/>
          <w:b/>
          <w:sz w:val="28"/>
          <w:szCs w:val="28"/>
        </w:rPr>
        <w:t>3.5. Комплексная IP-дорожная карта для стартапа (по стадиям развития)</w:t>
      </w:r>
    </w:p>
    <w:p w:rsidR="001C59D9" w:rsidRPr="00481BF6" w:rsidRDefault="001C59D9" w:rsidP="00481BF6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C4415" w:rsidRPr="009C4415" w:rsidRDefault="00B52D24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9C4415" w:rsidRPr="009C4415">
        <w:rPr>
          <w:rFonts w:ascii="Times New Roman" w:hAnsi="Times New Roman" w:cs="Times New Roman"/>
          <w:bCs/>
          <w:sz w:val="28"/>
          <w:szCs w:val="28"/>
        </w:rPr>
        <w:t>Чтобы модель стартапа была не теоретической, а прикладной, целесообразно оформить IP-стратегию как дорожную карту, где на каждой стадии развития заранее определены юридические действия, обеспечивающие непрерывность «цепочки прав» и возможность последующей коммерциализации (лицензирование, продажа долей, привлечение инвестора) без правовых провалов.[1][5]</w:t>
      </w:r>
    </w:p>
    <w:p w:rsidR="009C4415" w:rsidRPr="009C4415" w:rsidRDefault="009C4415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9C4415">
        <w:rPr>
          <w:rFonts w:ascii="Times New Roman" w:hAnsi="Times New Roman" w:cs="Times New Roman"/>
          <w:bCs/>
          <w:sz w:val="28"/>
          <w:szCs w:val="28"/>
        </w:rPr>
        <w:t xml:space="preserve">На этапе A (идея и прототип,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pre-seed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) ключевая задача — не потерять права и не допустить «разрыва цепочки прав» между авторами и будущим правообладателем. На практике это означает, что до публичного анонса целесообразно зарегистрировать доменные имена и зарезервировать обозначение, чтобы исключить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киберсквоттинг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и конфликт цифровой идентичности с третьими лицами.[20][21] Параллельно между основателями и первыми подрядчиками следует закрепить конфиденциальность через NDA и аналогичные условия, поскольку именно на этой стадии обычно формируется «ядро» технологии, которое наиболее уязвимо для утечек и последующего спора о принадлежности результатов.[14][1] Одновременно стоит оформить минимальный пакет внутренних договоренностей (план создания компании и </w:t>
      </w:r>
      <w:r w:rsidRPr="009C441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базовые договоренности между основателями о том, кто что делает и кому в итоге принадлежит результат), а саму разработку вести в корпоративном репозитории с разграничением доступов и журналированием, чтобы в дальнейшем можно было подтвердить авторство, дату создания и объем вклада каждого участника.[1][11] Если же разработка началась до регистрации юридического лица, необходимо заранее подготовить юридический механизм передачи прав на результаты интеллектуальной деятельности в пользу будущей компании (или временно — в пользу одного из учредителей с последующим отчуждением/передачей прав компании), поскольку именно отсутствие оформленного перехода прав чаще всего становится препятствием при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due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diligence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и при корпоративных конфликтах.[1][5]</w:t>
      </w:r>
    </w:p>
    <w:p w:rsidR="009C4415" w:rsidRPr="009C4415" w:rsidRDefault="009C4415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9C4415">
        <w:rPr>
          <w:rFonts w:ascii="Times New Roman" w:hAnsi="Times New Roman" w:cs="Times New Roman"/>
          <w:bCs/>
          <w:sz w:val="28"/>
          <w:szCs w:val="28"/>
        </w:rPr>
        <w:t xml:space="preserve">На этапе B (регистрация компании и MVP,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) цель состоит в том, чтобы собрать права в юридическом лице и подготовить основу для масштабирования. Это достигается через государственную регистрацию ООО и выстраивание договорной модели с командой: трудовые договоры или гражданско-правовые договоры должны прямо закреплять принадлежность (или переход) исключительных прав компании, а также обязанность передавать исходные материалы и результаты работ.[6][5][4][1] Параллельно оформляются локальные акты, задающие режим коммерческой тайны и организационные меры защиты (политика безопасности, порядок доступа к коду и данным, регламент передачи результатов и отключения доступов при прекращении сотрудничества), поскольку правовой режим коммерческой тайны требует фактического принятия разумных мер по сохранению конфиденциальности.[14] На этой же стадии рекомендуется подать заявку на товарный знак, чтобы бренд продукта получил правовую охрану в установленном порядке и мог быть защищен от недобросовестного использования, включая последующие меры на границе при наличии материальных товаров с маркировкой.[12] Дополнительно, по мере готовности стабильной версии MVP, уместно рассмотреть добровольную регистрацию/депонирование программы для ЭВМ и (при наличии) базы данных как доказательственный инструмент, позволяющий зафиксировать существование объекта и заявленного правообладателя на определенную дату.[16][17][18] Наконец, на стадии MVP желательно провести первичную проверку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open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source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compliance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(минимальный реестр зависимостей и лицензий), потому что нарушение условий лицензий третьих лиц способно создать юридические риски, которые инвесторы обычно выявляют на раннем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due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diligence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>.[11][1]</w:t>
      </w:r>
    </w:p>
    <w:p w:rsidR="009C4415" w:rsidRPr="009C4415" w:rsidRDefault="009C4415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r w:rsidRPr="009C4415">
        <w:rPr>
          <w:rFonts w:ascii="Times New Roman" w:hAnsi="Times New Roman" w:cs="Times New Roman"/>
          <w:bCs/>
          <w:sz w:val="28"/>
          <w:szCs w:val="28"/>
        </w:rPr>
        <w:t xml:space="preserve">На этапе C (рост продаж и партнерств, Series A) основная цель — закрыть юридические риски, подготовиться к проверке инвестора и обеспечить выход на внешние рынки. Для этого проводится внутренний аудит IP (IP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due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diligence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): проверяется наличие подписанных договоров и актов с каждым разработчиком/подрядчиком, корректность перехода прав, отсутствие «висящих» прав у физических лиц, а также то, кому принадлежат домены и ключевые аккаунты инфраструктуры, поскольку владение ими напрямую влияет на управляемость продукта и доказуемость прав.[1][5][20][21] Одновременно, если стартап планирует международные продажи, целесообразно расширять защиту бренда на ключевые рынки через международные механизмы, чтобы исключить ситуацию, когда в нужной стране знак окажется зарегистрирован третьим лицом.[12] На этой стадии также принимается решение о патентовании, если в продукте реально присутствуют патентуемые технические решения: проводится предварительная оценка новизны, целесообразности раскрытия технологии и выбирается процедура подачи заявки (национальная и/или международная), исходя из того, дает ли патент коммерческий барьер или экономически выгоднее удерживать технологию в режиме ноу-хау.[13][14] Параллельно усиливается режим коммерческой тайны: проводятся инструктажи, уточняется перечень секретных сведений, ужесточается контроль доступа, а при необходимости внедряются дополнительные меры защиты, поскольку при росте команды и числа подрядчиков риск утечек возрастает.[14] В дополнение к этому выстраивается мониторинг нарушений бренда и контента (домены-двойники, копирование материалов, незаконное использование знака), чтобы быстро фиксировать нарушения и реагировать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претензионно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>.</w:t>
      </w:r>
    </w:p>
    <w:p w:rsidR="00C94934" w:rsidRDefault="009C4415" w:rsidP="009C4415">
      <w:pPr>
        <w:tabs>
          <w:tab w:val="left" w:pos="709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9C4415">
        <w:rPr>
          <w:rFonts w:ascii="Times New Roman" w:hAnsi="Times New Roman" w:cs="Times New Roman"/>
          <w:bCs/>
          <w:sz w:val="28"/>
          <w:szCs w:val="28"/>
        </w:rPr>
        <w:t xml:space="preserve">На этапе D (масштабирование, Series B и далее) задача состоит в системной защите прав и применении более «силовых» инструментов, когда бренд и продукты становятся объектом повышенного интереса недобросовестных участников рынка. Если стартап продает товары с маркировкой или поставляет </w:t>
      </w:r>
      <w:proofErr w:type="spellStart"/>
      <w:r w:rsidRPr="009C4415">
        <w:rPr>
          <w:rFonts w:ascii="Times New Roman" w:hAnsi="Times New Roman" w:cs="Times New Roman"/>
          <w:bCs/>
          <w:sz w:val="28"/>
          <w:szCs w:val="28"/>
        </w:rPr>
        <w:t>оборудование</w:t>
      </w:r>
      <w:r>
        <w:rPr>
          <w:rFonts w:ascii="Times New Roman" w:hAnsi="Times New Roman" w:cs="Times New Roman"/>
          <w:bCs/>
          <w:sz w:val="28"/>
          <w:szCs w:val="28"/>
        </w:rPr>
        <w:t>б</w:t>
      </w:r>
      <w:proofErr w:type="spellEnd"/>
      <w:r w:rsidRPr="009C441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9C4415">
        <w:rPr>
          <w:rFonts w:ascii="Times New Roman" w:hAnsi="Times New Roman" w:cs="Times New Roman"/>
          <w:bCs/>
          <w:sz w:val="28"/>
          <w:szCs w:val="28"/>
        </w:rPr>
        <w:t>рационально рассмотреть включение товарного знака в национальный таможенный реестр и/или единый реестр ЕАЭС, поскольку такие инструменты позволяют таможенным органам применять меры по защите прав при перемещении товаров и тем самым снижать риск ввоза контрафакта.[24][25] При этом мониторинг нарушений становится постоянной функцией: отслеживаются маркетплейсы, доменные зоны, магазины приложений и социальные сети, а также формируется повторяемая практика претензионной и судебной защиты, чтобы создавать репутацию «правообладателя, который защищает свои права»</w:t>
      </w:r>
      <w:r w:rsidRPr="009C4415">
        <w:rPr>
          <w:rFonts w:ascii="Times New Roman" w:hAnsi="Times New Roman" w:cs="Times New Roman"/>
          <w:bCs/>
          <w:sz w:val="28"/>
          <w:szCs w:val="28"/>
        </w:rPr>
        <w:t>.</w:t>
      </w:r>
      <w:r w:rsidRPr="009C4415">
        <w:rPr>
          <w:rFonts w:ascii="Times New Roman" w:hAnsi="Times New Roman" w:cs="Times New Roman"/>
          <w:bCs/>
          <w:sz w:val="28"/>
          <w:szCs w:val="28"/>
        </w:rPr>
        <w:t xml:space="preserve"> Наконец, при </w:t>
      </w:r>
      <w:r w:rsidRPr="009C4415">
        <w:rPr>
          <w:rFonts w:ascii="Times New Roman" w:hAnsi="Times New Roman" w:cs="Times New Roman"/>
          <w:bCs/>
          <w:sz w:val="28"/>
          <w:szCs w:val="28"/>
        </w:rPr>
        <w:lastRenderedPageBreak/>
        <w:t>развитии партнерской сети или франчайзинговых моделей стартап начинает активно лицензировать права (в том числе на товарный знак и технологические решения), и тогда особую значимость приобретает соблюдение порядка регистрации договоров по объектам промышленной собственности, поскольку от корректности оформления зависит юридическая устойчивость отношений с партнерами и возможность эффективного правоприменения.</w:t>
      </w:r>
      <w:r w:rsidR="00C94934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53E38" w:rsidRPr="00D6473C" w:rsidRDefault="00A53E38" w:rsidP="00A53E38">
      <w:pPr>
        <w:tabs>
          <w:tab w:val="left" w:pos="142"/>
          <w:tab w:val="left" w:pos="56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73C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A53E38" w:rsidRPr="00D6473C" w:rsidRDefault="00A53E38" w:rsidP="00A53E38">
      <w:pPr>
        <w:tabs>
          <w:tab w:val="left" w:pos="142"/>
          <w:tab w:val="left" w:pos="56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bookmarkStart w:id="16" w:name="OLE_LINK35"/>
      <w:bookmarkStart w:id="17" w:name="OLE_LINK36"/>
      <w:r>
        <w:rPr>
          <w:rFonts w:ascii="Times New Roman" w:hAnsi="Times New Roman" w:cs="Times New Roman"/>
          <w:sz w:val="28"/>
          <w:szCs w:val="28"/>
          <w:lang w:val="ru-BY"/>
        </w:rPr>
        <w:t>1</w:t>
      </w:r>
      <w:r w:rsidRPr="00AB7066">
        <w:rPr>
          <w:rFonts w:ascii="Times New Roman" w:hAnsi="Times New Roman" w:cs="Times New Roman"/>
          <w:sz w:val="28"/>
          <w:szCs w:val="28"/>
        </w:rPr>
        <w:t>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Кодекс Республики Беларусь от 07.12.1998 № 218-З (ред. от 09.12.2025) «Гражданский кодекс Республики Беларусь» [Электронный ресурс].–Режим доступа: https://pravo.by/document/?guid=3871&amp;p0=hk9800218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Кодекс Республики Беларусь от 19.12.2002 № 166-З (ред. от 30.12.2025) «Налоговый кодекс Республики Беларусь (Общая часть)» [Электронный ресурс]. – Режим доступа: https://pravo.by/document/?guid=</w:t>
      </w:r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>3871&amp;p0=hk0200166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3.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Кодекс Республики Беларусь от 29.12.2009 № 71-З (ред. от 30.12.2025) «Налоговый кодекс Республики Беларусь (Особенная часть)» [Электронный ресурс]. – Режим доступа: </w:t>
      </w:r>
      <w:r>
        <w:rPr>
          <w:rFonts w:ascii="Times New Roman" w:hAnsi="Times New Roman" w:cs="Times New Roman"/>
          <w:sz w:val="28"/>
          <w:szCs w:val="28"/>
          <w:lang w:val="ru-BY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BY"/>
        </w:rPr>
        <w:instrText>HYPERLINK "</w:instrTex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instrText>https://pravo.by/document/?guid=3871&amp;p0=hk0900</w:instrText>
      </w:r>
      <w:r>
        <w:rPr>
          <w:rFonts w:ascii="Times New Roman" w:hAnsi="Times New Roman" w:cs="Times New Roman"/>
          <w:sz w:val="28"/>
          <w:szCs w:val="28"/>
          <w:lang w:val="ru-BY"/>
        </w:rPr>
        <w:instrText>"</w:instrText>
      </w:r>
      <w:r>
        <w:rPr>
          <w:rFonts w:ascii="Times New Roman" w:hAnsi="Times New Roman" w:cs="Times New Roman"/>
          <w:sz w:val="28"/>
          <w:szCs w:val="28"/>
          <w:lang w:val="ru-BY"/>
        </w:rPr>
        <w:fldChar w:fldCharType="separate"/>
      </w:r>
      <w:r w:rsidRPr="00AB7066">
        <w:rPr>
          <w:rStyle w:val="ab"/>
          <w:rFonts w:ascii="Times New Roman" w:hAnsi="Times New Roman" w:cs="Times New Roman"/>
          <w:sz w:val="28"/>
          <w:szCs w:val="28"/>
          <w:lang w:val="ru-BY"/>
        </w:rPr>
        <w:t>https://pravo.by/document/?guid=3871&amp;p0=hk0900</w:t>
      </w:r>
      <w:r>
        <w:rPr>
          <w:rFonts w:ascii="Times New Roman" w:hAnsi="Times New Roman" w:cs="Times New Roman"/>
          <w:sz w:val="28"/>
          <w:szCs w:val="28"/>
          <w:lang w:val="ru-BY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>071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4.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Кодекс Республики Беларусь от 26.07.1999 № 296-З (ред. от 09.12.2025) «Трудовой кодекс Республики Беларусь» [Электронный ресурс]. – Режим доступа: https://pravo.by/document/?guid=3871&amp;p0=hk9900296 </w:t>
      </w:r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>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5.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Закон Республики Беларусь от 09.12.1992 № 2020-XII (ред. от 30.12.2025) «О хозяйственных обществах» [Электронный ресурс]. – Режим доступа: https://pravo.by/document/?guid=3871&amp;p0=V19202020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6.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Декрет Президента Республики Беларусь от 16.01.2009 № 1 (ред. от 18.04.2019) «О государственной регистрации и ликвидации (прекращении деятельности) субъектов хозяйствования» [Электронный ресурс]. – Режим доступа: https://pravo.by/document/?guid=3871&amp;p0=pd0900001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7.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Декрет Президента Республики Беларусь от 22.09.2005 № 12 «О Парке высоких технологий» (с Положением о ПВТ) [Электронный ресурс]. – 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lastRenderedPageBreak/>
        <w:t>Режим доступа: https://pravo.by/document/?guid=3871&amp;p0=Pd0500012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8.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Декрет Президента Республики Беларусь от 21.12.2017 № 8 «О развитии цифровой экономики» [Электронный ресурс]. – Режим доступа: https://pravo.by/document/?guid=3871&amp;p0=Pd1700008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9.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Официальный интернет-портал Президента Республики Беларусь: Декрет № 8 от 21 декабря 2017 г. «О развитии цифровой экономики» (страница документа и файл для скачивания) [Электронный ресурс]. – Режим доступа: https://president.gov.by/ru/documents/dekret-8-ot-21-dekabrja-2017-g-17716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10.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Государственное учреждение «Администрация Парка высоких технологий» (официальный ресурс): преимущества и условия для резидентов ПВТ [Электронный ресурс]. – Режим доступа: https://park.by/about/advantages/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11.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Закон Республики Беларусь № 262-З от 17.05.2011 «Об авторском праве и смежных правах» (редакция с изменениями до 09.01.2023) – база WIPO Lex [Электронный ресурс]. – Режим доступа: https://www.wipo.int/wipolex/en/</w:t>
      </w:r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>legislation/details/22302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12.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Закон Республики Беларусь № 2181-XII от 05.02.1993 «О товарных знаках и знаках обслуживания» (редакция с изменениями до 09.01.2023) – база WIPO Lex [Электронный ресурс]. – Режим доступа: </w:t>
      </w:r>
      <w:hyperlink r:id="rId8" w:history="1">
        <w:r w:rsidRPr="00AB7066">
          <w:rPr>
            <w:rStyle w:val="ab"/>
            <w:rFonts w:ascii="Times New Roman" w:hAnsi="Times New Roman" w:cs="Times New Roman"/>
            <w:sz w:val="28"/>
            <w:szCs w:val="28"/>
            <w:lang w:val="ru-BY"/>
          </w:rPr>
          <w:t>https://www.wipo.i</w:t>
        </w:r>
      </w:hyperlink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>nt/wipolex/en/legislation/details/22312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13.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Закон Республики Беларусь № 160-З от 16.12.2002 «О патентах на изобретения, полезные модели, промышленные образцы» – база WIPO Lex (актуальные версии и материалы) [Электронный ресурс]. – Режим доступа: https://www.wipo.int/wipolex/en/legislation/details/22306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>14.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Закон Республики Беларусь № 16-З от 05.01.2013 «О коммерческой тайне» – база WIPO Lex [Электронный ресурс]. – Режим доступа: https://www.wipo.int/wipolex/en/legislation/details/15661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15.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Совет Министров Республики Беларусь: постановление № 346 от 21.03.2009 «Об утверждении Положения о порядке регистрации лицензионных договоров, договоров уступки прав…» (регистрация договоров по объектам промышленной собственности) [Электронный ресурс]. – Режим доступа: https://pravo.by/document/?guid=3871&amp;p0=C20900346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16.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Национальный центр интеллектуальной собственности (НЦИС): услуги по регистрации объектов авторского права и смежных прав (включая программы для ЭВМ и базы данных) [Электронный ресурс]. – Режим доступа: https://ncip.by/services/registraciya-obektov-avtorskogo-prava/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17.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НЦИС: «Добровольная регистрация объектов авторского права и смежных прав» (разъяснения) [Электронный ресурс]. – Режим доступа: https://ncip.by/o-centre/novosti/dobrovolnaya-registraciya-obektov-avtorskogo-prava-i-smezhnykh-prav/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18.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НЦИС: «Депонирование объектов авторского права и смежных прав» (разъяснения) [Электронный ресурс]. – Режим доступа: https://ncip.by/o-centre/novosti/deponirovanie-obektov-avtorskogo-prava-i-smezhnykh-prav/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19.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НЦИС: разъяснения по вопросам ноу-хау (секрета производства) [Электронный ресурс]. – Режим доступа: https://ncip.by/o-centre/razyasneniya-po-voprosam-nou-khau/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20.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Инструкция о регистрации доменных имен в национальной доменной зоне (администратор доменной зоны .BY/.БЕЛ) [Электронный 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lastRenderedPageBreak/>
        <w:t>ресурс]. – Режим доступа: https://cctld.by/documents/instruction-on-the-procedure-of-registration-of-domain/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21.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Национальный правовой интернет-портал Республики Беларусь: «Инструкция о регистрации доменных имен в национальной доменной зоне» (нормативный документ) [Электронный ресурс]. – Режим доступа: https://pravo.by/document/?guid=12551&amp;p0=T61001277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22.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Государственный таможенный комитет Республики Беларусь: национальный таможенный реестр объектов интеллектуальной собственности (порядок включения и сведения для правообладателей) [Электронный ресурс]. – Режим доступа: https://gtk.gov.by/ru/intel-property-reg/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23.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Евразийская экономическая комиссия: Единый таможенный реестр объектов интеллектуальной собственности государств-членов ЕАЭС (информация и документы) [Электронный ресурс]. – Режим доступа: https://eec.eaeunion.org/comission/department/tariff-and-non-tariff-regulation/intellectual_property/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24.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Евразийская экономическая комиссия: Договор о Таможенном кодексе Евразийского экономического союза (PDF, перевод) [Электронный ресурс]. – Режим доступа: </w:t>
      </w:r>
      <w:hyperlink r:id="rId9" w:history="1">
        <w:r w:rsidRPr="00AB7066">
          <w:rPr>
            <w:rStyle w:val="ab"/>
            <w:rFonts w:ascii="Times New Roman" w:hAnsi="Times New Roman" w:cs="Times New Roman"/>
            <w:sz w:val="28"/>
            <w:szCs w:val="28"/>
            <w:lang w:val="ru-BY"/>
          </w:rPr>
          <w:t>https://eec.eaeunion.org/upload/medialibrary/9dd/C</w:t>
        </w:r>
      </w:hyperlink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>ustoms-Code-of-the-EAEU.pdf – Дата доступа: 01.03.2026.</w:t>
      </w:r>
    </w:p>
    <w:p w:rsidR="00AB7066" w:rsidRPr="00AB7066" w:rsidRDefault="00AB7066" w:rsidP="00AB70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25.</w:t>
      </w:r>
      <w:r w:rsidRPr="00AB7066">
        <w:rPr>
          <w:rFonts w:ascii="Times New Roman" w:hAnsi="Times New Roman" w:cs="Times New Roman"/>
          <w:sz w:val="28"/>
          <w:szCs w:val="28"/>
          <w:lang w:val="ru-BY"/>
        </w:rPr>
        <w:t xml:space="preserve">  Евразийский экономический союз: Правила ведения единого таможенного реестра объектов интеллектуальной собственности (документ ЕАЭС, PDF) [Электронный ресурс]. – Режим доступа: https://regulation.eaeunion.org/upload/iblock/5c4/9ph5zadbxjtk9k00xgdnb9xmx0fe1otu/pd_08082018_att.pdf – Дата доступа: 01.03.2026.</w:t>
      </w:r>
    </w:p>
    <w:bookmarkEnd w:id="16"/>
    <w:bookmarkEnd w:id="17"/>
    <w:p w:rsidR="00A53E38" w:rsidRPr="00AB7066" w:rsidRDefault="00A53E38" w:rsidP="00AB70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80E14"/>
          <w:sz w:val="28"/>
          <w:szCs w:val="28"/>
          <w:lang w:val="ru-BY" w:eastAsia="ru-RU" w:bidi="ru-RU"/>
        </w:rPr>
      </w:pPr>
    </w:p>
    <w:sectPr w:rsidR="00A53E38" w:rsidRPr="00AB7066" w:rsidSect="00201886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7402C" w:rsidRDefault="0037402C" w:rsidP="00741683">
      <w:pPr>
        <w:spacing w:after="0" w:line="240" w:lineRule="auto"/>
      </w:pPr>
      <w:r>
        <w:separator/>
      </w:r>
    </w:p>
  </w:endnote>
  <w:endnote w:type="continuationSeparator" w:id="0">
    <w:p w:rsidR="0037402C" w:rsidRDefault="0037402C" w:rsidP="00741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02463013"/>
      <w:docPartObj>
        <w:docPartGallery w:val="Page Numbers (Bottom of Page)"/>
        <w:docPartUnique/>
      </w:docPartObj>
    </w:sdtPr>
    <w:sdtContent>
      <w:p w:rsidR="00760727" w:rsidRDefault="0076072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2E31">
          <w:rPr>
            <w:noProof/>
          </w:rPr>
          <w:t>12</w:t>
        </w:r>
        <w:r>
          <w:fldChar w:fldCharType="end"/>
        </w:r>
      </w:p>
    </w:sdtContent>
  </w:sdt>
  <w:p w:rsidR="00760727" w:rsidRDefault="007607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7402C" w:rsidRDefault="0037402C" w:rsidP="00741683">
      <w:pPr>
        <w:spacing w:after="0" w:line="240" w:lineRule="auto"/>
      </w:pPr>
      <w:r>
        <w:separator/>
      </w:r>
    </w:p>
  </w:footnote>
  <w:footnote w:type="continuationSeparator" w:id="0">
    <w:p w:rsidR="0037402C" w:rsidRDefault="0037402C" w:rsidP="00741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4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</w:tblGrid>
    <w:tr w:rsidR="00760727" w:rsidTr="006D3250">
      <w:trPr>
        <w:trHeight w:val="378"/>
      </w:trPr>
      <w:tc>
        <w:tcPr>
          <w:tcW w:w="2500" w:type="pct"/>
        </w:tcPr>
        <w:p w:rsidR="00760727" w:rsidRDefault="00760727">
          <w:pPr>
            <w:pStyle w:val="a5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  <w:tc>
        <w:tcPr>
          <w:tcW w:w="2500" w:type="pct"/>
        </w:tcPr>
        <w:p w:rsidR="00760727" w:rsidRDefault="00760727" w:rsidP="00760727">
          <w:pPr>
            <w:pStyle w:val="a5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</w:tr>
  </w:tbl>
  <w:p w:rsidR="00741683" w:rsidRDefault="0074168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4700403C"/>
    <w:lvl w:ilvl="0">
      <w:numFmt w:val="decimal"/>
      <w:lvlText w:val="*"/>
      <w:lvlJc w:val="left"/>
    </w:lvl>
  </w:abstractNum>
  <w:abstractNum w:abstractNumId="1" w15:restartNumberingAfterBreak="0">
    <w:nsid w:val="012507AA"/>
    <w:multiLevelType w:val="hybridMultilevel"/>
    <w:tmpl w:val="676AC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F2CD4"/>
    <w:multiLevelType w:val="hybridMultilevel"/>
    <w:tmpl w:val="A874ED9A"/>
    <w:lvl w:ilvl="0" w:tplc="1E480846">
      <w:start w:val="4"/>
      <w:numFmt w:val="bullet"/>
      <w:lvlText w:val="–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39C065A"/>
    <w:multiLevelType w:val="hybridMultilevel"/>
    <w:tmpl w:val="227C615C"/>
    <w:lvl w:ilvl="0" w:tplc="A6F0BB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425C76"/>
    <w:multiLevelType w:val="hybridMultilevel"/>
    <w:tmpl w:val="D63C3EB2"/>
    <w:lvl w:ilvl="0" w:tplc="A5367E12">
      <w:start w:val="4"/>
      <w:numFmt w:val="bullet"/>
      <w:lvlText w:val="–"/>
      <w:lvlJc w:val="left"/>
      <w:pPr>
        <w:ind w:left="1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5" w15:restartNumberingAfterBreak="0">
    <w:nsid w:val="1E8C250A"/>
    <w:multiLevelType w:val="hybridMultilevel"/>
    <w:tmpl w:val="66DA4D34"/>
    <w:lvl w:ilvl="0" w:tplc="C686754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57FCF"/>
    <w:multiLevelType w:val="hybridMultilevel"/>
    <w:tmpl w:val="D7B27764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B92638"/>
    <w:multiLevelType w:val="hybridMultilevel"/>
    <w:tmpl w:val="E236EDE2"/>
    <w:lvl w:ilvl="0" w:tplc="751AF934">
      <w:start w:val="1"/>
      <w:numFmt w:val="decimal"/>
      <w:lvlText w:val="%1)"/>
      <w:lvlJc w:val="left"/>
      <w:pPr>
        <w:ind w:left="1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0" w:hanging="360"/>
      </w:pPr>
    </w:lvl>
    <w:lvl w:ilvl="2" w:tplc="0419001B" w:tentative="1">
      <w:start w:val="1"/>
      <w:numFmt w:val="lowerRoman"/>
      <w:lvlText w:val="%3."/>
      <w:lvlJc w:val="right"/>
      <w:pPr>
        <w:ind w:left="2800" w:hanging="180"/>
      </w:pPr>
    </w:lvl>
    <w:lvl w:ilvl="3" w:tplc="0419000F" w:tentative="1">
      <w:start w:val="1"/>
      <w:numFmt w:val="decimal"/>
      <w:lvlText w:val="%4."/>
      <w:lvlJc w:val="left"/>
      <w:pPr>
        <w:ind w:left="3520" w:hanging="360"/>
      </w:pPr>
    </w:lvl>
    <w:lvl w:ilvl="4" w:tplc="04190019" w:tentative="1">
      <w:start w:val="1"/>
      <w:numFmt w:val="lowerLetter"/>
      <w:lvlText w:val="%5."/>
      <w:lvlJc w:val="left"/>
      <w:pPr>
        <w:ind w:left="4240" w:hanging="360"/>
      </w:pPr>
    </w:lvl>
    <w:lvl w:ilvl="5" w:tplc="0419001B" w:tentative="1">
      <w:start w:val="1"/>
      <w:numFmt w:val="lowerRoman"/>
      <w:lvlText w:val="%6."/>
      <w:lvlJc w:val="right"/>
      <w:pPr>
        <w:ind w:left="4960" w:hanging="180"/>
      </w:pPr>
    </w:lvl>
    <w:lvl w:ilvl="6" w:tplc="0419000F" w:tentative="1">
      <w:start w:val="1"/>
      <w:numFmt w:val="decimal"/>
      <w:lvlText w:val="%7."/>
      <w:lvlJc w:val="left"/>
      <w:pPr>
        <w:ind w:left="5680" w:hanging="360"/>
      </w:pPr>
    </w:lvl>
    <w:lvl w:ilvl="7" w:tplc="04190019" w:tentative="1">
      <w:start w:val="1"/>
      <w:numFmt w:val="lowerLetter"/>
      <w:lvlText w:val="%8."/>
      <w:lvlJc w:val="left"/>
      <w:pPr>
        <w:ind w:left="6400" w:hanging="360"/>
      </w:pPr>
    </w:lvl>
    <w:lvl w:ilvl="8" w:tplc="041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8" w15:restartNumberingAfterBreak="0">
    <w:nsid w:val="346E2B83"/>
    <w:multiLevelType w:val="multilevel"/>
    <w:tmpl w:val="3DF07E24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35DB5B54"/>
    <w:multiLevelType w:val="hybridMultilevel"/>
    <w:tmpl w:val="3BCC5B04"/>
    <w:lvl w:ilvl="0" w:tplc="1794ED9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6371546"/>
    <w:multiLevelType w:val="hybridMultilevel"/>
    <w:tmpl w:val="A1DC0368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6962F8"/>
    <w:multiLevelType w:val="hybridMultilevel"/>
    <w:tmpl w:val="76041A58"/>
    <w:lvl w:ilvl="0" w:tplc="FAAAD628">
      <w:start w:val="4"/>
      <w:numFmt w:val="bullet"/>
      <w:lvlText w:val="-"/>
      <w:lvlJc w:val="left"/>
      <w:pPr>
        <w:ind w:left="1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2" w15:restartNumberingAfterBreak="0">
    <w:nsid w:val="3BEC0567"/>
    <w:multiLevelType w:val="hybridMultilevel"/>
    <w:tmpl w:val="9E78F00A"/>
    <w:lvl w:ilvl="0" w:tplc="D9400462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3E24301B"/>
    <w:multiLevelType w:val="hybridMultilevel"/>
    <w:tmpl w:val="ADA2A42C"/>
    <w:lvl w:ilvl="0" w:tplc="4FA6E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E8F2B28"/>
    <w:multiLevelType w:val="multilevel"/>
    <w:tmpl w:val="A7C815FA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04430F5"/>
    <w:multiLevelType w:val="multilevel"/>
    <w:tmpl w:val="A232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70BA6"/>
    <w:multiLevelType w:val="multilevel"/>
    <w:tmpl w:val="3282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01230"/>
    <w:multiLevelType w:val="singleLevel"/>
    <w:tmpl w:val="EBC47BCC"/>
    <w:lvl w:ilvl="0">
      <w:start w:val="2"/>
      <w:numFmt w:val="decimal"/>
      <w:lvlText w:val="%1)"/>
      <w:legacy w:legacy="1" w:legacySpace="0" w:legacyIndent="263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526079E8"/>
    <w:multiLevelType w:val="hybridMultilevel"/>
    <w:tmpl w:val="0EE49F38"/>
    <w:lvl w:ilvl="0" w:tplc="7C624C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87B30CC"/>
    <w:multiLevelType w:val="multilevel"/>
    <w:tmpl w:val="682A85F6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20"/>
        </w:tabs>
        <w:ind w:left="-720" w:hanging="2160"/>
      </w:pPr>
      <w:rPr>
        <w:rFonts w:hint="default"/>
      </w:rPr>
    </w:lvl>
  </w:abstractNum>
  <w:abstractNum w:abstractNumId="20" w15:restartNumberingAfterBreak="0">
    <w:nsid w:val="686E213F"/>
    <w:multiLevelType w:val="multilevel"/>
    <w:tmpl w:val="37F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42E07"/>
    <w:multiLevelType w:val="hybridMultilevel"/>
    <w:tmpl w:val="F65A8BBE"/>
    <w:lvl w:ilvl="0" w:tplc="902A13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F867A6C"/>
    <w:multiLevelType w:val="hybridMultilevel"/>
    <w:tmpl w:val="1E4EFCC4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FEC5AFB"/>
    <w:multiLevelType w:val="multilevel"/>
    <w:tmpl w:val="3DF07E24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464858904">
    <w:abstractNumId w:val="15"/>
  </w:num>
  <w:num w:numId="2" w16cid:durableId="1659844116">
    <w:abstractNumId w:val="16"/>
  </w:num>
  <w:num w:numId="3" w16cid:durableId="1180464900">
    <w:abstractNumId w:val="20"/>
  </w:num>
  <w:num w:numId="4" w16cid:durableId="1953854975">
    <w:abstractNumId w:val="10"/>
  </w:num>
  <w:num w:numId="5" w16cid:durableId="674962869">
    <w:abstractNumId w:val="22"/>
  </w:num>
  <w:num w:numId="6" w16cid:durableId="149375128">
    <w:abstractNumId w:val="6"/>
  </w:num>
  <w:num w:numId="7" w16cid:durableId="1958832169">
    <w:abstractNumId w:val="13"/>
  </w:num>
  <w:num w:numId="8" w16cid:durableId="38476175">
    <w:abstractNumId w:val="3"/>
  </w:num>
  <w:num w:numId="9" w16cid:durableId="1344670183">
    <w:abstractNumId w:val="1"/>
  </w:num>
  <w:num w:numId="10" w16cid:durableId="224874918">
    <w:abstractNumId w:val="21"/>
  </w:num>
  <w:num w:numId="11" w16cid:durableId="753013633">
    <w:abstractNumId w:val="14"/>
  </w:num>
  <w:num w:numId="12" w16cid:durableId="673264428">
    <w:abstractNumId w:val="0"/>
    <w:lvlOverride w:ilvl="0">
      <w:lvl w:ilvl="0">
        <w:start w:val="65535"/>
        <w:numFmt w:val="bullet"/>
        <w:lvlText w:val="•"/>
        <w:legacy w:legacy="1" w:legacySpace="0" w:legacyIndent="220"/>
        <w:lvlJc w:val="left"/>
        <w:rPr>
          <w:rFonts w:ascii="Times New Roman" w:hAnsi="Times New Roman" w:cs="Times New Roman" w:hint="default"/>
        </w:rPr>
      </w:lvl>
    </w:lvlOverride>
  </w:num>
  <w:num w:numId="13" w16cid:durableId="1124807500">
    <w:abstractNumId w:val="0"/>
    <w:lvlOverride w:ilvl="0">
      <w:lvl w:ilvl="0">
        <w:start w:val="65535"/>
        <w:numFmt w:val="bullet"/>
        <w:lvlText w:val="•"/>
        <w:legacy w:legacy="1" w:legacySpace="0" w:legacyIndent="219"/>
        <w:lvlJc w:val="left"/>
        <w:rPr>
          <w:rFonts w:ascii="Times New Roman" w:hAnsi="Times New Roman" w:cs="Times New Roman" w:hint="default"/>
        </w:rPr>
      </w:lvl>
    </w:lvlOverride>
  </w:num>
  <w:num w:numId="14" w16cid:durableId="993990384">
    <w:abstractNumId w:val="0"/>
    <w:lvlOverride w:ilvl="0">
      <w:lvl w:ilvl="0">
        <w:start w:val="65535"/>
        <w:numFmt w:val="bullet"/>
        <w:lvlText w:val="•"/>
        <w:legacy w:legacy="1" w:legacySpace="0" w:legacyIndent="220"/>
        <w:lvlJc w:val="left"/>
        <w:rPr>
          <w:rFonts w:ascii="Times New Roman" w:hAnsi="Times New Roman" w:cs="Times New Roman" w:hint="default"/>
        </w:rPr>
      </w:lvl>
    </w:lvlOverride>
  </w:num>
  <w:num w:numId="15" w16cid:durableId="927544775">
    <w:abstractNumId w:val="0"/>
    <w:lvlOverride w:ilvl="0">
      <w:lvl w:ilvl="0">
        <w:start w:val="65535"/>
        <w:numFmt w:val="bullet"/>
        <w:lvlText w:val="•"/>
        <w:legacy w:legacy="1" w:legacySpace="0" w:legacyIndent="215"/>
        <w:lvlJc w:val="left"/>
        <w:rPr>
          <w:rFonts w:ascii="Times New Roman" w:hAnsi="Times New Roman" w:cs="Times New Roman" w:hint="default"/>
        </w:rPr>
      </w:lvl>
    </w:lvlOverride>
  </w:num>
  <w:num w:numId="16" w16cid:durableId="1907106355">
    <w:abstractNumId w:val="17"/>
  </w:num>
  <w:num w:numId="17" w16cid:durableId="941764050">
    <w:abstractNumId w:val="8"/>
  </w:num>
  <w:num w:numId="18" w16cid:durableId="854807620">
    <w:abstractNumId w:val="23"/>
  </w:num>
  <w:num w:numId="19" w16cid:durableId="291593430">
    <w:abstractNumId w:val="19"/>
  </w:num>
  <w:num w:numId="20" w16cid:durableId="226963716">
    <w:abstractNumId w:val="18"/>
  </w:num>
  <w:num w:numId="21" w16cid:durableId="1355226884">
    <w:abstractNumId w:val="9"/>
  </w:num>
  <w:num w:numId="22" w16cid:durableId="2097631695">
    <w:abstractNumId w:val="7"/>
  </w:num>
  <w:num w:numId="23" w16cid:durableId="732968479">
    <w:abstractNumId w:val="11"/>
  </w:num>
  <w:num w:numId="24" w16cid:durableId="353002567">
    <w:abstractNumId w:val="4"/>
  </w:num>
  <w:num w:numId="25" w16cid:durableId="882785442">
    <w:abstractNumId w:val="5"/>
  </w:num>
  <w:num w:numId="26" w16cid:durableId="937367936">
    <w:abstractNumId w:val="12"/>
  </w:num>
  <w:num w:numId="27" w16cid:durableId="1396048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2DB"/>
    <w:rsid w:val="00002EAD"/>
    <w:rsid w:val="000443C2"/>
    <w:rsid w:val="000467AE"/>
    <w:rsid w:val="00053487"/>
    <w:rsid w:val="00075378"/>
    <w:rsid w:val="000919FC"/>
    <w:rsid w:val="000B3EB9"/>
    <w:rsid w:val="000B5D8D"/>
    <w:rsid w:val="000C5982"/>
    <w:rsid w:val="000F4E7D"/>
    <w:rsid w:val="00103C1E"/>
    <w:rsid w:val="001149B8"/>
    <w:rsid w:val="0013140A"/>
    <w:rsid w:val="00174BF4"/>
    <w:rsid w:val="0018444C"/>
    <w:rsid w:val="001A1EF7"/>
    <w:rsid w:val="001A507C"/>
    <w:rsid w:val="001B7C6C"/>
    <w:rsid w:val="001C59D9"/>
    <w:rsid w:val="001F160B"/>
    <w:rsid w:val="00201886"/>
    <w:rsid w:val="00217881"/>
    <w:rsid w:val="0022096E"/>
    <w:rsid w:val="00232B22"/>
    <w:rsid w:val="00262E31"/>
    <w:rsid w:val="00280607"/>
    <w:rsid w:val="00281445"/>
    <w:rsid w:val="002B3940"/>
    <w:rsid w:val="002C53EA"/>
    <w:rsid w:val="002C705B"/>
    <w:rsid w:val="002D3D7A"/>
    <w:rsid w:val="002E1281"/>
    <w:rsid w:val="003245F1"/>
    <w:rsid w:val="003255AF"/>
    <w:rsid w:val="00326A7D"/>
    <w:rsid w:val="003326B4"/>
    <w:rsid w:val="003403B3"/>
    <w:rsid w:val="00351D5E"/>
    <w:rsid w:val="003733A4"/>
    <w:rsid w:val="0037402C"/>
    <w:rsid w:val="003A6E19"/>
    <w:rsid w:val="003B36CE"/>
    <w:rsid w:val="003B4AC9"/>
    <w:rsid w:val="003C4487"/>
    <w:rsid w:val="003F5435"/>
    <w:rsid w:val="00422C9A"/>
    <w:rsid w:val="00425B79"/>
    <w:rsid w:val="004575D3"/>
    <w:rsid w:val="00481BF6"/>
    <w:rsid w:val="004F0858"/>
    <w:rsid w:val="005016B8"/>
    <w:rsid w:val="005331F0"/>
    <w:rsid w:val="005372EC"/>
    <w:rsid w:val="005440CF"/>
    <w:rsid w:val="005456FF"/>
    <w:rsid w:val="005632EF"/>
    <w:rsid w:val="00564685"/>
    <w:rsid w:val="005C4638"/>
    <w:rsid w:val="005D4733"/>
    <w:rsid w:val="00632317"/>
    <w:rsid w:val="006807AD"/>
    <w:rsid w:val="006C3A48"/>
    <w:rsid w:val="006D3250"/>
    <w:rsid w:val="006E694A"/>
    <w:rsid w:val="006F600C"/>
    <w:rsid w:val="00741683"/>
    <w:rsid w:val="00760727"/>
    <w:rsid w:val="00765A73"/>
    <w:rsid w:val="0076685A"/>
    <w:rsid w:val="00766C43"/>
    <w:rsid w:val="00767776"/>
    <w:rsid w:val="00771007"/>
    <w:rsid w:val="00785885"/>
    <w:rsid w:val="0080170E"/>
    <w:rsid w:val="0081251F"/>
    <w:rsid w:val="008175A3"/>
    <w:rsid w:val="008372A8"/>
    <w:rsid w:val="00864C37"/>
    <w:rsid w:val="008B2704"/>
    <w:rsid w:val="008B2893"/>
    <w:rsid w:val="00901F50"/>
    <w:rsid w:val="009239EE"/>
    <w:rsid w:val="009679D8"/>
    <w:rsid w:val="00970606"/>
    <w:rsid w:val="009722CD"/>
    <w:rsid w:val="00985702"/>
    <w:rsid w:val="009C4415"/>
    <w:rsid w:val="00A12613"/>
    <w:rsid w:val="00A36301"/>
    <w:rsid w:val="00A43199"/>
    <w:rsid w:val="00A43784"/>
    <w:rsid w:val="00A455C2"/>
    <w:rsid w:val="00A53E38"/>
    <w:rsid w:val="00A80163"/>
    <w:rsid w:val="00A8540C"/>
    <w:rsid w:val="00AB7066"/>
    <w:rsid w:val="00AC785E"/>
    <w:rsid w:val="00AF5A11"/>
    <w:rsid w:val="00AF74C0"/>
    <w:rsid w:val="00B11C37"/>
    <w:rsid w:val="00B40822"/>
    <w:rsid w:val="00B52D24"/>
    <w:rsid w:val="00B5423D"/>
    <w:rsid w:val="00B57B87"/>
    <w:rsid w:val="00B70934"/>
    <w:rsid w:val="00B76D50"/>
    <w:rsid w:val="00B9224D"/>
    <w:rsid w:val="00B94433"/>
    <w:rsid w:val="00BA6B75"/>
    <w:rsid w:val="00BB07A8"/>
    <w:rsid w:val="00BC5599"/>
    <w:rsid w:val="00C05093"/>
    <w:rsid w:val="00C150D1"/>
    <w:rsid w:val="00C5317A"/>
    <w:rsid w:val="00C80ADF"/>
    <w:rsid w:val="00C94934"/>
    <w:rsid w:val="00CD2626"/>
    <w:rsid w:val="00D1411A"/>
    <w:rsid w:val="00D21E61"/>
    <w:rsid w:val="00D272DB"/>
    <w:rsid w:val="00D46CF5"/>
    <w:rsid w:val="00D80686"/>
    <w:rsid w:val="00D8150C"/>
    <w:rsid w:val="00DF6A39"/>
    <w:rsid w:val="00E27711"/>
    <w:rsid w:val="00E40F9B"/>
    <w:rsid w:val="00E442F6"/>
    <w:rsid w:val="00E502CB"/>
    <w:rsid w:val="00E60DD5"/>
    <w:rsid w:val="00EC1AFA"/>
    <w:rsid w:val="00EC44DF"/>
    <w:rsid w:val="00EC6D09"/>
    <w:rsid w:val="00EE3C7D"/>
    <w:rsid w:val="00EF69D3"/>
    <w:rsid w:val="00F50BB1"/>
    <w:rsid w:val="00F74867"/>
    <w:rsid w:val="00F75D27"/>
    <w:rsid w:val="00F77C56"/>
    <w:rsid w:val="00FD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F9697"/>
  <w15:chartTrackingRefBased/>
  <w15:docId w15:val="{B503B333-F261-49EA-BE8C-7D72A885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93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199"/>
    <w:pPr>
      <w:ind w:left="720"/>
      <w:contextualSpacing/>
    </w:pPr>
  </w:style>
  <w:style w:type="character" w:customStyle="1" w:styleId="fontstyle01">
    <w:name w:val="fontstyle01"/>
    <w:basedOn w:val="a0"/>
    <w:rsid w:val="00A43199"/>
    <w:rPr>
      <w:rFonts w:ascii="TimesNewRomanPSMT" w:hAnsi="TimesNewRomanPSMT" w:hint="default"/>
      <w:b w:val="0"/>
      <w:bCs w:val="0"/>
      <w:i w:val="0"/>
      <w:iCs w:val="0"/>
      <w:color w:val="242021"/>
      <w:sz w:val="22"/>
      <w:szCs w:val="22"/>
    </w:rPr>
  </w:style>
  <w:style w:type="table" w:styleId="a4">
    <w:name w:val="Table Grid"/>
    <w:basedOn w:val="a1"/>
    <w:uiPriority w:val="39"/>
    <w:rsid w:val="00837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1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1683"/>
  </w:style>
  <w:style w:type="paragraph" w:styleId="a7">
    <w:name w:val="footer"/>
    <w:basedOn w:val="a"/>
    <w:link w:val="a8"/>
    <w:uiPriority w:val="99"/>
    <w:unhideWhenUsed/>
    <w:rsid w:val="00741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1683"/>
  </w:style>
  <w:style w:type="paragraph" w:styleId="a9">
    <w:name w:val="Balloon Text"/>
    <w:basedOn w:val="a"/>
    <w:link w:val="aa"/>
    <w:uiPriority w:val="99"/>
    <w:semiHidden/>
    <w:unhideWhenUsed/>
    <w:rsid w:val="006323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32317"/>
    <w:rPr>
      <w:rFonts w:ascii="Segoe UI" w:hAnsi="Segoe UI" w:cs="Segoe UI"/>
      <w:sz w:val="18"/>
      <w:szCs w:val="18"/>
    </w:rPr>
  </w:style>
  <w:style w:type="character" w:styleId="ab">
    <w:name w:val="Hyperlink"/>
    <w:basedOn w:val="a0"/>
    <w:uiPriority w:val="99"/>
    <w:unhideWhenUsed/>
    <w:rsid w:val="00AB706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B706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B70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po.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ec.eaeunion.org/upload/medialibrary/9dd/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F007-507D-47EC-9BC4-FDA41199E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29</Pages>
  <Words>7979</Words>
  <Characters>45481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Bdg</dc:creator>
  <cp:keywords/>
  <dc:description/>
  <cp:lastModifiedBy>Roman</cp:lastModifiedBy>
  <cp:revision>6</cp:revision>
  <dcterms:created xsi:type="dcterms:W3CDTF">2025-11-26T20:00:00Z</dcterms:created>
  <dcterms:modified xsi:type="dcterms:W3CDTF">2026-03-01T17:45:00Z</dcterms:modified>
</cp:coreProperties>
</file>