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ABA72B" w14:textId="77777777" w:rsidR="0095086D" w:rsidRPr="001A7A21" w:rsidRDefault="0095086D" w:rsidP="0095086D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Министерство образования Республики Беларусь</w:t>
      </w:r>
    </w:p>
    <w:p w14:paraId="5B38E0F4" w14:textId="77777777" w:rsidR="0095086D" w:rsidRPr="001A7A21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301AE3A8" w14:textId="77777777" w:rsidR="0095086D" w:rsidRPr="001A7A21" w:rsidRDefault="0095086D" w:rsidP="0095086D">
      <w:pPr>
        <w:spacing w:line="240" w:lineRule="auto"/>
        <w:ind w:firstLine="709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Учреждение образования</w:t>
      </w:r>
    </w:p>
    <w:p w14:paraId="129C76E8" w14:textId="77777777" w:rsidR="0095086D" w:rsidRPr="001A7A21" w:rsidRDefault="00B24AE1" w:rsidP="0095086D">
      <w:pPr>
        <w:spacing w:line="240" w:lineRule="auto"/>
        <w:ind w:firstLine="709"/>
        <w:jc w:val="center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БЕЛОРУССКИЙ ГОСУДАРСТВЕННЫЙ УНИВЕРСИТЕТ ИНФОРМАТИКИ И РАДИОЭЛЕКТРОНИКИ</w:t>
      </w:r>
    </w:p>
    <w:p w14:paraId="178A51B7" w14:textId="77777777" w:rsidR="009713CD" w:rsidRPr="00F15598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306D8C22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Факультет компьютерных систем и сетей</w:t>
      </w:r>
    </w:p>
    <w:p w14:paraId="75A5C618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73AD8D70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Кафедра электронных вычислительных машин</w:t>
      </w:r>
    </w:p>
    <w:p w14:paraId="6417F227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05B1B4BD" w14:textId="77777777" w:rsidR="009713CD" w:rsidRPr="00E1591C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 xml:space="preserve">Дисциплина: </w:t>
      </w:r>
      <w:r>
        <w:rPr>
          <w:rFonts w:eastAsia="Times New Roman" w:cs="Times New Roman"/>
          <w:color w:val="000000"/>
          <w:szCs w:val="28"/>
          <w:lang w:eastAsia="be-BY"/>
        </w:rPr>
        <w:t>Хранение и управление данными</w:t>
      </w:r>
    </w:p>
    <w:p w14:paraId="0D6F5FB9" w14:textId="77777777" w:rsidR="0095086D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04B8045E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228C3A8E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78AF1A19" w14:textId="77777777" w:rsidR="00B24AE1" w:rsidRDefault="00B24AE1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708919FB" w14:textId="77777777" w:rsidR="00B24AE1" w:rsidRDefault="00B24AE1" w:rsidP="009713CD">
      <w:pPr>
        <w:spacing w:after="240" w:line="276" w:lineRule="auto"/>
        <w:rPr>
          <w:rFonts w:eastAsia="Times New Roman" w:cs="Times New Roman"/>
          <w:sz w:val="24"/>
          <w:szCs w:val="24"/>
          <w:lang w:eastAsia="be-BY"/>
        </w:rPr>
      </w:pPr>
    </w:p>
    <w:p w14:paraId="56B69769" w14:textId="77777777" w:rsidR="00B24AE1" w:rsidRPr="001A7A21" w:rsidRDefault="00B24AE1" w:rsidP="009713CD">
      <w:pPr>
        <w:spacing w:after="240" w:line="276" w:lineRule="auto"/>
        <w:rPr>
          <w:rFonts w:eastAsia="Times New Roman" w:cs="Times New Roman"/>
          <w:sz w:val="24"/>
          <w:szCs w:val="24"/>
          <w:lang w:eastAsia="be-BY"/>
        </w:rPr>
      </w:pPr>
    </w:p>
    <w:p w14:paraId="35DB8045" w14:textId="77777777" w:rsidR="001254F4" w:rsidRPr="006C4DD2" w:rsidRDefault="001254F4" w:rsidP="009713CD">
      <w:pPr>
        <w:spacing w:line="276" w:lineRule="auto"/>
        <w:ind w:right="-2"/>
        <w:jc w:val="center"/>
        <w:rPr>
          <w:rFonts w:eastAsia="Times New Roman" w:cs="Times New Roman"/>
          <w:color w:val="000000"/>
          <w:szCs w:val="28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КОНТРОЛЬНАЯ РАБОТА</w:t>
      </w:r>
      <w:r w:rsidR="00E1591C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6C4DD2" w:rsidRPr="006C4DD2">
        <w:rPr>
          <w:rFonts w:eastAsia="Times New Roman" w:cs="Times New Roman"/>
          <w:color w:val="000000"/>
          <w:szCs w:val="28"/>
          <w:lang w:eastAsia="be-BY"/>
        </w:rPr>
        <w:t xml:space="preserve"> </w:t>
      </w:r>
    </w:p>
    <w:p w14:paraId="40D4AAD6" w14:textId="77777777" w:rsidR="0095086D" w:rsidRPr="001A7A21" w:rsidRDefault="0095086D" w:rsidP="009713CD">
      <w:pPr>
        <w:spacing w:line="276" w:lineRule="auto"/>
        <w:ind w:right="-2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на тему</w:t>
      </w:r>
    </w:p>
    <w:p w14:paraId="39AAB06E" w14:textId="77777777" w:rsidR="00B24AE1" w:rsidRDefault="009713CD" w:rsidP="009713CD">
      <w:pPr>
        <w:spacing w:after="240" w:line="276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«</w:t>
      </w:r>
      <w:r w:rsidR="003229DD">
        <w:rPr>
          <w:rFonts w:eastAsia="Times New Roman" w:cs="Times New Roman"/>
          <w:color w:val="000000"/>
          <w:szCs w:val="28"/>
          <w:lang w:eastAsia="be-BY"/>
        </w:rPr>
        <w:t>ОБЛАЧНЫЕ ВЫЧИСЛЕНИЯ: ВИДЫ РАЗВЕРТЫВАНИЯ ОБЛАКА, ИНФРАСТРУКТУРА ОБЛАЧНЫХ ВЫЧИСЛЕНИЙ И ОСНОВНЫЕ АСПЕКТЫ ПЕРЕХОДА К ОБЛАЧНОЙ ИНФРАСТРУКТУРЕ</w:t>
      </w:r>
      <w:r>
        <w:rPr>
          <w:rFonts w:eastAsia="Times New Roman" w:cs="Times New Roman"/>
          <w:color w:val="000000"/>
          <w:szCs w:val="28"/>
          <w:lang w:eastAsia="be-BY"/>
        </w:rPr>
        <w:t>»</w:t>
      </w:r>
    </w:p>
    <w:p w14:paraId="643F39E2" w14:textId="77777777" w:rsidR="00B24AE1" w:rsidRDefault="00B24AE1" w:rsidP="00B24AE1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</w:p>
    <w:p w14:paraId="689C8FB5" w14:textId="77777777" w:rsidR="0095086D" w:rsidRPr="001A7A21" w:rsidRDefault="0095086D" w:rsidP="00B24AE1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5941EF37" w14:textId="77777777" w:rsidR="0095086D" w:rsidRPr="001A7A21" w:rsidRDefault="00B24AE1" w:rsidP="0095086D">
      <w:pPr>
        <w:spacing w:line="360" w:lineRule="auto"/>
        <w:jc w:val="both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Выполнил: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>                                                           </w:t>
      </w:r>
      <w:r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> </w:t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5086D">
        <w:rPr>
          <w:rFonts w:eastAsia="Times New Roman" w:cs="Times New Roman"/>
          <w:color w:val="000000"/>
          <w:szCs w:val="28"/>
          <w:lang w:eastAsia="be-BY"/>
        </w:rPr>
        <w:t>Р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95086D">
        <w:rPr>
          <w:rFonts w:eastAsia="Times New Roman" w:cs="Times New Roman"/>
          <w:color w:val="000000"/>
          <w:szCs w:val="28"/>
          <w:lang w:eastAsia="be-BY"/>
        </w:rPr>
        <w:t>Е.</w:t>
      </w:r>
      <w:r w:rsidR="00C16893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C16893" w:rsidRPr="001A7A21">
        <w:rPr>
          <w:rFonts w:eastAsia="Times New Roman" w:cs="Times New Roman"/>
          <w:color w:val="000000"/>
          <w:szCs w:val="28"/>
          <w:lang w:eastAsia="be-BY"/>
        </w:rPr>
        <w:t>Власов</w:t>
      </w:r>
    </w:p>
    <w:p w14:paraId="5182F05D" w14:textId="77777777" w:rsidR="0095086D" w:rsidRPr="00A55BC8" w:rsidRDefault="00B24AE1" w:rsidP="0095086D">
      <w:pPr>
        <w:spacing w:line="240" w:lineRule="auto"/>
        <w:jc w:val="both"/>
        <w:rPr>
          <w:rFonts w:eastAsia="Times New Roman" w:cs="Times New Roman"/>
          <w:sz w:val="24"/>
          <w:szCs w:val="24"/>
          <w:lang w:eastAsia="be-BY"/>
        </w:rPr>
      </w:pPr>
      <w:proofErr w:type="gramStart"/>
      <w:r>
        <w:rPr>
          <w:rFonts w:eastAsia="Times New Roman" w:cs="Times New Roman"/>
          <w:color w:val="000000"/>
          <w:szCs w:val="28"/>
          <w:lang w:eastAsia="be-BY"/>
        </w:rPr>
        <w:t>Проверил</w:t>
      </w:r>
      <w:r w:rsidR="009713CD">
        <w:rPr>
          <w:rFonts w:eastAsia="Times New Roman" w:cs="Times New Roman"/>
          <w:color w:val="000000"/>
          <w:szCs w:val="28"/>
          <w:lang w:eastAsia="be-BY"/>
        </w:rPr>
        <w:t>а</w:t>
      </w:r>
      <w:r>
        <w:rPr>
          <w:rFonts w:eastAsia="Times New Roman" w:cs="Times New Roman"/>
          <w:color w:val="000000"/>
          <w:szCs w:val="28"/>
          <w:lang w:eastAsia="be-BY"/>
        </w:rPr>
        <w:t xml:space="preserve">: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  </w:t>
      </w:r>
      <w:proofErr w:type="gramEnd"/>
      <w:r w:rsidR="00460DCF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        </w:t>
      </w:r>
      <w:r>
        <w:rPr>
          <w:rFonts w:eastAsia="Times New Roman" w:cs="Times New Roman"/>
          <w:color w:val="000000"/>
          <w:szCs w:val="28"/>
          <w:lang w:eastAsia="be-BY"/>
        </w:rPr>
        <w:tab/>
        <w:t xml:space="preserve">       </w:t>
      </w:r>
      <w:r w:rsidR="00460DCF">
        <w:rPr>
          <w:rFonts w:eastAsia="Times New Roman" w:cs="Times New Roman"/>
          <w:color w:val="000000"/>
          <w:szCs w:val="28"/>
          <w:lang w:eastAsia="be-BY"/>
        </w:rPr>
        <w:tab/>
        <w:t xml:space="preserve">   </w:t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0A4AFE">
        <w:rPr>
          <w:rFonts w:eastAsia="Times New Roman" w:cs="Times New Roman"/>
          <w:color w:val="000000"/>
          <w:szCs w:val="28"/>
          <w:lang w:eastAsia="be-BY"/>
        </w:rPr>
        <w:t>Д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0A4AFE">
        <w:rPr>
          <w:rFonts w:eastAsia="Times New Roman" w:cs="Times New Roman"/>
          <w:color w:val="000000"/>
          <w:szCs w:val="28"/>
          <w:lang w:eastAsia="be-BY"/>
        </w:rPr>
        <w:t>В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0A4AFE">
        <w:rPr>
          <w:rFonts w:eastAsia="Times New Roman" w:cs="Times New Roman"/>
          <w:color w:val="000000"/>
          <w:szCs w:val="28"/>
          <w:lang w:eastAsia="be-BY"/>
        </w:rPr>
        <w:t>Куприянова</w:t>
      </w:r>
    </w:p>
    <w:p w14:paraId="274C0265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sz w:val="24"/>
          <w:szCs w:val="24"/>
          <w:lang w:eastAsia="be-BY"/>
        </w:rPr>
        <w:br/>
      </w:r>
      <w:r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2A0491AB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0C5510B6" w14:textId="77777777" w:rsidR="003651AB" w:rsidRDefault="003651AB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366EC373" w14:textId="77777777" w:rsidR="006F4E44" w:rsidRPr="001A7A21" w:rsidRDefault="006F4E44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524CE87F" w14:textId="77777777" w:rsidR="00BA703D" w:rsidRDefault="0095086D" w:rsidP="00BB5D18">
      <w:pPr>
        <w:spacing w:line="240" w:lineRule="auto"/>
        <w:ind w:right="-2"/>
        <w:jc w:val="center"/>
        <w:rPr>
          <w:rFonts w:eastAsia="Times New Roman" w:cs="Times New Roman"/>
          <w:color w:val="000000"/>
          <w:szCs w:val="28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М</w:t>
      </w:r>
      <w:r w:rsidR="009713CD">
        <w:rPr>
          <w:rFonts w:eastAsia="Times New Roman" w:cs="Times New Roman"/>
          <w:color w:val="000000"/>
          <w:szCs w:val="28"/>
          <w:lang w:eastAsia="be-BY"/>
        </w:rPr>
        <w:t>инск</w:t>
      </w:r>
      <w:r w:rsidRPr="001A7A21">
        <w:rPr>
          <w:rFonts w:eastAsia="Times New Roman" w:cs="Times New Roman"/>
          <w:color w:val="000000"/>
          <w:szCs w:val="28"/>
          <w:lang w:eastAsia="be-BY"/>
        </w:rPr>
        <w:t xml:space="preserve"> 202</w:t>
      </w:r>
      <w:r w:rsidR="00B24AE1">
        <w:rPr>
          <w:rFonts w:eastAsia="Times New Roman" w:cs="Times New Roman"/>
          <w:color w:val="000000"/>
          <w:szCs w:val="28"/>
          <w:lang w:eastAsia="be-BY"/>
        </w:rPr>
        <w:t>6</w:t>
      </w:r>
    </w:p>
    <w:p w14:paraId="6B80222E" w14:textId="77777777" w:rsidR="009713CD" w:rsidRPr="00AA1330" w:rsidRDefault="009713CD" w:rsidP="009713CD">
      <w:pPr>
        <w:pStyle w:val="a5"/>
        <w:pageBreakBefore/>
        <w:rPr>
          <w:b w:val="0"/>
          <w:bCs w:val="0"/>
        </w:rPr>
      </w:pPr>
      <w:r w:rsidRPr="00AA1330">
        <w:rPr>
          <w:b w:val="0"/>
          <w:bCs w:val="0"/>
        </w:rPr>
        <w:lastRenderedPageBreak/>
        <w:t>Содержание</w:t>
      </w:r>
    </w:p>
    <w:p w14:paraId="2DAC3AF2" w14:textId="77777777" w:rsidR="00CE3A60" w:rsidRDefault="00CE3A60">
      <w:pPr>
        <w:pStyle w:val="a7"/>
        <w:rPr>
          <w:lang w:val="ru-RU" w:eastAsia="en-US"/>
        </w:rPr>
      </w:pPr>
    </w:p>
    <w:tbl>
      <w:tblPr>
        <w:tblStyle w:val="afa"/>
        <w:tblW w:w="9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2"/>
        <w:gridCol w:w="496"/>
      </w:tblGrid>
      <w:tr w:rsidR="00CE3A60" w14:paraId="6FC2AB6C" w14:textId="77777777">
        <w:tc>
          <w:tcPr>
            <w:tcW w:w="9182" w:type="dxa"/>
            <w:vAlign w:val="center"/>
          </w:tcPr>
          <w:p w14:paraId="435E0F89" w14:textId="77777777" w:rsidR="00CE3A60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Введение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0A86C866" w14:textId="77777777" w:rsidR="00CE3A60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CE3A60" w14:paraId="410984E9" w14:textId="77777777">
        <w:tc>
          <w:tcPr>
            <w:tcW w:w="9182" w:type="dxa"/>
            <w:vAlign w:val="center"/>
          </w:tcPr>
          <w:p w14:paraId="1A373B2F" w14:textId="77777777" w:rsidR="00CE3A60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 Понятие облака и сервисные модели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53E63198" w14:textId="77777777" w:rsidR="00CE3A60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CE3A60" w14:paraId="51A0A7BC" w14:textId="77777777">
        <w:tc>
          <w:tcPr>
            <w:tcW w:w="9182" w:type="dxa"/>
            <w:vAlign w:val="center"/>
          </w:tcPr>
          <w:p w14:paraId="253CBFAE" w14:textId="77777777" w:rsidR="00CE3A60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2 Виды развертывания облака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2692324E" w14:textId="77777777" w:rsidR="00CE3A60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CE3A60" w14:paraId="74AEE6D1" w14:textId="77777777">
        <w:tc>
          <w:tcPr>
            <w:tcW w:w="9182" w:type="dxa"/>
            <w:vAlign w:val="center"/>
          </w:tcPr>
          <w:p w14:paraId="1B4FC97D" w14:textId="77777777" w:rsidR="00CE3A60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3 Инфраструктура облачных вычислений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5EF1935B" w14:textId="77777777" w:rsidR="00CE3A60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CE3A60" w14:paraId="5ED876F2" w14:textId="77777777">
        <w:tc>
          <w:tcPr>
            <w:tcW w:w="9182" w:type="dxa"/>
            <w:vAlign w:val="center"/>
          </w:tcPr>
          <w:p w14:paraId="74D9DB2E" w14:textId="77777777" w:rsidR="00CE3A60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4 Переход к облачной инфраструктуре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64BA6C45" w14:textId="77777777" w:rsidR="00CE3A60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CE3A60" w14:paraId="22A6974E" w14:textId="77777777">
        <w:tc>
          <w:tcPr>
            <w:tcW w:w="9182" w:type="dxa"/>
            <w:vAlign w:val="center"/>
          </w:tcPr>
          <w:p w14:paraId="315800A0" w14:textId="77777777" w:rsidR="00CE3A60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5 Пример выбора облачной модели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181CC462" w14:textId="77777777" w:rsidR="00CE3A60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</w:tr>
      <w:tr w:rsidR="00CE3A60" w14:paraId="28D6BF9A" w14:textId="77777777">
        <w:tc>
          <w:tcPr>
            <w:tcW w:w="9182" w:type="dxa"/>
            <w:vAlign w:val="center"/>
          </w:tcPr>
          <w:p w14:paraId="6C074B8C" w14:textId="77777777" w:rsidR="00CE3A60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Заключение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6EEA2D3F" w14:textId="77777777" w:rsidR="00CE3A60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CE3A60" w14:paraId="35C0B38E" w14:textId="77777777">
        <w:tc>
          <w:tcPr>
            <w:tcW w:w="9182" w:type="dxa"/>
            <w:vAlign w:val="center"/>
          </w:tcPr>
          <w:p w14:paraId="51813835" w14:textId="77777777" w:rsidR="00CE3A60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Список использованных источников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65562B1C" w14:textId="77777777" w:rsidR="00CE3A60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</w:tr>
    </w:tbl>
    <w:p w14:paraId="3CB51505" w14:textId="77777777" w:rsidR="00CE3A60" w:rsidRDefault="00000000">
      <w:pPr>
        <w:pStyle w:val="a5"/>
        <w:pageBreakBefore/>
        <w:rPr>
          <w:lang w:eastAsia="en-US"/>
        </w:rPr>
      </w:pPr>
      <w:r>
        <w:rPr>
          <w:lang w:eastAsia="en-US"/>
        </w:rPr>
        <w:lastRenderedPageBreak/>
        <w:t>Введение</w:t>
      </w:r>
    </w:p>
    <w:p w14:paraId="09F430C5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Облачные вычисления позволяют организации получать вычислительные ресурсы без покупки собственного оборудования. Организация арендует у провайдера серверы, место для хранения данных или готовые приложения и платит за то, что использует. При этом меняется распределение работы по хранению и управлению данными: часть задач переходит к провайдеру, а часть остаётся за клиентом.</w:t>
      </w:r>
    </w:p>
    <w:p w14:paraId="77FFA1C5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Цель работы – рассмотреть облачные вычисления с точки зрения организации, которая собирается перенести в облако свои системы. Для этого в работе рассматриваются понятие облака и сервисные модели, виды развертывания облака, состав облачной инфраструктуры, основные аспекты и этапы перехода к облачной инфраструктуре. В завершение разбирается пример выбора облачных моделей для интернет-магазина.</w:t>
      </w:r>
    </w:p>
    <w:p w14:paraId="24EE0937" w14:textId="77777777" w:rsidR="00CE3A60" w:rsidRDefault="00000000">
      <w:pPr>
        <w:pStyle w:val="a"/>
        <w:pageBreakBefore/>
        <w:ind w:left="0" w:firstLine="709"/>
        <w:rPr>
          <w:lang w:eastAsia="en-US"/>
        </w:rPr>
      </w:pPr>
      <w:r>
        <w:rPr>
          <w:lang w:eastAsia="en-US"/>
        </w:rPr>
        <w:lastRenderedPageBreak/>
        <w:t>Понятие облака и сервисные модели</w:t>
      </w:r>
    </w:p>
    <w:p w14:paraId="5AE44631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Облачные вычисления (cloud computing) представляют собой модель доступа через сеть к общему набору вычислительных ресурсов по запросу пользователя [1]. К таким ресурсам относятся серверы, системы хранения данных, сети, приложения и сервисы. Поставщик услуги, или провайдер, выделяет ресурсы и обеспечивает работу своей инфраструктуры. Пользователь создаёт серверы, получает место для данных или работает с готовыми приложениями, и ему не нужно знать, где физически находится оборудование.</w:t>
      </w:r>
    </w:p>
    <w:p w14:paraId="02659D05" w14:textId="77777777" w:rsidR="00CE3A60" w:rsidRDefault="00000000">
      <w:pPr>
        <w:pStyle w:val="a7"/>
        <w:keepNext/>
        <w:rPr>
          <w:lang w:val="ru-RU" w:eastAsia="en-US"/>
        </w:rPr>
      </w:pPr>
      <w:r>
        <w:rPr>
          <w:lang w:val="ru-RU" w:eastAsia="en-US"/>
        </w:rPr>
        <w:t>Национальный институт стандартов и технологий США (NIST) выделяет пять основных признаков облака [1]:</w:t>
      </w:r>
    </w:p>
    <w:p w14:paraId="0F458CC8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1) Самообслуживание по запросу. Пользователь получает ресурсы через панель управления без обращения к сотруднику провайдера.</w:t>
      </w:r>
    </w:p>
    <w:p w14:paraId="7A367E77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2) Доступ по сети. Пользователь подключается с компьютера или другого устройства через интернет либо внутреннюю сеть.</w:t>
      </w:r>
    </w:p>
    <w:p w14:paraId="179E99B6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3) Объединение ресурсов. Провайдер распределяет общий запас мощностей между потребителями с разделением доступа.</w:t>
      </w:r>
    </w:p>
    <w:p w14:paraId="3A7BA5F9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4) Эластичность. Пользователь может быстро увеличить ресурсы при росте нагрузки и освободить их после её снижения.</w:t>
      </w:r>
    </w:p>
    <w:p w14:paraId="349B068B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5) Учёт потребления. Провайдер измеряет использование ресурсов. Способ оплаты зависит от условий услуги.</w:t>
      </w:r>
    </w:p>
    <w:p w14:paraId="3A56C81B" w14:textId="77777777" w:rsidR="00CE3A60" w:rsidRDefault="00000000">
      <w:pPr>
        <w:pStyle w:val="a7"/>
        <w:keepNext/>
        <w:rPr>
          <w:lang w:val="ru-RU" w:eastAsia="en-US"/>
        </w:rPr>
      </w:pPr>
      <w:r>
        <w:rPr>
          <w:lang w:val="ru-RU" w:eastAsia="en-US"/>
        </w:rPr>
        <w:t>Облака классифицируют по двум признакам: по сервисной модели, которая определяет, какую часть работы берёт на себя провайдер, и по модели развертывания [1]. Выделяют следующие сервисные модели:</w:t>
      </w:r>
    </w:p>
    <w:p w14:paraId="2E4783D5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1) IaaS (Infrastructure as a Service, инфраструктура как услуга). Организация арендует у провайдера виртуальные серверы, системы хранения данных и сети. Клиент сам устанавливает и обновляет операционную систему и приложения и управляет данными. Провайдер может предоставлять и заранее настроенные машины для типовых задач, например для баз данных или почтовых серверов.</w:t>
      </w:r>
    </w:p>
    <w:p w14:paraId="08995BEC" w14:textId="77777777" w:rsidR="00CE3A60" w:rsidRDefault="00000000">
      <w:pPr>
        <w:pStyle w:val="a7"/>
        <w:rPr>
          <w:lang w:val="ru-RU" w:eastAsia="en-US"/>
        </w:rPr>
      </w:pPr>
      <w:r w:rsidRPr="002C6A8C">
        <w:rPr>
          <w:lang w:eastAsia="en-US"/>
        </w:rPr>
        <w:t xml:space="preserve">2) PaaS (Platform as a Service, </w:t>
      </w:r>
      <w:r>
        <w:rPr>
          <w:lang w:val="ru-RU" w:eastAsia="en-US"/>
        </w:rPr>
        <w:t>платформа</w:t>
      </w:r>
      <w:r w:rsidRPr="002C6A8C">
        <w:rPr>
          <w:lang w:eastAsia="en-US"/>
        </w:rPr>
        <w:t xml:space="preserve"> </w:t>
      </w:r>
      <w:r>
        <w:rPr>
          <w:lang w:val="ru-RU" w:eastAsia="en-US"/>
        </w:rPr>
        <w:t>как</w:t>
      </w:r>
      <w:r w:rsidRPr="002C6A8C">
        <w:rPr>
          <w:lang w:eastAsia="en-US"/>
        </w:rPr>
        <w:t xml:space="preserve"> </w:t>
      </w:r>
      <w:r>
        <w:rPr>
          <w:lang w:val="ru-RU" w:eastAsia="en-US"/>
        </w:rPr>
        <w:t>услуга</w:t>
      </w:r>
      <w:r w:rsidRPr="002C6A8C">
        <w:rPr>
          <w:lang w:eastAsia="en-US"/>
        </w:rPr>
        <w:t xml:space="preserve">). </w:t>
      </w:r>
      <w:r>
        <w:rPr>
          <w:lang w:val="ru-RU" w:eastAsia="en-US"/>
        </w:rPr>
        <w:t>Кроме инфраструктуры провайдер предоставляет готовую среду для разработки и запуска приложений: операционную систему, базы данных и инструменты. Клиент разрабатывает приложение и управляет его настройками и данными, а ресурсы для работы приложения платформа выделяет автоматически.</w:t>
      </w:r>
    </w:p>
    <w:p w14:paraId="7E682288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3) SaaS (Software as a Service, программное обеспечение как услуга). Клиент работает с готовым приложением через браузер или мобильный клиент, обычно по подписке. Провайдер размещает приложение, обслуживает его и выпускает обновления и исправления безопасности. Примерами SaaS служат веб-почта, CRM-системы, Jira и Confluence.</w:t>
      </w:r>
    </w:p>
    <w:p w14:paraId="7C01A547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4) FaaS (Function as a Service, функции как услуга), или бессерверные вычисления. Клиент передаёт провайдеру код отдельной функции. Провайдер запускает его по событию, выделяет ресурсы на время выполнения, </w:t>
      </w:r>
      <w:r>
        <w:rPr>
          <w:lang w:val="ru-RU" w:eastAsia="en-US"/>
        </w:rPr>
        <w:lastRenderedPageBreak/>
        <w:t>возвращает результат и освобождает ресурсы. Клиент не создаёт и не обслуживает серверы.</w:t>
      </w:r>
    </w:p>
    <w:p w14:paraId="662E87F5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Основные сервисные модели сравниваются в таблице 1.1.</w:t>
      </w:r>
    </w:p>
    <w:p w14:paraId="2222A2E3" w14:textId="77777777" w:rsidR="00CE3A60" w:rsidRDefault="00000000">
      <w:pPr>
        <w:pStyle w:val="a7"/>
        <w:keepNext/>
        <w:spacing w:before="240"/>
        <w:ind w:firstLine="0"/>
        <w:jc w:val="left"/>
        <w:rPr>
          <w:lang w:val="ru-RU" w:eastAsia="en-US"/>
        </w:rPr>
      </w:pPr>
      <w:r>
        <w:rPr>
          <w:lang w:val="ru-RU" w:eastAsia="en-US"/>
        </w:rPr>
        <w:t>Таблица 1.1 – Сравнение сервисных моделей</w:t>
      </w:r>
    </w:p>
    <w:tbl>
      <w:tblPr>
        <w:tblStyle w:val="afa"/>
        <w:tblW w:w="9355" w:type="dxa"/>
        <w:tblLayout w:type="fixed"/>
        <w:tblLook w:val="04A0" w:firstRow="1" w:lastRow="0" w:firstColumn="1" w:lastColumn="0" w:noHBand="0" w:noVBand="1"/>
      </w:tblPr>
      <w:tblGrid>
        <w:gridCol w:w="1701"/>
        <w:gridCol w:w="3402"/>
        <w:gridCol w:w="4252"/>
      </w:tblGrid>
      <w:tr w:rsidR="00CE3A60" w14:paraId="015886BB" w14:textId="77777777">
        <w:trPr>
          <w:cantSplit/>
          <w:tblHeader/>
        </w:trPr>
        <w:tc>
          <w:tcPr>
            <w:tcW w:w="1701" w:type="dxa"/>
          </w:tcPr>
          <w:p w14:paraId="25CFB2FC" w14:textId="77777777" w:rsidR="00CE3A60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Модель</w:t>
            </w:r>
          </w:p>
        </w:tc>
        <w:tc>
          <w:tcPr>
            <w:tcW w:w="3402" w:type="dxa"/>
          </w:tcPr>
          <w:p w14:paraId="2C124331" w14:textId="77777777" w:rsidR="00CE3A60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Что получает клиент</w:t>
            </w:r>
          </w:p>
        </w:tc>
        <w:tc>
          <w:tcPr>
            <w:tcW w:w="4252" w:type="dxa"/>
          </w:tcPr>
          <w:p w14:paraId="53A879E1" w14:textId="77777777" w:rsidR="00CE3A60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Что делает клиент</w:t>
            </w:r>
          </w:p>
        </w:tc>
      </w:tr>
      <w:tr w:rsidR="00CE3A60" w14:paraId="6339347A" w14:textId="77777777">
        <w:trPr>
          <w:cantSplit/>
        </w:trPr>
        <w:tc>
          <w:tcPr>
            <w:tcW w:w="1701" w:type="dxa"/>
          </w:tcPr>
          <w:p w14:paraId="3C356D2E" w14:textId="77777777" w:rsidR="00CE3A60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IaaS</w:t>
            </w:r>
          </w:p>
        </w:tc>
        <w:tc>
          <w:tcPr>
            <w:tcW w:w="3402" w:type="dxa"/>
          </w:tcPr>
          <w:p w14:paraId="68AA4EDB" w14:textId="77777777" w:rsidR="00CE3A60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Виртуальные серверы, диски и сеть</w:t>
            </w:r>
          </w:p>
        </w:tc>
        <w:tc>
          <w:tcPr>
            <w:tcW w:w="4252" w:type="dxa"/>
          </w:tcPr>
          <w:p w14:paraId="68A0285C" w14:textId="77777777" w:rsidR="00CE3A60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Устанавливает и обновляет операционную систему и приложения, управляет данными</w:t>
            </w:r>
          </w:p>
        </w:tc>
      </w:tr>
      <w:tr w:rsidR="00CE3A60" w14:paraId="23900FC9" w14:textId="77777777">
        <w:trPr>
          <w:cantSplit/>
        </w:trPr>
        <w:tc>
          <w:tcPr>
            <w:tcW w:w="1701" w:type="dxa"/>
          </w:tcPr>
          <w:p w14:paraId="249F0B1B" w14:textId="77777777" w:rsidR="00CE3A60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PaaS</w:t>
            </w:r>
          </w:p>
        </w:tc>
        <w:tc>
          <w:tcPr>
            <w:tcW w:w="3402" w:type="dxa"/>
          </w:tcPr>
          <w:p w14:paraId="0479DC09" w14:textId="77777777" w:rsidR="00CE3A60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Среду для запуска своего приложения</w:t>
            </w:r>
          </w:p>
        </w:tc>
        <w:tc>
          <w:tcPr>
            <w:tcW w:w="4252" w:type="dxa"/>
          </w:tcPr>
          <w:p w14:paraId="51FAF4D9" w14:textId="77777777" w:rsidR="00CE3A60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Разрабатывает приложение, управляет его настройками и данными</w:t>
            </w:r>
          </w:p>
        </w:tc>
      </w:tr>
      <w:tr w:rsidR="00CE3A60" w14:paraId="6D6CEAB1" w14:textId="77777777">
        <w:trPr>
          <w:cantSplit/>
        </w:trPr>
        <w:tc>
          <w:tcPr>
            <w:tcW w:w="1701" w:type="dxa"/>
          </w:tcPr>
          <w:p w14:paraId="68BA5B86" w14:textId="77777777" w:rsidR="00CE3A60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SaaS</w:t>
            </w:r>
          </w:p>
        </w:tc>
        <w:tc>
          <w:tcPr>
            <w:tcW w:w="3402" w:type="dxa"/>
          </w:tcPr>
          <w:p w14:paraId="505604C9" w14:textId="77777777" w:rsidR="00CE3A60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Готовое приложение, например почту</w:t>
            </w:r>
          </w:p>
        </w:tc>
        <w:tc>
          <w:tcPr>
            <w:tcW w:w="4252" w:type="dxa"/>
          </w:tcPr>
          <w:p w14:paraId="0F027C72" w14:textId="77777777" w:rsidR="00CE3A60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Работает с приложением и управляет доступными настройками и доступом</w:t>
            </w:r>
          </w:p>
        </w:tc>
      </w:tr>
    </w:tbl>
    <w:p w14:paraId="06747ADF" w14:textId="77777777" w:rsidR="00CE3A60" w:rsidRDefault="00000000">
      <w:pPr>
        <w:pStyle w:val="a7"/>
        <w:spacing w:before="320"/>
        <w:rPr>
          <w:lang w:val="ru-RU" w:eastAsia="en-US"/>
        </w:rPr>
      </w:pPr>
      <w:r>
        <w:rPr>
          <w:lang w:val="ru-RU" w:eastAsia="en-US"/>
        </w:rPr>
        <w:t>Сервисные модели различаются тем, какой объём администрирования остаётся у клиента: в IaaS он наибольший, в SaaS наименьший.</w:t>
      </w:r>
    </w:p>
    <w:p w14:paraId="3D9A6626" w14:textId="77777777" w:rsidR="00CE3A60" w:rsidRDefault="00000000">
      <w:pPr>
        <w:pStyle w:val="a"/>
        <w:ind w:left="0" w:firstLine="709"/>
        <w:rPr>
          <w:lang w:eastAsia="en-US"/>
        </w:rPr>
      </w:pPr>
      <w:r>
        <w:rPr>
          <w:lang w:eastAsia="en-US"/>
        </w:rPr>
        <w:t>Виды развертывания облака</w:t>
      </w:r>
    </w:p>
    <w:p w14:paraId="674D8EED" w14:textId="77777777" w:rsidR="00CE3A60" w:rsidRDefault="00000000">
      <w:pPr>
        <w:pStyle w:val="a7"/>
        <w:keepNext/>
        <w:rPr>
          <w:lang w:val="ru-RU" w:eastAsia="en-US"/>
        </w:rPr>
      </w:pPr>
      <w:r>
        <w:rPr>
          <w:lang w:val="ru-RU" w:eastAsia="en-US"/>
        </w:rPr>
        <w:t>Модель развертывания определяет круг пользователей облака и организацию облачной среды. Классификация NIST выделяет четыре модели [1]:</w:t>
      </w:r>
    </w:p>
    <w:p w14:paraId="2571131C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1) Публичное облако (public cloud). Инфраструктура принадлежит провайдеру, её ресурсами пользуются многие клиенты. Это самый распространённый вариант.</w:t>
      </w:r>
    </w:p>
    <w:p w14:paraId="7DF6DA0E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2) Частное облако (private cloud). Облако предназначено для одной организации. Оно может размещаться в её центре обработки данных или у провайдера, но изолированно от других клиентов. Частное облако выбирают, когда важны контроль и безопасность.</w:t>
      </w:r>
    </w:p>
    <w:p w14:paraId="021856D5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3) Гибридное облако (hybrid cloud). Объединяет частную и публичную среды. Например, критичные данные хранятся в частной части, а внешние сервисы работают в публичной.</w:t>
      </w:r>
    </w:p>
    <w:p w14:paraId="7AC7D3B6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4) Облако сообщества (community cloud). Инфраструктуру совместно используют несколько организаций с общими требованиями, например университеты или медицинские учреждения.</w:t>
      </w:r>
    </w:p>
    <w:p w14:paraId="5F11DF02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Кроме того, на практике применяется мультиоблако (multi-cloud): организация пользуется услугами нескольких провайдеров, например хранит данные у одного, а вычисления выполняет у другого. Это снижает зависимость от одного поставщика. Мультиоблако не входит в классификацию NIST и может сочетаться с гибридной моделью.</w:t>
      </w:r>
    </w:p>
    <w:p w14:paraId="4BA54417" w14:textId="77777777" w:rsidR="00CE3A60" w:rsidRDefault="00000000">
      <w:pPr>
        <w:pStyle w:val="a"/>
        <w:ind w:left="0" w:firstLine="709"/>
        <w:rPr>
          <w:lang w:eastAsia="en-US"/>
        </w:rPr>
      </w:pPr>
      <w:r>
        <w:rPr>
          <w:lang w:eastAsia="en-US"/>
        </w:rPr>
        <w:lastRenderedPageBreak/>
        <w:t>Инфраструктура облачных вычислений</w:t>
      </w:r>
    </w:p>
    <w:p w14:paraId="1E320392" w14:textId="77777777" w:rsidR="00CE3A60" w:rsidRDefault="00000000">
      <w:pPr>
        <w:pStyle w:val="a7"/>
        <w:keepNext/>
        <w:rPr>
          <w:lang w:val="ru-RU" w:eastAsia="en-US"/>
        </w:rPr>
      </w:pPr>
      <w:r>
        <w:rPr>
          <w:lang w:val="ru-RU" w:eastAsia="en-US"/>
        </w:rPr>
        <w:t>Облачная инфраструктура объединяет оборудование и программные средства, с помощью которых провайдер предоставляет услуги [2]. В ней можно выделить следующие составляющие:</w:t>
      </w:r>
    </w:p>
    <w:p w14:paraId="7FBFAA03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1) Физическая основа. В центре обработки данных (ЦОД) размещают серверы, системы хранения и сетевое оборудование. Оператор ЦОД обеспечивает электропитание, охлаждение и физическую защиту.</w:t>
      </w:r>
    </w:p>
    <w:p w14:paraId="76EA3B35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2) Распределение ресурсов. С помощью виртуализации на одном физическом сервере запускают несколько виртуальных машин, каждая со своей операционной системой. В контейнере размещают приложение и его зависимости, при этом контейнеры совместно используют ядро операционной системы. Провайдер автоматизирует выделение и освобождение ресурсов.</w:t>
      </w:r>
    </w:p>
    <w:p w14:paraId="12EE65B4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3) Сеть. Через физические и виртуальные сети пользователи и приложения обмениваются данными. Администратор ограничивает соединения правилами доступа и настраивает защищённую связь между площадками.</w:t>
      </w:r>
    </w:p>
    <w:p w14:paraId="5EC07132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4) Хранение. Блочное хранилище используют как диск виртуальной машины. Файловое хранилище даёт сотрудникам и приложениям доступ к общим папкам. В объектном хранилище хранят архивы и файлы приложений.</w:t>
      </w:r>
    </w:p>
    <w:p w14:paraId="17C37DF5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5) Управление и защита. Через панель управления или программный интерфейс клиент создаёт ресурсы и меняет настройки. Администратор назначает права доступа, следит за нагрузкой и ошибками, настраивает резервное копирование и проверяет восстановление.</w:t>
      </w:r>
    </w:p>
    <w:p w14:paraId="41C3DDF8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Для надёжной работы инфраструктуры важно различать три механизма [5]. Резервирование помогает сохранить работу при отказе оборудования. Резервная копия нужна, чтобы вернуть данные к сохранённому состоянию, например после ошибочного удаления. Репликация поддерживает копии текущих данных на других узлах и поэтому может перенести на них и ошибку.</w:t>
      </w:r>
    </w:p>
    <w:p w14:paraId="12275541" w14:textId="77777777" w:rsidR="00CE3A60" w:rsidRDefault="00000000">
      <w:pPr>
        <w:pStyle w:val="a"/>
        <w:ind w:left="0" w:firstLine="709"/>
        <w:rPr>
          <w:lang w:eastAsia="en-US"/>
        </w:rPr>
      </w:pPr>
      <w:r>
        <w:rPr>
          <w:lang w:eastAsia="en-US"/>
        </w:rPr>
        <w:t>Переход к облачной инфраструктуре</w:t>
      </w:r>
    </w:p>
    <w:p w14:paraId="09FE5025" w14:textId="77777777" w:rsidR="00CE3A60" w:rsidRDefault="00000000">
      <w:pPr>
        <w:pStyle w:val="a7"/>
        <w:keepNext/>
        <w:rPr>
          <w:lang w:val="ru-RU" w:eastAsia="en-US"/>
        </w:rPr>
      </w:pPr>
      <w:r>
        <w:rPr>
          <w:lang w:val="ru-RU" w:eastAsia="en-US"/>
        </w:rPr>
        <w:t>Перед переходом к облачной инфраструктуре организация определяет его цель, например запуск нового сервиса или обработку пиковых нагрузок. Затем она оценивает четыре основных аспекта [4]:</w:t>
      </w:r>
    </w:p>
    <w:p w14:paraId="7C555163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1) Приложения и данные. Специалисты составляют перечень систем, проверяют их связи, совместимость и лицензии. Для данных определяют объём, требования к хранению и доступу, для приложений – качество связи и допустимый простой.</w:t>
      </w:r>
    </w:p>
    <w:p w14:paraId="70203AC6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2) Расходы. Организация сравнивает стоимость своей инфраструктуры с расходами на облачные вычисления, хранение, передачу данных, поддержку и перенос. Публичное облако может сократить первоначальные вложения, но потребует регулярных платежей. После миграции расходы нужно контролировать и отключать ненужные ресурсы.</w:t>
      </w:r>
    </w:p>
    <w:p w14:paraId="1F7BA8DB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lastRenderedPageBreak/>
        <w:t>3) Безопасность и ответственность. Провайдер защищает инфраструктуру своей услуги. Клиент управляет данными, правами пользователей и доступными ему настройками защиты, а в IaaS также обновляет свою операционную систему и приложения. Точную границу обязанностей определяют выбранная услуга и договор [3].</w:t>
      </w:r>
    </w:p>
    <w:p w14:paraId="660994D3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4) Условия работы. Организация проверяет место хранения данных, требования к их защите и возможность выгрузить данные при смене провайдера. Она назначает ответственных за сервисы, обучает сотрудников и согласует порядок действий при сбое.</w:t>
      </w:r>
    </w:p>
    <w:p w14:paraId="189F567F" w14:textId="77777777" w:rsidR="00CE3A60" w:rsidRDefault="00000000">
      <w:pPr>
        <w:pStyle w:val="a7"/>
        <w:keepNext/>
        <w:rPr>
          <w:lang w:val="ru-RU" w:eastAsia="en-US"/>
        </w:rPr>
      </w:pPr>
      <w:r>
        <w:rPr>
          <w:lang w:val="ru-RU" w:eastAsia="en-US"/>
        </w:rPr>
        <w:t>Перенос проводят поэтапно [4]:</w:t>
      </w:r>
    </w:p>
    <w:p w14:paraId="33C5F292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1) Выбирают модель и провайдера, рассчитывают ресурсы и расходы.</w:t>
      </w:r>
    </w:p>
    <w:p w14:paraId="4BF799DD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2) Настраивают сеть, учётные записи, права доступа и резервное копирование.</w:t>
      </w:r>
    </w:p>
    <w:p w14:paraId="74D6906B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3) Переносят тестовую систему и проверяют её работу, скорость и восстановление данных.</w:t>
      </w:r>
    </w:p>
    <w:p w14:paraId="666F509B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4) Переносят остальные системы с учётом их связей. Перед переключением готовят план возврата к прежней среде.</w:t>
      </w:r>
    </w:p>
    <w:p w14:paraId="57742E30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5) Проверяют полноту данных и работу сервисов, затем следят за нагрузкой, защитой и расходами.</w:t>
      </w:r>
    </w:p>
    <w:p w14:paraId="1F1CC626" w14:textId="77777777" w:rsidR="00CE3A60" w:rsidRDefault="00000000">
      <w:pPr>
        <w:pStyle w:val="a"/>
        <w:ind w:left="0" w:firstLine="709"/>
        <w:rPr>
          <w:lang w:eastAsia="en-US"/>
        </w:rPr>
      </w:pPr>
      <w:r>
        <w:rPr>
          <w:lang w:eastAsia="en-US"/>
        </w:rPr>
        <w:t>Пример выбора облачной модели</w:t>
      </w:r>
    </w:p>
    <w:p w14:paraId="2DEA6A0F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Рассмотрим условный интернет-магазин, которому нужно выдерживать рост посещений во время распродаж. Команда может разместить сайт на PaaS в публичном облаке и настроить добавление ресурсов при росте нагрузки. Для почты подойдёт SaaS. Если у старой учётной системы есть особые требования к операционной системе, её можно разместить в IaaS после проверки совместимости. Перед переносом команда проверяет связь между сайтом и учётной системой, настраивает доступ и проверяет восстановление из резервной копии.</w:t>
      </w:r>
    </w:p>
    <w:p w14:paraId="14F39B84" w14:textId="77777777" w:rsidR="00CE3A60" w:rsidRDefault="00000000">
      <w:pPr>
        <w:pStyle w:val="a5"/>
        <w:pageBreakBefore/>
        <w:rPr>
          <w:lang w:eastAsia="en-US"/>
        </w:rPr>
      </w:pPr>
      <w:r>
        <w:rPr>
          <w:lang w:eastAsia="en-US"/>
        </w:rPr>
        <w:lastRenderedPageBreak/>
        <w:t>Заключение</w:t>
      </w:r>
    </w:p>
    <w:p w14:paraId="60A1D72A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работе рассмотрены понятие облачных вычислений, сервисные модели и модели развертывания облака, состав облачной инфраструктуры, а также основные аспекты и этапы перехода к ней.</w:t>
      </w:r>
    </w:p>
    <w:p w14:paraId="3BC859A6" w14:textId="77777777" w:rsidR="00CE3A60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Организация выбирает сервисную модель по объёму работ, который готова выполнять сама, а модель развертывания – по требованиям к среде. Для перехода ей нужно проверить приложения и данные, рассчитать расходы, распределить ответственность с провайдером и испытать перенос на тестовой системе. Экономию и надёжность оценивают по результатам работы выбранной системы.</w:t>
      </w:r>
    </w:p>
    <w:p w14:paraId="102404A8" w14:textId="77777777" w:rsidR="00CE3A60" w:rsidRDefault="00000000">
      <w:pPr>
        <w:pStyle w:val="a5"/>
        <w:pageBreakBefore/>
        <w:rPr>
          <w:lang w:eastAsia="en-US"/>
        </w:rPr>
      </w:pPr>
      <w:r>
        <w:rPr>
          <w:lang w:eastAsia="en-US"/>
        </w:rPr>
        <w:lastRenderedPageBreak/>
        <w:t>Список использованных источников</w:t>
      </w:r>
    </w:p>
    <w:p w14:paraId="50D36238" w14:textId="2DA528B8" w:rsidR="00CE3A60" w:rsidRPr="002C6A8C" w:rsidRDefault="00000000">
      <w:pPr>
        <w:pStyle w:val="a7"/>
        <w:rPr>
          <w:lang w:eastAsia="en-US"/>
        </w:rPr>
      </w:pPr>
      <w:r w:rsidRPr="002C6A8C">
        <w:rPr>
          <w:lang w:eastAsia="en-US"/>
        </w:rPr>
        <w:t xml:space="preserve">1. Mell, P. The NIST Definition of Cloud </w:t>
      </w:r>
      <w:proofErr w:type="gramStart"/>
      <w:r w:rsidRPr="002C6A8C">
        <w:rPr>
          <w:lang w:eastAsia="en-US"/>
        </w:rPr>
        <w:t>Computing :</w:t>
      </w:r>
      <w:proofErr w:type="gramEnd"/>
      <w:r w:rsidRPr="002C6A8C">
        <w:rPr>
          <w:lang w:eastAsia="en-US"/>
        </w:rPr>
        <w:t xml:space="preserve"> NIST Special Publication 800-145 [Electronic resource] / P. Mell, T. Grance. – </w:t>
      </w:r>
      <w:proofErr w:type="gramStart"/>
      <w:r w:rsidRPr="002C6A8C">
        <w:rPr>
          <w:lang w:eastAsia="en-US"/>
        </w:rPr>
        <w:t>Gaithersburg :</w:t>
      </w:r>
      <w:proofErr w:type="gramEnd"/>
      <w:r w:rsidRPr="002C6A8C">
        <w:rPr>
          <w:lang w:eastAsia="en-US"/>
        </w:rPr>
        <w:t xml:space="preserve"> NIST, 2011. – Mode of access: https://doi.org/10.6028/NIST.SP.800-145. – </w:t>
      </w:r>
      <w:bookmarkStart w:id="0" w:name="OLE_LINK19"/>
      <w:r w:rsidR="002C6A8C">
        <w:rPr>
          <w:lang w:val="ru-RU" w:eastAsia="en-US"/>
        </w:rPr>
        <w:t>Дата</w:t>
      </w:r>
      <w:r w:rsidR="002C6A8C" w:rsidRPr="002C6A8C">
        <w:rPr>
          <w:lang w:eastAsia="en-US"/>
        </w:rPr>
        <w:t xml:space="preserve"> </w:t>
      </w:r>
      <w:r w:rsidR="002C6A8C">
        <w:rPr>
          <w:lang w:val="ru-RU" w:eastAsia="en-US"/>
        </w:rPr>
        <w:t>доступа</w:t>
      </w:r>
      <w:bookmarkEnd w:id="0"/>
      <w:r w:rsidRPr="002C6A8C">
        <w:rPr>
          <w:lang w:eastAsia="en-US"/>
        </w:rPr>
        <w:t>: 11.10.2026.</w:t>
      </w:r>
    </w:p>
    <w:p w14:paraId="586BD93B" w14:textId="2F23F89F" w:rsidR="00CE3A60" w:rsidRPr="002C6A8C" w:rsidRDefault="00000000">
      <w:pPr>
        <w:pStyle w:val="a7"/>
        <w:rPr>
          <w:lang w:eastAsia="en-US"/>
        </w:rPr>
      </w:pPr>
      <w:r w:rsidRPr="002C6A8C">
        <w:rPr>
          <w:lang w:eastAsia="en-US"/>
        </w:rPr>
        <w:t xml:space="preserve">2. Liu, F. NIST Cloud Computing Reference </w:t>
      </w:r>
      <w:proofErr w:type="gramStart"/>
      <w:r w:rsidRPr="002C6A8C">
        <w:rPr>
          <w:lang w:eastAsia="en-US"/>
        </w:rPr>
        <w:t>Architecture :</w:t>
      </w:r>
      <w:proofErr w:type="gramEnd"/>
      <w:r w:rsidRPr="002C6A8C">
        <w:rPr>
          <w:lang w:eastAsia="en-US"/>
        </w:rPr>
        <w:t xml:space="preserve"> NIST Special Publication 500-292 [Electronic resource] / F. Liu [et al.]. – </w:t>
      </w:r>
      <w:proofErr w:type="gramStart"/>
      <w:r w:rsidRPr="002C6A8C">
        <w:rPr>
          <w:lang w:eastAsia="en-US"/>
        </w:rPr>
        <w:t>Gaithersburg :</w:t>
      </w:r>
      <w:proofErr w:type="gramEnd"/>
      <w:r w:rsidRPr="002C6A8C">
        <w:rPr>
          <w:lang w:eastAsia="en-US"/>
        </w:rPr>
        <w:t xml:space="preserve"> NIST, 2011. – Mode of access: https://doi.org/10.6028/NIST.SP.500-292. – </w:t>
      </w:r>
      <w:r w:rsidR="002C6A8C">
        <w:rPr>
          <w:lang w:val="ru-RU" w:eastAsia="en-US"/>
        </w:rPr>
        <w:t>Дата</w:t>
      </w:r>
      <w:r w:rsidR="002C6A8C" w:rsidRPr="002C6A8C">
        <w:rPr>
          <w:lang w:eastAsia="en-US"/>
        </w:rPr>
        <w:t xml:space="preserve"> </w:t>
      </w:r>
      <w:r w:rsidR="002C6A8C">
        <w:rPr>
          <w:lang w:val="ru-RU" w:eastAsia="en-US"/>
        </w:rPr>
        <w:t>доступа</w:t>
      </w:r>
      <w:r w:rsidRPr="002C6A8C">
        <w:rPr>
          <w:lang w:eastAsia="en-US"/>
        </w:rPr>
        <w:t>: 11.10.2026.</w:t>
      </w:r>
    </w:p>
    <w:p w14:paraId="3C7992F0" w14:textId="664A7163" w:rsidR="00CE3A60" w:rsidRPr="002C6A8C" w:rsidRDefault="00000000">
      <w:pPr>
        <w:pStyle w:val="a7"/>
        <w:rPr>
          <w:lang w:eastAsia="en-US"/>
        </w:rPr>
      </w:pPr>
      <w:r w:rsidRPr="002C6A8C">
        <w:rPr>
          <w:lang w:eastAsia="en-US"/>
        </w:rPr>
        <w:t xml:space="preserve">3. Shared Responsibility Model [Electronic resource] / Amazon Web Services. – Mode of access: https://aws.amazon.com/compliance/shared-responsibility-model/. – </w:t>
      </w:r>
      <w:r w:rsidR="002C6A8C">
        <w:rPr>
          <w:lang w:val="ru-RU" w:eastAsia="en-US"/>
        </w:rPr>
        <w:t>Дата</w:t>
      </w:r>
      <w:r w:rsidR="002C6A8C" w:rsidRPr="002C6A8C">
        <w:rPr>
          <w:lang w:eastAsia="en-US"/>
        </w:rPr>
        <w:t xml:space="preserve"> </w:t>
      </w:r>
      <w:r w:rsidR="002C6A8C">
        <w:rPr>
          <w:lang w:val="ru-RU" w:eastAsia="en-US"/>
        </w:rPr>
        <w:t>доступа</w:t>
      </w:r>
      <w:r w:rsidRPr="002C6A8C">
        <w:rPr>
          <w:lang w:eastAsia="en-US"/>
        </w:rPr>
        <w:t>: 11.10.2026.</w:t>
      </w:r>
    </w:p>
    <w:p w14:paraId="1F06C73F" w14:textId="60DD20F8" w:rsidR="00CE3A60" w:rsidRPr="002C6A8C" w:rsidRDefault="00000000">
      <w:pPr>
        <w:pStyle w:val="a7"/>
        <w:rPr>
          <w:lang w:eastAsia="en-US"/>
        </w:rPr>
      </w:pPr>
      <w:r w:rsidRPr="002C6A8C">
        <w:rPr>
          <w:lang w:eastAsia="en-US"/>
        </w:rPr>
        <w:t xml:space="preserve">4. Plan your migration [Electronic resource] // Microsoft Cloud Adoption Framework. – Mode of access: https://learn.microsoft.com/en-us/azure/cloud-adoption-framework/migrate/plan-migration. – </w:t>
      </w:r>
      <w:r w:rsidR="002C6A8C">
        <w:rPr>
          <w:lang w:val="ru-RU" w:eastAsia="en-US"/>
        </w:rPr>
        <w:t>Дата</w:t>
      </w:r>
      <w:r w:rsidR="002C6A8C" w:rsidRPr="002C6A8C">
        <w:rPr>
          <w:lang w:eastAsia="en-US"/>
        </w:rPr>
        <w:t xml:space="preserve"> </w:t>
      </w:r>
      <w:r w:rsidR="002C6A8C">
        <w:rPr>
          <w:lang w:val="ru-RU" w:eastAsia="en-US"/>
        </w:rPr>
        <w:t>доступа</w:t>
      </w:r>
      <w:r w:rsidRPr="002C6A8C">
        <w:rPr>
          <w:lang w:eastAsia="en-US"/>
        </w:rPr>
        <w:t>: 11.10.2026.</w:t>
      </w:r>
    </w:p>
    <w:p w14:paraId="62168F5B" w14:textId="27E13875" w:rsidR="00CE3A60" w:rsidRPr="002C6A8C" w:rsidRDefault="00000000">
      <w:pPr>
        <w:pStyle w:val="a7"/>
        <w:rPr>
          <w:lang w:eastAsia="en-US"/>
        </w:rPr>
      </w:pPr>
      <w:r w:rsidRPr="002C6A8C">
        <w:rPr>
          <w:lang w:eastAsia="en-US"/>
        </w:rPr>
        <w:t xml:space="preserve">5. Redundancy, replication, and backup [Electronic resource] // Microsoft Learn. – Mode of access: https://learn.microsoft.com/en-us/azure/reliability/concept-redundancy-replication-backup. – </w:t>
      </w:r>
      <w:r w:rsidR="002C6A8C">
        <w:rPr>
          <w:lang w:val="ru-RU" w:eastAsia="en-US"/>
        </w:rPr>
        <w:t>Дата</w:t>
      </w:r>
      <w:r w:rsidR="002C6A8C" w:rsidRPr="002C6A8C">
        <w:rPr>
          <w:lang w:eastAsia="en-US"/>
        </w:rPr>
        <w:t xml:space="preserve"> </w:t>
      </w:r>
      <w:r w:rsidR="002C6A8C">
        <w:rPr>
          <w:lang w:val="ru-RU" w:eastAsia="en-US"/>
        </w:rPr>
        <w:t>доступа</w:t>
      </w:r>
      <w:r w:rsidRPr="002C6A8C">
        <w:rPr>
          <w:lang w:eastAsia="en-US"/>
        </w:rPr>
        <w:t>: 11.10.2026.</w:t>
      </w:r>
    </w:p>
    <w:sectPr w:rsidR="00CE3A60" w:rsidRPr="002C6A8C" w:rsidSect="00343A2E">
      <w:footerReference w:type="default" r:id="rId8"/>
      <w:pgSz w:w="11906" w:h="16838"/>
      <w:pgMar w:top="1134" w:right="851" w:bottom="1531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F2F86E1" w14:textId="77777777" w:rsidR="00D77CCA" w:rsidRDefault="00D77CCA" w:rsidP="009853DE">
      <w:pPr>
        <w:spacing w:line="240" w:lineRule="auto"/>
      </w:pPr>
      <w:r>
        <w:separator/>
      </w:r>
    </w:p>
  </w:endnote>
  <w:endnote w:type="continuationSeparator" w:id="0">
    <w:p w14:paraId="7D1D4D1D" w14:textId="77777777" w:rsidR="00D77CCA" w:rsidRDefault="00D77CCA" w:rsidP="009853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T1918o00">
    <w:altName w:val="Cambria"/>
    <w:panose1 w:val="020B0604020202020204"/>
    <w:charset w:val="00"/>
    <w:family w:val="roman"/>
    <w:notTrueType/>
    <w:pitch w:val="default"/>
  </w:font>
  <w:font w:name="TT1976o00">
    <w:altName w:val="Cambria"/>
    <w:panose1 w:val="020B0604020202020204"/>
    <w:charset w:val="00"/>
    <w:family w:val="roman"/>
    <w:notTrueType/>
    <w:pitch w:val="default"/>
  </w:font>
  <w:font w:name="TT1977o00">
    <w:altName w:val="Cambria"/>
    <w:panose1 w:val="020B0604020202020204"/>
    <w:charset w:val="00"/>
    <w:family w:val="roman"/>
    <w:notTrueType/>
    <w:pitch w:val="default"/>
  </w:font>
  <w:font w:name="TT1975o00">
    <w:altName w:val="Cambria"/>
    <w:panose1 w:val="020B0604020202020204"/>
    <w:charset w:val="00"/>
    <w:family w:val="roman"/>
    <w:notTrueType/>
    <w:pitch w:val="default"/>
  </w:font>
  <w:font w:name="TT1979o00">
    <w:altName w:val="Cambria"/>
    <w:panose1 w:val="020B0604020202020204"/>
    <w:charset w:val="00"/>
    <w:family w:val="roman"/>
    <w:notTrueType/>
    <w:pitch w:val="default"/>
  </w:font>
  <w:font w:name="TT197Ao00">
    <w:altName w:val="Cambria"/>
    <w:panose1 w:val="020B0604020202020204"/>
    <w:charset w:val="00"/>
    <w:family w:val="roman"/>
    <w:notTrueType/>
    <w:pitch w:val="default"/>
  </w:font>
  <w:font w:name="TT1978o00">
    <w:altName w:val="Cambria"/>
    <w:panose1 w:val="020B0604020202020204"/>
    <w:charset w:val="00"/>
    <w:family w:val="roman"/>
    <w:notTrueType/>
    <w:pitch w:val="default"/>
  </w:font>
  <w:font w:name="TT191Ao00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453645282"/>
      <w:docPartObj>
        <w:docPartGallery w:val="Page Numbers (Bottom of Page)"/>
        <w:docPartUnique/>
      </w:docPartObj>
    </w:sdtPr>
    <w:sdtContent>
      <w:p w14:paraId="6069B49A" w14:textId="77777777" w:rsidR="00343A2E" w:rsidRDefault="00343A2E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426544" w14:textId="77777777" w:rsidR="009853DE" w:rsidRDefault="009853D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67CDE50" w14:textId="77777777" w:rsidR="00D77CCA" w:rsidRDefault="00D77CCA" w:rsidP="009853DE">
      <w:pPr>
        <w:spacing w:line="240" w:lineRule="auto"/>
      </w:pPr>
      <w:r>
        <w:separator/>
      </w:r>
    </w:p>
  </w:footnote>
  <w:footnote w:type="continuationSeparator" w:id="0">
    <w:p w14:paraId="198562A6" w14:textId="77777777" w:rsidR="00D77CCA" w:rsidRDefault="00D77CCA" w:rsidP="009853D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C4282E"/>
    <w:multiLevelType w:val="hybridMultilevel"/>
    <w:tmpl w:val="73EA3518"/>
    <w:lvl w:ilvl="0" w:tplc="B7AA9498">
      <w:start w:val="1"/>
      <w:numFmt w:val="decimal"/>
      <w:suff w:val="space"/>
      <w:lvlText w:val="%1"/>
      <w:lvlJc w:val="left"/>
      <w:pPr>
        <w:ind w:left="2136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8" w:hanging="360"/>
      </w:pPr>
    </w:lvl>
    <w:lvl w:ilvl="2" w:tplc="0423001B" w:tentative="1">
      <w:start w:val="1"/>
      <w:numFmt w:val="lowerRoman"/>
      <w:lvlText w:val="%3."/>
      <w:lvlJc w:val="right"/>
      <w:pPr>
        <w:ind w:left="2868" w:hanging="180"/>
      </w:pPr>
    </w:lvl>
    <w:lvl w:ilvl="3" w:tplc="0423000F" w:tentative="1">
      <w:start w:val="1"/>
      <w:numFmt w:val="decimal"/>
      <w:lvlText w:val="%4."/>
      <w:lvlJc w:val="left"/>
      <w:pPr>
        <w:ind w:left="3588" w:hanging="360"/>
      </w:pPr>
    </w:lvl>
    <w:lvl w:ilvl="4" w:tplc="04230019" w:tentative="1">
      <w:start w:val="1"/>
      <w:numFmt w:val="lowerLetter"/>
      <w:lvlText w:val="%5."/>
      <w:lvlJc w:val="left"/>
      <w:pPr>
        <w:ind w:left="4308" w:hanging="360"/>
      </w:pPr>
    </w:lvl>
    <w:lvl w:ilvl="5" w:tplc="0423001B" w:tentative="1">
      <w:start w:val="1"/>
      <w:numFmt w:val="lowerRoman"/>
      <w:lvlText w:val="%6."/>
      <w:lvlJc w:val="right"/>
      <w:pPr>
        <w:ind w:left="5028" w:hanging="180"/>
      </w:pPr>
    </w:lvl>
    <w:lvl w:ilvl="6" w:tplc="0423000F" w:tentative="1">
      <w:start w:val="1"/>
      <w:numFmt w:val="decimal"/>
      <w:lvlText w:val="%7."/>
      <w:lvlJc w:val="left"/>
      <w:pPr>
        <w:ind w:left="5748" w:hanging="360"/>
      </w:pPr>
    </w:lvl>
    <w:lvl w:ilvl="7" w:tplc="04230019" w:tentative="1">
      <w:start w:val="1"/>
      <w:numFmt w:val="lowerLetter"/>
      <w:lvlText w:val="%8."/>
      <w:lvlJc w:val="left"/>
      <w:pPr>
        <w:ind w:left="6468" w:hanging="360"/>
      </w:pPr>
    </w:lvl>
    <w:lvl w:ilvl="8" w:tplc="0423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F512E87"/>
    <w:multiLevelType w:val="hybridMultilevel"/>
    <w:tmpl w:val="69E01AC2"/>
    <w:lvl w:ilvl="0" w:tplc="D78A7EF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3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19B6A7B"/>
    <w:multiLevelType w:val="hybridMultilevel"/>
    <w:tmpl w:val="5FC43C02"/>
    <w:lvl w:ilvl="0" w:tplc="DDF2320A">
      <w:start w:val="1"/>
      <w:numFmt w:val="bullet"/>
      <w:suff w:val="space"/>
      <w:lvlText w:val="-"/>
      <w:lvlJc w:val="left"/>
      <w:pPr>
        <w:ind w:left="2136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8841101"/>
    <w:multiLevelType w:val="hybridMultilevel"/>
    <w:tmpl w:val="178CC206"/>
    <w:lvl w:ilvl="0" w:tplc="F0324084">
      <w:start w:val="1"/>
      <w:numFmt w:val="decimal"/>
      <w:suff w:val="space"/>
      <w:lvlText w:val="%1"/>
      <w:lvlJc w:val="left"/>
      <w:pPr>
        <w:ind w:left="1429" w:hanging="72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9" w:hanging="360"/>
      </w:p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2EE12A9"/>
    <w:multiLevelType w:val="hybridMultilevel"/>
    <w:tmpl w:val="CCB6DF52"/>
    <w:lvl w:ilvl="0" w:tplc="5E1247D2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3838497E">
      <w:start w:val="1"/>
      <w:numFmt w:val="lowerLetter"/>
      <w:suff w:val="space"/>
      <w:lvlText w:val="%2."/>
      <w:lvlJc w:val="left"/>
      <w:pPr>
        <w:ind w:left="2149" w:hanging="360"/>
      </w:pPr>
      <w:rPr>
        <w:rFonts w:hint="default"/>
      </w:r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9633EF2"/>
    <w:multiLevelType w:val="hybridMultilevel"/>
    <w:tmpl w:val="FC7E367C"/>
    <w:lvl w:ilvl="0" w:tplc="B7AA9498">
      <w:start w:val="1"/>
      <w:numFmt w:val="decimal"/>
      <w:suff w:val="space"/>
      <w:lvlText w:val="%1"/>
      <w:lvlJc w:val="left"/>
      <w:pPr>
        <w:ind w:left="1428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8" w:hanging="360"/>
      </w:pPr>
    </w:lvl>
    <w:lvl w:ilvl="2" w:tplc="0423001B" w:tentative="1">
      <w:start w:val="1"/>
      <w:numFmt w:val="lowerRoman"/>
      <w:lvlText w:val="%3."/>
      <w:lvlJc w:val="right"/>
      <w:pPr>
        <w:ind w:left="2868" w:hanging="180"/>
      </w:pPr>
    </w:lvl>
    <w:lvl w:ilvl="3" w:tplc="0423000F" w:tentative="1">
      <w:start w:val="1"/>
      <w:numFmt w:val="decimal"/>
      <w:lvlText w:val="%4."/>
      <w:lvlJc w:val="left"/>
      <w:pPr>
        <w:ind w:left="3588" w:hanging="360"/>
      </w:pPr>
    </w:lvl>
    <w:lvl w:ilvl="4" w:tplc="04230019" w:tentative="1">
      <w:start w:val="1"/>
      <w:numFmt w:val="lowerLetter"/>
      <w:lvlText w:val="%5."/>
      <w:lvlJc w:val="left"/>
      <w:pPr>
        <w:ind w:left="4308" w:hanging="360"/>
      </w:pPr>
    </w:lvl>
    <w:lvl w:ilvl="5" w:tplc="0423001B" w:tentative="1">
      <w:start w:val="1"/>
      <w:numFmt w:val="lowerRoman"/>
      <w:lvlText w:val="%6."/>
      <w:lvlJc w:val="right"/>
      <w:pPr>
        <w:ind w:left="5028" w:hanging="180"/>
      </w:pPr>
    </w:lvl>
    <w:lvl w:ilvl="6" w:tplc="0423000F" w:tentative="1">
      <w:start w:val="1"/>
      <w:numFmt w:val="decimal"/>
      <w:lvlText w:val="%7."/>
      <w:lvlJc w:val="left"/>
      <w:pPr>
        <w:ind w:left="5748" w:hanging="360"/>
      </w:pPr>
    </w:lvl>
    <w:lvl w:ilvl="7" w:tplc="04230019" w:tentative="1">
      <w:start w:val="1"/>
      <w:numFmt w:val="lowerLetter"/>
      <w:lvlText w:val="%8."/>
      <w:lvlJc w:val="left"/>
      <w:pPr>
        <w:ind w:left="6468" w:hanging="360"/>
      </w:pPr>
    </w:lvl>
    <w:lvl w:ilvl="8" w:tplc="0423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499A5709"/>
    <w:multiLevelType w:val="hybridMultilevel"/>
    <w:tmpl w:val="3240494C"/>
    <w:lvl w:ilvl="0" w:tplc="9238F16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28E567F"/>
    <w:multiLevelType w:val="hybridMultilevel"/>
    <w:tmpl w:val="C430F8BC"/>
    <w:lvl w:ilvl="0" w:tplc="026EA58E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  <w:color w:val="000000" w:themeColor="text1"/>
        <w:sz w:val="28"/>
        <w:szCs w:val="28"/>
        <w:u w:val="none"/>
      </w:rPr>
    </w:lvl>
    <w:lvl w:ilvl="1" w:tplc="04230019" w:tentative="1">
      <w:start w:val="1"/>
      <w:numFmt w:val="lowerLetter"/>
      <w:lvlText w:val="%2."/>
      <w:lvlJc w:val="left"/>
      <w:pPr>
        <w:ind w:left="2149" w:hanging="360"/>
      </w:p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BEB2153"/>
    <w:multiLevelType w:val="hybridMultilevel"/>
    <w:tmpl w:val="9E6C208A"/>
    <w:lvl w:ilvl="0" w:tplc="E80A4508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5C34087D"/>
    <w:multiLevelType w:val="multilevel"/>
    <w:tmpl w:val="696A6670"/>
    <w:lvl w:ilvl="0">
      <w:start w:val="1"/>
      <w:numFmt w:val="decimal"/>
      <w:pStyle w:val="a"/>
      <w:suff w:val="space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pStyle w:val="a0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0" w15:restartNumberingAfterBreak="0">
    <w:nsid w:val="6BB24818"/>
    <w:multiLevelType w:val="hybridMultilevel"/>
    <w:tmpl w:val="78220CDE"/>
    <w:lvl w:ilvl="0" w:tplc="8A00C78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75185DC1"/>
    <w:multiLevelType w:val="hybridMultilevel"/>
    <w:tmpl w:val="35683856"/>
    <w:lvl w:ilvl="0" w:tplc="DDF2320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615017504">
    <w:abstractNumId w:val="9"/>
  </w:num>
  <w:num w:numId="2" w16cid:durableId="958338698">
    <w:abstractNumId w:val="6"/>
  </w:num>
  <w:num w:numId="3" w16cid:durableId="1017266490">
    <w:abstractNumId w:val="4"/>
  </w:num>
  <w:num w:numId="4" w16cid:durableId="274143616">
    <w:abstractNumId w:val="3"/>
  </w:num>
  <w:num w:numId="5" w16cid:durableId="531116630">
    <w:abstractNumId w:val="9"/>
  </w:num>
  <w:num w:numId="6" w16cid:durableId="1870332678">
    <w:abstractNumId w:val="7"/>
  </w:num>
  <w:num w:numId="7" w16cid:durableId="651367658">
    <w:abstractNumId w:val="1"/>
  </w:num>
  <w:num w:numId="8" w16cid:durableId="218445826">
    <w:abstractNumId w:val="11"/>
  </w:num>
  <w:num w:numId="9" w16cid:durableId="1365522064">
    <w:abstractNumId w:val="2"/>
  </w:num>
  <w:num w:numId="10" w16cid:durableId="893008249">
    <w:abstractNumId w:val="9"/>
  </w:num>
  <w:num w:numId="11" w16cid:durableId="738727">
    <w:abstractNumId w:val="9"/>
  </w:num>
  <w:num w:numId="12" w16cid:durableId="600801191">
    <w:abstractNumId w:val="9"/>
  </w:num>
  <w:num w:numId="13" w16cid:durableId="463281838">
    <w:abstractNumId w:val="9"/>
  </w:num>
  <w:num w:numId="14" w16cid:durableId="522595750">
    <w:abstractNumId w:val="10"/>
  </w:num>
  <w:num w:numId="15" w16cid:durableId="866068469">
    <w:abstractNumId w:val="5"/>
  </w:num>
  <w:num w:numId="16" w16cid:durableId="339354460">
    <w:abstractNumId w:val="0"/>
  </w:num>
  <w:num w:numId="17" w16cid:durableId="1444307893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proofState w:spelling="clean" w:grammar="clean"/>
  <w:defaultTabStop w:val="708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AF"/>
    <w:rsid w:val="000016A5"/>
    <w:rsid w:val="00001C69"/>
    <w:rsid w:val="00017F41"/>
    <w:rsid w:val="0002001C"/>
    <w:rsid w:val="000279AC"/>
    <w:rsid w:val="000367E6"/>
    <w:rsid w:val="00040615"/>
    <w:rsid w:val="000408A2"/>
    <w:rsid w:val="0004637A"/>
    <w:rsid w:val="00054682"/>
    <w:rsid w:val="000558A5"/>
    <w:rsid w:val="000677BC"/>
    <w:rsid w:val="00067CEA"/>
    <w:rsid w:val="00070B61"/>
    <w:rsid w:val="00071223"/>
    <w:rsid w:val="00073188"/>
    <w:rsid w:val="0007468B"/>
    <w:rsid w:val="000802FF"/>
    <w:rsid w:val="0008694D"/>
    <w:rsid w:val="0009278B"/>
    <w:rsid w:val="00093FCB"/>
    <w:rsid w:val="000940C5"/>
    <w:rsid w:val="0009661F"/>
    <w:rsid w:val="000A4AFE"/>
    <w:rsid w:val="000B4B65"/>
    <w:rsid w:val="000C1475"/>
    <w:rsid w:val="000C389E"/>
    <w:rsid w:val="000C6948"/>
    <w:rsid w:val="000D3F19"/>
    <w:rsid w:val="000D43B8"/>
    <w:rsid w:val="000D5182"/>
    <w:rsid w:val="000D72C7"/>
    <w:rsid w:val="000F5B86"/>
    <w:rsid w:val="00101581"/>
    <w:rsid w:val="00101E49"/>
    <w:rsid w:val="00103F16"/>
    <w:rsid w:val="001243CB"/>
    <w:rsid w:val="001254F4"/>
    <w:rsid w:val="00130151"/>
    <w:rsid w:val="001326E8"/>
    <w:rsid w:val="00135527"/>
    <w:rsid w:val="001364DB"/>
    <w:rsid w:val="00137950"/>
    <w:rsid w:val="001402F5"/>
    <w:rsid w:val="00143DE2"/>
    <w:rsid w:val="00147364"/>
    <w:rsid w:val="0015008D"/>
    <w:rsid w:val="00156122"/>
    <w:rsid w:val="00161BDB"/>
    <w:rsid w:val="001671BF"/>
    <w:rsid w:val="001678FF"/>
    <w:rsid w:val="00180658"/>
    <w:rsid w:val="00186EA5"/>
    <w:rsid w:val="001A6136"/>
    <w:rsid w:val="001B2BD5"/>
    <w:rsid w:val="001D4764"/>
    <w:rsid w:val="001F3840"/>
    <w:rsid w:val="001F4182"/>
    <w:rsid w:val="0020003F"/>
    <w:rsid w:val="00204D8F"/>
    <w:rsid w:val="00215C29"/>
    <w:rsid w:val="002416DB"/>
    <w:rsid w:val="00251F0E"/>
    <w:rsid w:val="00252E4F"/>
    <w:rsid w:val="00252F54"/>
    <w:rsid w:val="0025615E"/>
    <w:rsid w:val="00257DD7"/>
    <w:rsid w:val="002711B6"/>
    <w:rsid w:val="0027151B"/>
    <w:rsid w:val="002724AE"/>
    <w:rsid w:val="00282C6E"/>
    <w:rsid w:val="00287CC0"/>
    <w:rsid w:val="002A0444"/>
    <w:rsid w:val="002A4E7C"/>
    <w:rsid w:val="002A68FC"/>
    <w:rsid w:val="002A7208"/>
    <w:rsid w:val="002B482C"/>
    <w:rsid w:val="002C6508"/>
    <w:rsid w:val="002C68CF"/>
    <w:rsid w:val="002C6A8C"/>
    <w:rsid w:val="002E302C"/>
    <w:rsid w:val="002E601A"/>
    <w:rsid w:val="002F0FB0"/>
    <w:rsid w:val="00317F1D"/>
    <w:rsid w:val="003229DD"/>
    <w:rsid w:val="003316B8"/>
    <w:rsid w:val="00341838"/>
    <w:rsid w:val="00343A2E"/>
    <w:rsid w:val="00347B29"/>
    <w:rsid w:val="003513D8"/>
    <w:rsid w:val="0035396B"/>
    <w:rsid w:val="00355407"/>
    <w:rsid w:val="00362734"/>
    <w:rsid w:val="00362B24"/>
    <w:rsid w:val="003651AB"/>
    <w:rsid w:val="003671E9"/>
    <w:rsid w:val="00370351"/>
    <w:rsid w:val="00384FD5"/>
    <w:rsid w:val="00385603"/>
    <w:rsid w:val="00393F1E"/>
    <w:rsid w:val="00395DE2"/>
    <w:rsid w:val="003A531F"/>
    <w:rsid w:val="003A57F1"/>
    <w:rsid w:val="003B3CA4"/>
    <w:rsid w:val="003B718E"/>
    <w:rsid w:val="003C1D4D"/>
    <w:rsid w:val="003D388D"/>
    <w:rsid w:val="003E10CA"/>
    <w:rsid w:val="003E6E12"/>
    <w:rsid w:val="00402ACA"/>
    <w:rsid w:val="00407721"/>
    <w:rsid w:val="0042612A"/>
    <w:rsid w:val="00441E87"/>
    <w:rsid w:val="004442DF"/>
    <w:rsid w:val="00444DC6"/>
    <w:rsid w:val="00445F62"/>
    <w:rsid w:val="00452F00"/>
    <w:rsid w:val="00456CBA"/>
    <w:rsid w:val="00460122"/>
    <w:rsid w:val="00460690"/>
    <w:rsid w:val="00460DCF"/>
    <w:rsid w:val="00467DFB"/>
    <w:rsid w:val="00472D9E"/>
    <w:rsid w:val="004752EA"/>
    <w:rsid w:val="004802D4"/>
    <w:rsid w:val="004835BA"/>
    <w:rsid w:val="004A3E2C"/>
    <w:rsid w:val="004B29AF"/>
    <w:rsid w:val="004B7786"/>
    <w:rsid w:val="004B7ECC"/>
    <w:rsid w:val="004D6C2E"/>
    <w:rsid w:val="004E1385"/>
    <w:rsid w:val="004E3175"/>
    <w:rsid w:val="004F6FA4"/>
    <w:rsid w:val="00505152"/>
    <w:rsid w:val="00535284"/>
    <w:rsid w:val="00542144"/>
    <w:rsid w:val="00551193"/>
    <w:rsid w:val="00562826"/>
    <w:rsid w:val="005704AB"/>
    <w:rsid w:val="00571977"/>
    <w:rsid w:val="005746F7"/>
    <w:rsid w:val="00577869"/>
    <w:rsid w:val="005850D1"/>
    <w:rsid w:val="00592848"/>
    <w:rsid w:val="005A5DC6"/>
    <w:rsid w:val="005D1A7B"/>
    <w:rsid w:val="005D5400"/>
    <w:rsid w:val="005E29FC"/>
    <w:rsid w:val="00602DBB"/>
    <w:rsid w:val="006058CC"/>
    <w:rsid w:val="00610267"/>
    <w:rsid w:val="006122F7"/>
    <w:rsid w:val="006223E7"/>
    <w:rsid w:val="006240C5"/>
    <w:rsid w:val="00625B89"/>
    <w:rsid w:val="00633ABF"/>
    <w:rsid w:val="006345BB"/>
    <w:rsid w:val="00640961"/>
    <w:rsid w:val="00651C07"/>
    <w:rsid w:val="00653AC9"/>
    <w:rsid w:val="00667780"/>
    <w:rsid w:val="006726E9"/>
    <w:rsid w:val="00676E8B"/>
    <w:rsid w:val="00677780"/>
    <w:rsid w:val="00681BAB"/>
    <w:rsid w:val="00685021"/>
    <w:rsid w:val="006A4EC5"/>
    <w:rsid w:val="006A717B"/>
    <w:rsid w:val="006B016F"/>
    <w:rsid w:val="006C3E7F"/>
    <w:rsid w:val="006C4DD2"/>
    <w:rsid w:val="006C670A"/>
    <w:rsid w:val="006C7465"/>
    <w:rsid w:val="006D2217"/>
    <w:rsid w:val="006E621B"/>
    <w:rsid w:val="006F4E44"/>
    <w:rsid w:val="00700911"/>
    <w:rsid w:val="00701855"/>
    <w:rsid w:val="00705F11"/>
    <w:rsid w:val="0071623E"/>
    <w:rsid w:val="00716AD6"/>
    <w:rsid w:val="0072128D"/>
    <w:rsid w:val="00730C51"/>
    <w:rsid w:val="00736B4E"/>
    <w:rsid w:val="00741450"/>
    <w:rsid w:val="0075210D"/>
    <w:rsid w:val="00755897"/>
    <w:rsid w:val="00760647"/>
    <w:rsid w:val="00770E04"/>
    <w:rsid w:val="007862EF"/>
    <w:rsid w:val="007A4F4D"/>
    <w:rsid w:val="007B1509"/>
    <w:rsid w:val="007B67DE"/>
    <w:rsid w:val="007B69EE"/>
    <w:rsid w:val="007D39BC"/>
    <w:rsid w:val="007D4AC1"/>
    <w:rsid w:val="007D6390"/>
    <w:rsid w:val="007D684F"/>
    <w:rsid w:val="007F203A"/>
    <w:rsid w:val="00813F59"/>
    <w:rsid w:val="00814DB7"/>
    <w:rsid w:val="00815E4A"/>
    <w:rsid w:val="00821F43"/>
    <w:rsid w:val="00845FED"/>
    <w:rsid w:val="008460C5"/>
    <w:rsid w:val="00856B02"/>
    <w:rsid w:val="0086459E"/>
    <w:rsid w:val="00864CCF"/>
    <w:rsid w:val="008755E8"/>
    <w:rsid w:val="0087665A"/>
    <w:rsid w:val="00876E6E"/>
    <w:rsid w:val="008947F8"/>
    <w:rsid w:val="008A7962"/>
    <w:rsid w:val="008B51B2"/>
    <w:rsid w:val="008D4026"/>
    <w:rsid w:val="008D7939"/>
    <w:rsid w:val="008E45E4"/>
    <w:rsid w:val="008E4AEC"/>
    <w:rsid w:val="008E75EA"/>
    <w:rsid w:val="008E7E18"/>
    <w:rsid w:val="008F512A"/>
    <w:rsid w:val="008F73E0"/>
    <w:rsid w:val="008F7FF2"/>
    <w:rsid w:val="0090597D"/>
    <w:rsid w:val="00905B2C"/>
    <w:rsid w:val="009077BD"/>
    <w:rsid w:val="00911C53"/>
    <w:rsid w:val="00911F35"/>
    <w:rsid w:val="009146EA"/>
    <w:rsid w:val="0095086D"/>
    <w:rsid w:val="00953764"/>
    <w:rsid w:val="00955BD4"/>
    <w:rsid w:val="00970967"/>
    <w:rsid w:val="009713CD"/>
    <w:rsid w:val="00980BEC"/>
    <w:rsid w:val="009853DE"/>
    <w:rsid w:val="00987ADB"/>
    <w:rsid w:val="00987B19"/>
    <w:rsid w:val="009A3755"/>
    <w:rsid w:val="009B2994"/>
    <w:rsid w:val="009B4584"/>
    <w:rsid w:val="009C193D"/>
    <w:rsid w:val="009C1DBF"/>
    <w:rsid w:val="009D2EAC"/>
    <w:rsid w:val="009D5E02"/>
    <w:rsid w:val="00A36BCB"/>
    <w:rsid w:val="00A402B9"/>
    <w:rsid w:val="00A433BD"/>
    <w:rsid w:val="00A4392C"/>
    <w:rsid w:val="00A449C6"/>
    <w:rsid w:val="00A55628"/>
    <w:rsid w:val="00A62DF0"/>
    <w:rsid w:val="00A659C7"/>
    <w:rsid w:val="00A70724"/>
    <w:rsid w:val="00A71681"/>
    <w:rsid w:val="00A837F3"/>
    <w:rsid w:val="00A869AB"/>
    <w:rsid w:val="00A973CF"/>
    <w:rsid w:val="00AA72D6"/>
    <w:rsid w:val="00AA76E8"/>
    <w:rsid w:val="00AB20E8"/>
    <w:rsid w:val="00AB4E41"/>
    <w:rsid w:val="00AB68A0"/>
    <w:rsid w:val="00AC0203"/>
    <w:rsid w:val="00AD2608"/>
    <w:rsid w:val="00AD3E8B"/>
    <w:rsid w:val="00B05708"/>
    <w:rsid w:val="00B057DE"/>
    <w:rsid w:val="00B06CCB"/>
    <w:rsid w:val="00B214F8"/>
    <w:rsid w:val="00B22DCB"/>
    <w:rsid w:val="00B235FB"/>
    <w:rsid w:val="00B24AE1"/>
    <w:rsid w:val="00B2541F"/>
    <w:rsid w:val="00B2626D"/>
    <w:rsid w:val="00B328BF"/>
    <w:rsid w:val="00B40E10"/>
    <w:rsid w:val="00B57AF8"/>
    <w:rsid w:val="00B60A9E"/>
    <w:rsid w:val="00B61612"/>
    <w:rsid w:val="00B65BA9"/>
    <w:rsid w:val="00B83760"/>
    <w:rsid w:val="00B8609F"/>
    <w:rsid w:val="00B86885"/>
    <w:rsid w:val="00B90D9F"/>
    <w:rsid w:val="00B94888"/>
    <w:rsid w:val="00BA4814"/>
    <w:rsid w:val="00BA703D"/>
    <w:rsid w:val="00BB4D55"/>
    <w:rsid w:val="00BB5D18"/>
    <w:rsid w:val="00BB7DD7"/>
    <w:rsid w:val="00BC0A64"/>
    <w:rsid w:val="00BC0F56"/>
    <w:rsid w:val="00BC528A"/>
    <w:rsid w:val="00BD20AD"/>
    <w:rsid w:val="00BE5890"/>
    <w:rsid w:val="00BF4BC4"/>
    <w:rsid w:val="00BF6101"/>
    <w:rsid w:val="00C06B45"/>
    <w:rsid w:val="00C11EA9"/>
    <w:rsid w:val="00C16893"/>
    <w:rsid w:val="00C30665"/>
    <w:rsid w:val="00C3390C"/>
    <w:rsid w:val="00C45C7D"/>
    <w:rsid w:val="00C51FD3"/>
    <w:rsid w:val="00C614DD"/>
    <w:rsid w:val="00C65DFE"/>
    <w:rsid w:val="00C80AC2"/>
    <w:rsid w:val="00C8668D"/>
    <w:rsid w:val="00CA18C4"/>
    <w:rsid w:val="00CD1097"/>
    <w:rsid w:val="00CD5E58"/>
    <w:rsid w:val="00CE3A60"/>
    <w:rsid w:val="00CE78A4"/>
    <w:rsid w:val="00CF2170"/>
    <w:rsid w:val="00CF2616"/>
    <w:rsid w:val="00D015F6"/>
    <w:rsid w:val="00D044F8"/>
    <w:rsid w:val="00D07297"/>
    <w:rsid w:val="00D07B47"/>
    <w:rsid w:val="00D24D7B"/>
    <w:rsid w:val="00D36C4A"/>
    <w:rsid w:val="00D478C9"/>
    <w:rsid w:val="00D545AC"/>
    <w:rsid w:val="00D61508"/>
    <w:rsid w:val="00D703F4"/>
    <w:rsid w:val="00D70885"/>
    <w:rsid w:val="00D708EF"/>
    <w:rsid w:val="00D75B58"/>
    <w:rsid w:val="00D75E22"/>
    <w:rsid w:val="00D76A46"/>
    <w:rsid w:val="00D77CCA"/>
    <w:rsid w:val="00D81658"/>
    <w:rsid w:val="00D842A2"/>
    <w:rsid w:val="00D84962"/>
    <w:rsid w:val="00DA24F9"/>
    <w:rsid w:val="00DA2750"/>
    <w:rsid w:val="00DA2BD1"/>
    <w:rsid w:val="00DA3424"/>
    <w:rsid w:val="00DA3665"/>
    <w:rsid w:val="00DD61D7"/>
    <w:rsid w:val="00DE1351"/>
    <w:rsid w:val="00DF6EE9"/>
    <w:rsid w:val="00E06E0D"/>
    <w:rsid w:val="00E1591C"/>
    <w:rsid w:val="00E17977"/>
    <w:rsid w:val="00E22ED3"/>
    <w:rsid w:val="00E2741B"/>
    <w:rsid w:val="00E46A23"/>
    <w:rsid w:val="00E46F78"/>
    <w:rsid w:val="00E5591C"/>
    <w:rsid w:val="00E559A3"/>
    <w:rsid w:val="00E602F3"/>
    <w:rsid w:val="00E827DA"/>
    <w:rsid w:val="00E92E5F"/>
    <w:rsid w:val="00E95A50"/>
    <w:rsid w:val="00EB01C9"/>
    <w:rsid w:val="00EB7D28"/>
    <w:rsid w:val="00ED18AF"/>
    <w:rsid w:val="00ED47DE"/>
    <w:rsid w:val="00EE6CFA"/>
    <w:rsid w:val="00EF1A03"/>
    <w:rsid w:val="00F03017"/>
    <w:rsid w:val="00F03460"/>
    <w:rsid w:val="00F0465F"/>
    <w:rsid w:val="00F15598"/>
    <w:rsid w:val="00F22AA2"/>
    <w:rsid w:val="00F2330B"/>
    <w:rsid w:val="00F23DA1"/>
    <w:rsid w:val="00F27CE6"/>
    <w:rsid w:val="00F37008"/>
    <w:rsid w:val="00F37AA4"/>
    <w:rsid w:val="00F412AF"/>
    <w:rsid w:val="00F43CE8"/>
    <w:rsid w:val="00F51FFF"/>
    <w:rsid w:val="00F52BC7"/>
    <w:rsid w:val="00F63DDD"/>
    <w:rsid w:val="00F97940"/>
    <w:rsid w:val="00FA3BC5"/>
    <w:rsid w:val="00FB2E9C"/>
    <w:rsid w:val="00FC6310"/>
    <w:rsid w:val="00FE3B2D"/>
    <w:rsid w:val="00FE4F6A"/>
    <w:rsid w:val="00FF1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e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435CE7"/>
  <w15:chartTrackingRefBased/>
  <w15:docId w15:val="{FEF3F744-6D3D-4BC7-BA52-849D22692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e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rsid w:val="00505152"/>
    <w:pPr>
      <w:spacing w:after="0"/>
    </w:pPr>
    <w:rPr>
      <w:rFonts w:ascii="Times New Roman" w:hAnsi="Times New Roman"/>
      <w:sz w:val="28"/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CE78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D044F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044F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044F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044F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5">
    <w:name w:val="Заголовок без нумерации"/>
    <w:basedOn w:val="1"/>
    <w:link w:val="a6"/>
    <w:qFormat/>
    <w:rsid w:val="00CE78A4"/>
    <w:pPr>
      <w:spacing w:after="320" w:line="240" w:lineRule="auto"/>
      <w:ind w:right="-2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8"/>
      <w:lang w:eastAsia="be-BY"/>
    </w:rPr>
  </w:style>
  <w:style w:type="paragraph" w:customStyle="1" w:styleId="a7">
    <w:name w:val="Осн текст"/>
    <w:basedOn w:val="a1"/>
    <w:link w:val="a8"/>
    <w:qFormat/>
    <w:rsid w:val="00955BD4"/>
    <w:pPr>
      <w:spacing w:line="240" w:lineRule="auto"/>
      <w:ind w:right="-2" w:firstLine="708"/>
      <w:jc w:val="both"/>
    </w:pPr>
    <w:rPr>
      <w:rFonts w:eastAsia="Times New Roman" w:cs="Times New Roman"/>
      <w:color w:val="000000"/>
      <w:szCs w:val="28"/>
      <w:lang w:val="en-US" w:eastAsia="be-BY"/>
    </w:rPr>
  </w:style>
  <w:style w:type="character" w:customStyle="1" w:styleId="a6">
    <w:name w:val="Заголовок без нумерации Знак"/>
    <w:basedOn w:val="a2"/>
    <w:link w:val="a5"/>
    <w:rsid w:val="00A449C6"/>
    <w:rPr>
      <w:rFonts w:ascii="Times New Roman" w:eastAsia="Times New Roman" w:hAnsi="Times New Roman" w:cs="Times New Roman"/>
      <w:b/>
      <w:bCs/>
      <w:caps/>
      <w:color w:val="000000"/>
      <w:sz w:val="28"/>
      <w:szCs w:val="28"/>
      <w:lang w:val="ru-RU" w:eastAsia="be-BY"/>
    </w:rPr>
  </w:style>
  <w:style w:type="paragraph" w:customStyle="1" w:styleId="a">
    <w:name w:val="заголовок номерной"/>
    <w:basedOn w:val="1"/>
    <w:next w:val="a7"/>
    <w:link w:val="a9"/>
    <w:autoRedefine/>
    <w:qFormat/>
    <w:rsid w:val="00856B02"/>
    <w:pPr>
      <w:numPr>
        <w:numId w:val="1"/>
      </w:numPr>
      <w:spacing w:before="320" w:after="320" w:line="240" w:lineRule="auto"/>
    </w:pPr>
    <w:rPr>
      <w:rFonts w:ascii="Times New Roman" w:eastAsia="Times New Roman" w:hAnsi="Times New Roman" w:cs="Times New Roman"/>
      <w:b/>
      <w:caps/>
      <w:color w:val="000000"/>
      <w:sz w:val="28"/>
      <w:szCs w:val="28"/>
      <w:lang w:eastAsia="be-BY"/>
    </w:rPr>
  </w:style>
  <w:style w:type="character" w:customStyle="1" w:styleId="a8">
    <w:name w:val="Осн текст Знак"/>
    <w:basedOn w:val="a2"/>
    <w:link w:val="a7"/>
    <w:rsid w:val="00955BD4"/>
    <w:rPr>
      <w:rFonts w:ascii="Times New Roman" w:eastAsia="Times New Roman" w:hAnsi="Times New Roman" w:cs="Times New Roman"/>
      <w:color w:val="000000"/>
      <w:sz w:val="28"/>
      <w:szCs w:val="28"/>
      <w:lang w:val="en-US" w:eastAsia="be-BY"/>
    </w:rPr>
  </w:style>
  <w:style w:type="paragraph" w:styleId="aa">
    <w:name w:val="header"/>
    <w:basedOn w:val="a1"/>
    <w:link w:val="ab"/>
    <w:uiPriority w:val="99"/>
    <w:unhideWhenUsed/>
    <w:rsid w:val="009853D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заголовок номерной Знак"/>
    <w:basedOn w:val="a2"/>
    <w:link w:val="a"/>
    <w:rsid w:val="00856B02"/>
    <w:rPr>
      <w:rFonts w:ascii="Times New Roman" w:eastAsia="Times New Roman" w:hAnsi="Times New Roman" w:cs="Times New Roman"/>
      <w:b/>
      <w:caps/>
      <w:color w:val="000000"/>
      <w:sz w:val="28"/>
      <w:szCs w:val="28"/>
      <w:lang w:val="ru-RU" w:eastAsia="be-BY"/>
    </w:rPr>
  </w:style>
  <w:style w:type="character" w:customStyle="1" w:styleId="ab">
    <w:name w:val="Верхний колонтитул Знак"/>
    <w:basedOn w:val="a2"/>
    <w:link w:val="aa"/>
    <w:uiPriority w:val="99"/>
    <w:rsid w:val="009853DE"/>
    <w:rPr>
      <w:rFonts w:ascii="Times New Roman" w:hAnsi="Times New Roman"/>
      <w:sz w:val="28"/>
      <w:lang w:val="ru-RU"/>
    </w:rPr>
  </w:style>
  <w:style w:type="paragraph" w:styleId="ac">
    <w:name w:val="footer"/>
    <w:basedOn w:val="a1"/>
    <w:link w:val="ad"/>
    <w:uiPriority w:val="99"/>
    <w:unhideWhenUsed/>
    <w:rsid w:val="009853DE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9853DE"/>
    <w:rPr>
      <w:rFonts w:ascii="Times New Roman" w:hAnsi="Times New Roman"/>
      <w:sz w:val="28"/>
      <w:lang w:val="ru-RU"/>
    </w:rPr>
  </w:style>
  <w:style w:type="character" w:customStyle="1" w:styleId="10">
    <w:name w:val="Заголовок 1 Знак"/>
    <w:basedOn w:val="a2"/>
    <w:link w:val="1"/>
    <w:uiPriority w:val="9"/>
    <w:rsid w:val="00CE78A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paragraph" w:styleId="11">
    <w:name w:val="toc 1"/>
    <w:basedOn w:val="a1"/>
    <w:next w:val="a1"/>
    <w:autoRedefine/>
    <w:uiPriority w:val="39"/>
    <w:unhideWhenUsed/>
    <w:rsid w:val="00CE78A4"/>
    <w:pPr>
      <w:spacing w:after="100"/>
    </w:pPr>
  </w:style>
  <w:style w:type="paragraph" w:styleId="ae">
    <w:name w:val="TOC Heading"/>
    <w:basedOn w:val="1"/>
    <w:next w:val="a1"/>
    <w:uiPriority w:val="39"/>
    <w:unhideWhenUsed/>
    <w:qFormat/>
    <w:rsid w:val="00CE78A4"/>
    <w:pPr>
      <w:outlineLvl w:val="9"/>
    </w:pPr>
    <w:rPr>
      <w:lang w:val="be-BY" w:eastAsia="be-BY"/>
    </w:rPr>
  </w:style>
  <w:style w:type="character" w:styleId="af">
    <w:name w:val="Hyperlink"/>
    <w:basedOn w:val="a2"/>
    <w:uiPriority w:val="99"/>
    <w:unhideWhenUsed/>
    <w:rsid w:val="00CE78A4"/>
    <w:rPr>
      <w:color w:val="0563C1" w:themeColor="hyperlink"/>
      <w:u w:val="single"/>
    </w:rPr>
  </w:style>
  <w:style w:type="paragraph" w:styleId="af0">
    <w:name w:val="Title"/>
    <w:basedOn w:val="a1"/>
    <w:next w:val="a1"/>
    <w:link w:val="af1"/>
    <w:uiPriority w:val="10"/>
    <w:qFormat/>
    <w:rsid w:val="00CE78A4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1">
    <w:name w:val="Заголовок Знак"/>
    <w:basedOn w:val="a2"/>
    <w:link w:val="af0"/>
    <w:uiPriority w:val="10"/>
    <w:rsid w:val="00CE78A4"/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</w:rPr>
  </w:style>
  <w:style w:type="character" w:customStyle="1" w:styleId="20">
    <w:name w:val="Заголовок 2 Знак"/>
    <w:basedOn w:val="a2"/>
    <w:link w:val="2"/>
    <w:uiPriority w:val="9"/>
    <w:semiHidden/>
    <w:rsid w:val="00D044F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D044F8"/>
    <w:rPr>
      <w:rFonts w:asciiTheme="majorHAnsi" w:eastAsiaTheme="majorEastAsia" w:hAnsiTheme="majorHAnsi" w:cstheme="majorBidi"/>
      <w:i/>
      <w:iCs/>
      <w:color w:val="2F5496" w:themeColor="accent1" w:themeShade="BF"/>
      <w:sz w:val="28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D044F8"/>
    <w:rPr>
      <w:rFonts w:asciiTheme="majorHAnsi" w:eastAsiaTheme="majorEastAsia" w:hAnsiTheme="majorHAnsi" w:cstheme="majorBidi"/>
      <w:color w:val="2F5496" w:themeColor="accent1" w:themeShade="BF"/>
      <w:sz w:val="28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D044F8"/>
    <w:rPr>
      <w:rFonts w:asciiTheme="majorHAnsi" w:eastAsiaTheme="majorEastAsia" w:hAnsiTheme="majorHAnsi" w:cstheme="majorBidi"/>
      <w:color w:val="1F3763" w:themeColor="accent1" w:themeShade="7F"/>
      <w:sz w:val="28"/>
      <w:lang w:val="ru-RU"/>
    </w:rPr>
  </w:style>
  <w:style w:type="paragraph" w:customStyle="1" w:styleId="a0">
    <w:name w:val="подзаголовок"/>
    <w:basedOn w:val="2"/>
    <w:next w:val="a7"/>
    <w:link w:val="af2"/>
    <w:autoRedefine/>
    <w:qFormat/>
    <w:rsid w:val="005746F7"/>
    <w:pPr>
      <w:numPr>
        <w:ilvl w:val="1"/>
        <w:numId w:val="1"/>
      </w:numPr>
      <w:spacing w:before="320" w:after="320" w:line="240" w:lineRule="auto"/>
    </w:pPr>
    <w:rPr>
      <w:rFonts w:ascii="Times New Roman" w:hAnsi="Times New Roman"/>
      <w:b/>
      <w:color w:val="000000" w:themeColor="text1"/>
      <w:sz w:val="28"/>
    </w:rPr>
  </w:style>
  <w:style w:type="character" w:customStyle="1" w:styleId="af2">
    <w:name w:val="подзаголовок Знак"/>
    <w:basedOn w:val="20"/>
    <w:link w:val="a0"/>
    <w:rsid w:val="005746F7"/>
    <w:rPr>
      <w:rFonts w:ascii="Times New Roman" w:eastAsiaTheme="majorEastAsia" w:hAnsi="Times New Roman" w:cstheme="majorBidi"/>
      <w:b/>
      <w:color w:val="000000" w:themeColor="text1"/>
      <w:sz w:val="28"/>
      <w:szCs w:val="26"/>
      <w:lang w:val="ru-RU"/>
    </w:rPr>
  </w:style>
  <w:style w:type="paragraph" w:styleId="21">
    <w:name w:val="toc 2"/>
    <w:basedOn w:val="a1"/>
    <w:next w:val="a1"/>
    <w:autoRedefine/>
    <w:uiPriority w:val="39"/>
    <w:unhideWhenUsed/>
    <w:rsid w:val="00813F59"/>
    <w:pPr>
      <w:spacing w:after="100"/>
      <w:ind w:left="280"/>
    </w:pPr>
  </w:style>
  <w:style w:type="character" w:styleId="af3">
    <w:name w:val="Placeholder Text"/>
    <w:basedOn w:val="a2"/>
    <w:uiPriority w:val="99"/>
    <w:semiHidden/>
    <w:rsid w:val="004B29AF"/>
    <w:rPr>
      <w:color w:val="808080"/>
    </w:rPr>
  </w:style>
  <w:style w:type="character" w:customStyle="1" w:styleId="fontstyle01">
    <w:name w:val="fontstyle01"/>
    <w:basedOn w:val="a2"/>
    <w:rsid w:val="00B235FB"/>
    <w:rPr>
      <w:rFonts w:ascii="TT1918o00" w:hAnsi="TT1918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2"/>
    <w:rsid w:val="00B235FB"/>
    <w:rPr>
      <w:rFonts w:ascii="TT1976o00" w:hAnsi="TT1976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31">
    <w:name w:val="fontstyle31"/>
    <w:basedOn w:val="a2"/>
    <w:rsid w:val="00B235FB"/>
    <w:rPr>
      <w:rFonts w:ascii="TT1977o00" w:hAnsi="TT1977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41">
    <w:name w:val="fontstyle41"/>
    <w:basedOn w:val="a2"/>
    <w:rsid w:val="00B235FB"/>
    <w:rPr>
      <w:rFonts w:ascii="TT1975o00" w:hAnsi="TT1975o00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51">
    <w:name w:val="fontstyle51"/>
    <w:basedOn w:val="a2"/>
    <w:rsid w:val="00B235FB"/>
    <w:rPr>
      <w:rFonts w:ascii="TT1979o00" w:hAnsi="TT1979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61">
    <w:name w:val="fontstyle61"/>
    <w:basedOn w:val="a2"/>
    <w:rsid w:val="00B235FB"/>
    <w:rPr>
      <w:rFonts w:ascii="TT197Ao00" w:hAnsi="TT197A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71">
    <w:name w:val="fontstyle71"/>
    <w:basedOn w:val="a2"/>
    <w:rsid w:val="00B235FB"/>
    <w:rPr>
      <w:rFonts w:ascii="TT1978o00" w:hAnsi="TT1978o00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81">
    <w:name w:val="fontstyle81"/>
    <w:basedOn w:val="a2"/>
    <w:rsid w:val="00B235FB"/>
    <w:rPr>
      <w:rFonts w:ascii="TT191Ao00" w:hAnsi="TT191Ao00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PlainText">
    <w:name w:val="PlainText"/>
    <w:basedOn w:val="af4"/>
    <w:link w:val="PlainText0"/>
    <w:qFormat/>
    <w:rsid w:val="00071223"/>
    <w:pPr>
      <w:spacing w:after="320" w:line="240" w:lineRule="auto"/>
      <w:ind w:left="0" w:firstLine="709"/>
      <w:jc w:val="both"/>
    </w:pPr>
    <w:rPr>
      <w:rFonts w:cs="Times New Roman"/>
      <w:color w:val="000000" w:themeColor="text1"/>
      <w:szCs w:val="28"/>
    </w:rPr>
  </w:style>
  <w:style w:type="character" w:customStyle="1" w:styleId="PlainText0">
    <w:name w:val="PlainText Знак"/>
    <w:basedOn w:val="a2"/>
    <w:link w:val="PlainText"/>
    <w:rsid w:val="00071223"/>
    <w:rPr>
      <w:rFonts w:ascii="Times New Roman" w:hAnsi="Times New Roman" w:cs="Times New Roman"/>
      <w:color w:val="000000" w:themeColor="text1"/>
      <w:sz w:val="28"/>
      <w:szCs w:val="28"/>
      <w:lang w:val="ru-RU"/>
    </w:rPr>
  </w:style>
  <w:style w:type="paragraph" w:styleId="af4">
    <w:name w:val="List Paragraph"/>
    <w:basedOn w:val="a1"/>
    <w:uiPriority w:val="34"/>
    <w:qFormat/>
    <w:rsid w:val="00071223"/>
    <w:pPr>
      <w:ind w:left="720"/>
      <w:contextualSpacing/>
    </w:pPr>
  </w:style>
  <w:style w:type="character" w:styleId="af5">
    <w:name w:val="annotation reference"/>
    <w:basedOn w:val="a2"/>
    <w:uiPriority w:val="99"/>
    <w:semiHidden/>
    <w:unhideWhenUsed/>
    <w:rsid w:val="00F2330B"/>
    <w:rPr>
      <w:sz w:val="16"/>
      <w:szCs w:val="16"/>
    </w:rPr>
  </w:style>
  <w:style w:type="paragraph" w:styleId="af6">
    <w:name w:val="annotation text"/>
    <w:basedOn w:val="a1"/>
    <w:link w:val="af7"/>
    <w:uiPriority w:val="99"/>
    <w:semiHidden/>
    <w:unhideWhenUsed/>
    <w:rsid w:val="00F2330B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2"/>
    <w:link w:val="af6"/>
    <w:uiPriority w:val="99"/>
    <w:semiHidden/>
    <w:rsid w:val="00F2330B"/>
    <w:rPr>
      <w:rFonts w:ascii="Times New Roman" w:hAnsi="Times New Roman"/>
      <w:sz w:val="20"/>
      <w:szCs w:val="20"/>
      <w:lang w:val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2330B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2330B"/>
    <w:rPr>
      <w:rFonts w:ascii="Times New Roman" w:hAnsi="Times New Roman"/>
      <w:b/>
      <w:bCs/>
      <w:sz w:val="20"/>
      <w:szCs w:val="20"/>
      <w:lang w:val="ru-RU"/>
    </w:rPr>
  </w:style>
  <w:style w:type="table" w:styleId="afa">
    <w:name w:val="Table Grid"/>
    <w:basedOn w:val="a3"/>
    <w:uiPriority w:val="39"/>
    <w:rsid w:val="00C51F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b">
    <w:name w:val="Обычный (ГОСТ)"/>
    <w:basedOn w:val="afc"/>
    <w:link w:val="afd"/>
    <w:qFormat/>
    <w:rsid w:val="00D07B47"/>
    <w:pPr>
      <w:spacing w:line="240" w:lineRule="auto"/>
      <w:ind w:left="0" w:firstLine="709"/>
      <w:jc w:val="both"/>
    </w:pPr>
    <w:rPr>
      <w:rFonts w:eastAsia="Times New Roman" w:cs="Times New Roman"/>
      <w:szCs w:val="28"/>
      <w:lang w:eastAsia="ru-RU"/>
    </w:rPr>
  </w:style>
  <w:style w:type="character" w:customStyle="1" w:styleId="afd">
    <w:name w:val="Обычный (ГОСТ) Знак"/>
    <w:basedOn w:val="a2"/>
    <w:link w:val="afb"/>
    <w:rsid w:val="00D07B47"/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paragraph" w:styleId="afc">
    <w:name w:val="Normal Indent"/>
    <w:basedOn w:val="a1"/>
    <w:uiPriority w:val="99"/>
    <w:semiHidden/>
    <w:unhideWhenUsed/>
    <w:rsid w:val="00D07B47"/>
    <w:pPr>
      <w:ind w:left="708"/>
    </w:pPr>
  </w:style>
  <w:style w:type="paragraph" w:styleId="afe">
    <w:name w:val="Body Text"/>
    <w:basedOn w:val="a1"/>
    <w:link w:val="aff"/>
    <w:rsid w:val="009713CD"/>
    <w:pPr>
      <w:widowControl w:val="0"/>
      <w:overflowPunct w:val="0"/>
      <w:autoSpaceDE w:val="0"/>
      <w:autoSpaceDN w:val="0"/>
      <w:adjustRightInd w:val="0"/>
      <w:spacing w:line="260" w:lineRule="exact"/>
      <w:ind w:firstLine="567"/>
      <w:jc w:val="both"/>
      <w:textAlignment w:val="baseline"/>
    </w:pPr>
    <w:rPr>
      <w:rFonts w:eastAsia="Times New Roman" w:cs="Times New Roman"/>
      <w:sz w:val="22"/>
      <w:szCs w:val="20"/>
      <w:lang w:eastAsia="ru-RU"/>
    </w:rPr>
  </w:style>
  <w:style w:type="character" w:customStyle="1" w:styleId="aff">
    <w:name w:val="Основной текст Знак"/>
    <w:basedOn w:val="a2"/>
    <w:link w:val="afe"/>
    <w:rsid w:val="009713CD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ff0">
    <w:name w:val="Normal (Web)"/>
    <w:basedOn w:val="a1"/>
    <w:uiPriority w:val="99"/>
    <w:semiHidden/>
    <w:unhideWhenUsed/>
    <w:rsid w:val="0004637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BY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2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7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3008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27574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48249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904732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30016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51228">
          <w:marLeft w:val="0"/>
          <w:marRight w:val="12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7929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3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6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7A38B1-B5C6-4F16-A217-7546E7132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1435</Words>
  <Characters>10483</Characters>
  <Application>Microsoft Office Word</Application>
  <DocSecurity>0</DocSecurity>
  <Lines>291</Lines>
  <Paragraphs>114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СХД. Лабораторная работа №1. Среда системы хранения</vt:lpstr>
    </vt:vector>
  </TitlesOfParts>
  <Company/>
  <LinksUpToDate>false</LinksUpToDate>
  <CharactersWithSpaces>11804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ХиУД. Контрольная работа. Облачные вычисления</dc:title>
  <dc:subject>Системы хранения данных</dc:subject>
  <dc:creator>Власов Р. Е.</dc:creator>
  <cp:keywords/>
  <dc:description/>
  <cp:lastModifiedBy>Zulkifli Kumar</cp:lastModifiedBy>
  <cp:revision>4</cp:revision>
  <dcterms:created xsi:type="dcterms:W3CDTF">2026-10-25T20:54:00Z</dcterms:created>
  <dcterms:modified xsi:type="dcterms:W3CDTF">2026-10-25T23:29:00Z</dcterms:modified>
</cp:coreProperties>
</file>