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  ·  StudyFlow</w:t>
      </w:r>
    </w:p>
    <w:p>
      <w:pPr>
        <w:pStyle w:val="Subtitle"/>
      </w:pPr>
      <w:r>
        <w:t>Планировщик учебных командных проектов</w:t>
      </w:r>
    </w:p>
    <w:p>
      <w:r>
        <w:rPr>
          <w:b/>
          <w:color w:val="196E5D"/>
          <w:sz w:val="18"/>
        </w:rPr>
        <w:t>ПАСПОРТ КОНЦЕПЦИИ / КАНДИДАТ ДЛЯ ВЫБОРА</w:t>
      </w:r>
    </w:p>
    <w:p>
      <w:pPr>
        <w:pStyle w:val="Heading1"/>
      </w:pPr>
      <w:r>
        <w:t>1. Основные сведения</w:t>
      </w:r>
    </w:p>
    <w:p>
      <w:r>
        <w:rPr>
          <w:b/>
        </w:rPr>
        <w:t xml:space="preserve">Проблема. </w:t>
      </w:r>
      <w:r>
        <w:t>Обсуждение задач в чатах и разрозненных таблицах затрудняет распределение работы: участники теряют сроки, не видят исполнителей и не могут быстро оценить прогресс учебного проекта.</w:t>
      </w:r>
    </w:p>
    <w:p>
      <w:r>
        <w:rPr>
          <w:b/>
        </w:rPr>
        <w:t xml:space="preserve">Целевая аудитория. </w:t>
      </w:r>
      <w:r>
        <w:t>Студенты колледжей и вузов, которые выполняют курсовые, лабораторные и учебные проекты небольшими командами (ориентир — 3–6 человек).</w:t>
      </w:r>
    </w:p>
    <w:p>
      <w:r>
        <w:rPr>
          <w:b/>
        </w:rPr>
        <w:t xml:space="preserve">Краткое описание продукта. </w:t>
      </w:r>
      <w:r>
        <w:t>Веб-приложение с рабочим пространством команды: проекты, задачи, сроки, исполнители, статусы, комментарии, календарное представление и сводка прогресса.</w:t>
      </w:r>
    </w:p>
    <w:p>
      <w:pPr>
        <w:pStyle w:val="Heading1"/>
      </w:pPr>
      <w:r>
        <w:t>2. Границы MVP</w:t>
      </w:r>
    </w:p>
    <w:p>
      <w:pPr>
        <w:pStyle w:val="Heading2"/>
      </w:pPr>
      <w:r>
        <w:t>Включено в минимальную версию</w:t>
      </w:r>
    </w:p>
    <w:p>
      <w:pPr>
        <w:pStyle w:val="ListBullet"/>
        <w:spacing w:after="28"/>
      </w:pPr>
      <w:r>
        <w:t>Локальный вход в демонстрационные аккаунты без сторонней авторизации.</w:t>
      </w:r>
    </w:p>
    <w:p>
      <w:pPr>
        <w:pStyle w:val="ListBullet"/>
        <w:spacing w:after="28"/>
      </w:pPr>
      <w:r>
        <w:t>Создание команды и добавление существующих пользователей по идентификатору.</w:t>
      </w:r>
    </w:p>
    <w:p>
      <w:pPr>
        <w:pStyle w:val="ListBullet"/>
        <w:spacing w:after="28"/>
      </w:pPr>
      <w:r>
        <w:t>Создание проектов и задач, назначение ответственных и сроков.</w:t>
      </w:r>
    </w:p>
    <w:p>
      <w:pPr>
        <w:pStyle w:val="ListBullet"/>
        <w:spacing w:after="28"/>
      </w:pPr>
      <w:r>
        <w:t>Изменение статуса, комментарии, фильтры, календарь, агрегированный прогресс.</w:t>
      </w:r>
    </w:p>
    <w:p>
      <w:pPr>
        <w:pStyle w:val="ListBullet"/>
        <w:spacing w:after="28"/>
      </w:pPr>
      <w:r>
        <w:t>Учебные данные и базовые проверки доступа к данным своей команды.</w:t>
      </w:r>
    </w:p>
    <w:p>
      <w:pPr>
        <w:pStyle w:val="Heading2"/>
      </w:pPr>
      <w:r>
        <w:t>Не входит в MVP</w:t>
      </w:r>
    </w:p>
    <w:p>
      <w:pPr>
        <w:pStyle w:val="ListBullet"/>
        <w:spacing w:after="28"/>
      </w:pPr>
      <w:r>
        <w:t>Платежи, тарифы, интеграции с LMS, почтой и мессенджерами.</w:t>
      </w:r>
    </w:p>
    <w:p>
      <w:pPr>
        <w:pStyle w:val="ListBullet"/>
        <w:spacing w:after="28"/>
      </w:pPr>
      <w:r>
        <w:t>Диаграмма Ганта, критический путь, автоматическое планирование ресурсов.</w:t>
      </w:r>
    </w:p>
    <w:p>
      <w:pPr>
        <w:pStyle w:val="ListBullet"/>
        <w:spacing w:after="28"/>
      </w:pPr>
      <w:r>
        <w:t>Файловое хранилище, push-уведомления, отдельное мобильное приложение.</w:t>
      </w:r>
    </w:p>
    <w:p>
      <w:r>
        <w:rPr>
          <w:b/>
        </w:rPr>
        <w:t xml:space="preserve">Допущения. </w:t>
      </w:r>
      <w:r>
        <w:t>Для демонстрации преподавателю заранее созданы несколько тестовых пользователей. Приглашение означает добавление существующего пользователя в команду, а не отправку письма.</w:t>
      </w:r>
    </w:p>
    <w:p>
      <w:pPr>
        <w:pStyle w:val="Heading1"/>
      </w:pPr>
      <w:r>
        <w:t>3. Use Cases — ровно 12 сценариев</w:t>
      </w:r>
    </w:p>
    <w:p>
      <w:r>
        <w:t>Состав сценариев полностью совпадает с листом «Концепции» общей расчётной книги. Роли указаны как основные акторы, без расширения функционального охвата.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1134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721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Основной актор</w:t>
            </w:r>
          </w:p>
        </w:tc>
        <w:tc>
          <w:tcPr>
            <w:tcW w:type="dxa" w:w="5613"/>
            <w:shd w:fill="15304B"/>
            <w:vAlign w:val="center"/>
          </w:tcPr>
          <w:p>
            <w:r>
              <w:rPr>
                <w:b/>
                <w:color w:val="FFFFFF"/>
                <w:sz w:val="15"/>
              </w:rPr>
              <w:t>Функциональный сценарий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UC-01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Войти в личный кабинет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UC-02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Создать учебную команду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UC-03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Студент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Пригласить участника в команду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UC-04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Создать проект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UC-05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Добавить задачу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UC-06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Назначить исполнителя задачи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UC-07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Установить срок задачи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UC-08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Исполнитель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Изменить статус задачи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UC-09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Оставить комментарий к задаче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UC-10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Отфильтровать задачи по статусу</w:t>
            </w:r>
          </w:p>
        </w:tc>
      </w:tr>
      <w:tr>
        <w:tc>
          <w:tcPr>
            <w:tcW w:type="dxa" w:w="1134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UC-11</w:t>
            </w:r>
          </w:p>
        </w:tc>
        <w:tc>
          <w:tcPr>
            <w:tcW w:type="dxa" w:w="2721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Просмотреть задачи на календаре</w:t>
            </w:r>
          </w:p>
        </w:tc>
      </w:tr>
      <w:tr>
        <w:tc>
          <w:tcPr>
            <w:tcW w:type="dxa" w:w="1134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UC-12</w:t>
            </w:r>
          </w:p>
        </w:tc>
        <w:tc>
          <w:tcPr>
            <w:tcW w:type="dxa" w:w="2721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Участник команды</w:t>
            </w:r>
          </w:p>
        </w:tc>
        <w:tc>
          <w:tcPr>
            <w:tcW w:type="dxa" w:w="5613"/>
            <w:vAlign w:val="center"/>
            <w:shd w:fill="F1F6FA"/>
            <w:tcBorders>
              <w:bottom w:val="single" w:sz="4" w:color="D7E2ED"/>
            </w:tcBorders>
          </w:tcPr>
          <w:p>
            <w:pPr>
              <w:spacing w:after="20" w:before="20"/>
            </w:pPr>
            <w:r>
              <w:rPr>
                <w:sz w:val="15"/>
              </w:rPr>
              <w:t>Просмотреть сводку прогресса проекта</w:t>
            </w:r>
          </w:p>
        </w:tc>
      </w:tr>
    </w:tbl>
    <w:p>
      <w:pPr>
        <w:pStyle w:val="Heading1"/>
      </w:pPr>
      <w:r>
        <w:t>4. Демонстрация и критерий готовности</w:t>
      </w:r>
    </w:p>
    <w:p>
      <w:r>
        <w:t>Команда из трёх тестовых студентов создаёт проект, распределяет задачи, меняет статус одной из них и наблюдает обновление фильтра, календаря и процента выполнения.</w:t>
      </w:r>
    </w:p>
    <w:p>
      <w:r>
        <w:t>Ограничение реализации: каждый из 12 UC должен иметь хотя бы один проверяемый положительный сценарий; ошибки ввода и проверки доступа рассматриваются как альтернативные потоки, а не как новые UC.</w:t>
      </w:r>
    </w:p>
    <w:p>
      <w:pPr>
        <w:pStyle w:val="Heading1"/>
      </w:pPr>
      <w:r>
        <w:t>5. Статус выбора</w:t>
      </w:r>
    </w:p>
    <w:p>
      <w:r>
        <w:t>Кандидат для сравнения в фазе 1. Окончательная оценка определяется после независимого опроса трёх участников и повторного расчёта TOPSIS и МАИ.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1049" w:bottom="765" w:left="1049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4"/>
      </w:rPr>
      <w:t>A1 · StudyFlow  •  учебные материалы / версия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36377"/>
        <w:sz w:val="16"/>
      </w:rPr>
      <w:t>ПРОЕКТНЫЙ МЕНЕДЖМЕНТ    /    ФАЗА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4" w:line="254" w:lineRule="auto"/>
    </w:pPr>
    <w:rPr>
      <w:rFonts w:ascii="Arial" w:hAnsi="Arial"/>
      <w:color w:val="15304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rial" w:hAnsi="Arial"/>
      <w:b/>
      <w:bCs/>
      <w:color w:val="2165A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5304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04B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536377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