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A3  ·  BookSwap</w:t>
      </w:r>
    </w:p>
    <w:p>
      <w:pPr>
        <w:pStyle w:val="Subtitle"/>
      </w:pPr>
      <w:r>
        <w:t>Обмен учебниками и учебными материалами</w:t>
      </w:r>
    </w:p>
    <w:p>
      <w:r>
        <w:rPr>
          <w:b/>
          <w:color w:val="196E5D"/>
          <w:sz w:val="18"/>
        </w:rPr>
        <w:t>ПАСПОРТ КОНЦЕПЦИИ / КАНДИДАТ ДЛЯ ВЫБОРА</w:t>
      </w:r>
    </w:p>
    <w:p>
      <w:pPr>
        <w:pStyle w:val="Heading1"/>
      </w:pPr>
      <w:r>
        <w:t>1. Основные сведения</w:t>
      </w:r>
    </w:p>
    <w:p>
      <w:r>
        <w:rPr>
          <w:b/>
        </w:rPr>
        <w:t xml:space="preserve">Проблема. </w:t>
      </w:r>
      <w:r>
        <w:t>Студенты хранят невостребованные учебники, в то время как другим нужны недорогие или бесплатные экземпляры. Объявления в чатах быстро теряются, а статусы запросов непрозрачны.</w:t>
      </w:r>
    </w:p>
    <w:p>
      <w:r>
        <w:rPr>
          <w:b/>
        </w:rPr>
        <w:t xml:space="preserve">Целевая аудитория. </w:t>
      </w:r>
      <w:r>
        <w:t>Студенты, имеющие учебники для передачи, и студенты, которые ищут учебные материалы по дисциплинам.</w:t>
      </w:r>
    </w:p>
    <w:p>
      <w:r>
        <w:rPr>
          <w:b/>
        </w:rPr>
        <w:t xml:space="preserve">Краткое описание продукта. </w:t>
      </w:r>
      <w:r>
        <w:t>Доска объявлений об учебниках с поиском и фильтрами, запросами на получение, принятием или отклонением заявки и подтверждением завершённого обмена.</w:t>
      </w:r>
    </w:p>
    <w:p>
      <w:pPr>
        <w:pStyle w:val="Heading1"/>
      </w:pPr>
      <w:r>
        <w:t>2. Границы MVP</w:t>
      </w:r>
    </w:p>
    <w:p>
      <w:pPr>
        <w:pStyle w:val="Heading2"/>
      </w:pPr>
      <w:r>
        <w:t>Включено в минимальную версию</w:t>
      </w:r>
    </w:p>
    <w:p>
      <w:pPr>
        <w:pStyle w:val="ListBullet"/>
        <w:spacing w:after="28"/>
      </w:pPr>
      <w:r>
        <w:t>Вход через тестовые аккаунты; объявление с названием, дисциплиной, состоянием и способом передачи.</w:t>
      </w:r>
    </w:p>
    <w:p>
      <w:pPr>
        <w:pStyle w:val="ListBullet"/>
        <w:spacing w:after="28"/>
      </w:pPr>
      <w:r>
        <w:t>Загрузка одного изображения обложки во внутреннее хранилище.</w:t>
      </w:r>
    </w:p>
    <w:p>
      <w:pPr>
        <w:pStyle w:val="ListBullet"/>
        <w:spacing w:after="28"/>
      </w:pPr>
      <w:r>
        <w:t>Поиск и фильтрация объявлений; просмотр карточки книги.</w:t>
      </w:r>
    </w:p>
    <w:p>
      <w:pPr>
        <w:pStyle w:val="ListBullet"/>
        <w:spacing w:after="28"/>
      </w:pPr>
      <w:r>
        <w:t>Запрос на получение, решение владельца, статус передачи и история запросов.</w:t>
      </w:r>
    </w:p>
    <w:p>
      <w:pPr>
        <w:pStyle w:val="ListBullet"/>
        <w:spacing w:after="28"/>
      </w:pPr>
      <w:r>
        <w:t>Оценка завершённого обмена по простой шкале.</w:t>
      </w:r>
    </w:p>
    <w:p>
      <w:pPr>
        <w:pStyle w:val="Heading2"/>
      </w:pPr>
      <w:r>
        <w:t>Не входит в MVP</w:t>
      </w:r>
    </w:p>
    <w:p>
      <w:pPr>
        <w:pStyle w:val="ListBullet"/>
        <w:spacing w:after="28"/>
      </w:pPr>
      <w:r>
        <w:t>Платёжные операции, доставка, трекинг посылок.</w:t>
      </w:r>
    </w:p>
    <w:p>
      <w:pPr>
        <w:pStyle w:val="ListBullet"/>
        <w:spacing w:after="28"/>
      </w:pPr>
      <w:r>
        <w:t>Переписка в реальном времени и рейтинг с антифрод-модерацией.</w:t>
      </w:r>
    </w:p>
    <w:p>
      <w:pPr>
        <w:pStyle w:val="ListBullet"/>
        <w:spacing w:after="28"/>
      </w:pPr>
      <w:r>
        <w:t>Распознавание ISBN, интеграции с каталогами библиотек, продажа электронных копий.</w:t>
      </w:r>
    </w:p>
    <w:p>
      <w:r>
        <w:rPr>
          <w:b/>
        </w:rPr>
        <w:t xml:space="preserve">Допущения. </w:t>
      </w:r>
      <w:r>
        <w:t>Передача книги происходит вне системы, лично. Система хранит только согласованный статус передачи; изображения учебных обложек используются для учебного тестирования.</w:t>
      </w:r>
    </w:p>
    <w:p>
      <w:pPr>
        <w:pStyle w:val="Heading1"/>
      </w:pPr>
      <w:r>
        <w:t>3. Use Cases — ровно 12 сценариев</w:t>
      </w:r>
    </w:p>
    <w:p>
      <w:r>
        <w:t>Состав сценариев полностью совпадает с листом «Концепции» общей расчётной книги. Роли указаны как основные акторы, без расширения функционального охвата.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134"/>
            <w:shd w:fill="15304B"/>
            <w:vAlign w:val="center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721"/>
            <w:shd w:fill="15304B"/>
            <w:vAlign w:val="center"/>
          </w:tcPr>
          <w:p>
            <w:r>
              <w:rPr>
                <w:b/>
                <w:color w:val="FFFFFF"/>
                <w:sz w:val="15"/>
              </w:rPr>
              <w:t>Основной актор</w:t>
            </w:r>
          </w:p>
        </w:tc>
        <w:tc>
          <w:tcPr>
            <w:tcW w:type="dxa" w:w="5613"/>
            <w:shd w:fill="15304B"/>
            <w:vAlign w:val="center"/>
          </w:tcPr>
          <w:p>
            <w:r>
              <w:rPr>
                <w:b/>
                <w:color w:val="FFFFFF"/>
                <w:sz w:val="15"/>
              </w:rPr>
              <w:t>Функциональный сценарий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UC-01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Войти в систему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UC-02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Владелец книги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Создать объявление об учебнике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UC-03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Владелец книги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Добавить фотографию обложки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UC-04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Владелец книги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Выбрать способ передачи книги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UC-05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Найти книгу по названию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UC-06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Отфильтровать объявления по дисциплине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UC-07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Просмотреть объявление и состояние книги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UC-08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Отправить запрос на получение книги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UC-09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Владелец книги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Принять или отклонить запрос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UC-10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Владелец книги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Отметить книгу как переданную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UC-11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Просмотреть историю собственных запросов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UC-12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Оценить завершённый обмен</w:t>
            </w:r>
          </w:p>
        </w:tc>
      </w:tr>
    </w:tbl>
    <w:p>
      <w:pPr>
        <w:pStyle w:val="Heading1"/>
      </w:pPr>
      <w:r>
        <w:t>4. Демонстрация и критерий готовности</w:t>
      </w:r>
    </w:p>
    <w:p>
      <w:r>
        <w:t>Один студент создаёт объявление, другой находит его и отправляет запрос. Владелец принимает запрос и отмечает передачу; получатель видит запись в истории и может поставить оценку.</w:t>
      </w:r>
    </w:p>
    <w:p>
      <w:r>
        <w:t>Ограничение реализации: каждый из 12 UC должен иметь хотя бы один проверяемый положительный сценарий; ошибки ввода и проверки доступа рассматриваются как альтернативные потоки, а не как новые UC.</w:t>
      </w:r>
    </w:p>
    <w:p>
      <w:pPr>
        <w:pStyle w:val="Heading1"/>
      </w:pPr>
      <w:r>
        <w:t>5. Статус выбора</w:t>
      </w:r>
    </w:p>
    <w:p>
      <w:r>
        <w:t>Кандидат для сравнения в фазе 1. Окончательная оценка определяется после независимого опроса трёх участников и повторного расчёта TOPSIS и МАИ.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1049" w:bottom="765" w:left="1049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36377"/>
        <w:sz w:val="14"/>
      </w:rPr>
      <w:t>A3 · BookSwap  •  учебные материалы / версия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36377"/>
        <w:sz w:val="16"/>
      </w:rPr>
      <w:t>ПРОЕКТНЫЙ МЕНЕДЖМЕНТ    /    ФАЗА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4" w:line="254" w:lineRule="auto"/>
    </w:pPr>
    <w:rPr>
      <w:rFonts w:ascii="Arial" w:hAnsi="Arial"/>
      <w:color w:val="15304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70"/>
      <w:outlineLvl w:val="0"/>
    </w:pPr>
    <w:rPr>
      <w:rFonts w:asciiTheme="majorHAnsi" w:eastAsiaTheme="majorEastAsia" w:hAnsiTheme="majorHAnsi" w:cstheme="majorBidi" w:ascii="Arial" w:hAnsi="Arial"/>
      <w:b/>
      <w:bCs/>
      <w:color w:val="2165A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5304B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04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536377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