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A4  ·  SkillBridge</w:t>
      </w:r>
    </w:p>
    <w:p>
      <w:pPr>
        <w:pStyle w:val="Subtitle"/>
      </w:pPr>
      <w:r>
        <w:t>Взаимопомощь и студенческие консультации</w:t>
      </w:r>
    </w:p>
    <w:p>
      <w:r>
        <w:rPr>
          <w:b/>
          <w:color w:val="196E5D"/>
          <w:sz w:val="18"/>
        </w:rPr>
        <w:t>ПАСПОРТ КОНЦЕПЦИИ / КАНДИДАТ ДЛЯ ВЫБОРА</w:t>
      </w:r>
    </w:p>
    <w:p>
      <w:pPr>
        <w:pStyle w:val="Heading1"/>
      </w:pPr>
      <w:r>
        <w:t>1. Основные сведения</w:t>
      </w:r>
    </w:p>
    <w:p>
      <w:r>
        <w:rPr>
          <w:b/>
        </w:rPr>
        <w:t xml:space="preserve">Проблема. </w:t>
      </w:r>
      <w:r>
        <w:t>Студентам сложно находить однокурсников, готовых помочь по конкретной теме, а договорённости о консультациях в личных сообщениях теряются и не имеют общего статуса.</w:t>
      </w:r>
    </w:p>
    <w:p>
      <w:r>
        <w:rPr>
          <w:b/>
        </w:rPr>
        <w:t xml:space="preserve">Целевая аудитория. </w:t>
      </w:r>
      <w:r>
        <w:t>Студенты, которым нужна помощь по дисциплине, и студенты-консультанты, готовые делиться знаниями в рамках сообщества вуза.</w:t>
      </w:r>
    </w:p>
    <w:p>
      <w:r>
        <w:rPr>
          <w:b/>
        </w:rPr>
        <w:t xml:space="preserve">Краткое описание продукта. </w:t>
      </w:r>
      <w:r>
        <w:t>Каталог профилей консультантов с навыками, поиском и запросами на консультацию; стороны согласовывают время, отслеживают встречи и оставляют отзывы.</w:t>
      </w:r>
    </w:p>
    <w:p>
      <w:pPr>
        <w:pStyle w:val="Heading1"/>
      </w:pPr>
      <w:r>
        <w:t>2. Границы MVP</w:t>
      </w:r>
    </w:p>
    <w:p>
      <w:pPr>
        <w:pStyle w:val="Heading2"/>
      </w:pPr>
      <w:r>
        <w:t>Включено в минимальную версию</w:t>
      </w:r>
    </w:p>
    <w:p>
      <w:pPr>
        <w:pStyle w:val="ListBullet"/>
        <w:spacing w:after="28"/>
      </w:pPr>
      <w:r>
        <w:t>Вход по тестовым аккаунтам и настройка профиля консультанта с темами.</w:t>
      </w:r>
    </w:p>
    <w:p>
      <w:pPr>
        <w:pStyle w:val="ListBullet"/>
        <w:spacing w:after="28"/>
      </w:pPr>
      <w:r>
        <w:t>Поиск по дисциплине, фильтр по теме, просмотр профиля.</w:t>
      </w:r>
    </w:p>
    <w:p>
      <w:pPr>
        <w:pStyle w:val="ListBullet"/>
        <w:spacing w:after="28"/>
      </w:pPr>
      <w:r>
        <w:t>Создание запроса и предложение времени встречи; принятие или отклонение.</w:t>
      </w:r>
    </w:p>
    <w:p>
      <w:pPr>
        <w:pStyle w:val="ListBullet"/>
        <w:spacing w:after="28"/>
      </w:pPr>
      <w:r>
        <w:t>Отмена, список предстоящих встреч, подтверждение завершения, отзыв.</w:t>
      </w:r>
    </w:p>
    <w:p>
      <w:pPr>
        <w:pStyle w:val="ListBullet"/>
        <w:spacing w:after="28"/>
      </w:pPr>
      <w:r>
        <w:t>Безопасные демонстрационные сценарии без записи реальных личных консультаций.</w:t>
      </w:r>
    </w:p>
    <w:p>
      <w:pPr>
        <w:pStyle w:val="Heading2"/>
      </w:pPr>
      <w:r>
        <w:t>Не входит в MVP</w:t>
      </w:r>
    </w:p>
    <w:p>
      <w:pPr>
        <w:pStyle w:val="ListBullet"/>
        <w:spacing w:after="28"/>
      </w:pPr>
      <w:r>
        <w:t>Оплата консультаций и коммерческое репетиторство.</w:t>
      </w:r>
    </w:p>
    <w:p>
      <w:pPr>
        <w:pStyle w:val="ListBullet"/>
        <w:spacing w:after="28"/>
      </w:pPr>
      <w:r>
        <w:t>Видеозвонки, групповые чаты, запись и трансляция занятий.</w:t>
      </w:r>
    </w:p>
    <w:p>
      <w:pPr>
        <w:pStyle w:val="ListBullet"/>
        <w:spacing w:after="28"/>
      </w:pPr>
      <w:r>
        <w:t>Синхронизация календарей, интеллектуальное составление расписания и сложная репутационная система.</w:t>
      </w:r>
    </w:p>
    <w:p>
      <w:r>
        <w:rPr>
          <w:b/>
        </w:rPr>
        <w:t xml:space="preserve">Допущения. </w:t>
      </w:r>
      <w:r>
        <w:t>Консультации бесплатны, формат и место встречи согласовываются за пределами сервиса. В MVP предполагается одно предложение времени для одного запроса.</w:t>
      </w:r>
    </w:p>
    <w:p>
      <w:pPr>
        <w:pStyle w:val="Heading1"/>
      </w:pPr>
      <w:r>
        <w:t>3. Use Cases — ровно 12 сценариев</w:t>
      </w:r>
    </w:p>
    <w:p>
      <w:r>
        <w:t>Состав сценариев полностью совпадает с листом «Концепции» общей расчётной книги. Роли указаны как основные акторы, без расширения функционального охвата.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1134"/>
            <w:shd w:fill="15304B"/>
            <w:vAlign w:val="center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721"/>
            <w:shd w:fill="15304B"/>
            <w:vAlign w:val="center"/>
          </w:tcPr>
          <w:p>
            <w:r>
              <w:rPr>
                <w:b/>
                <w:color w:val="FFFFFF"/>
                <w:sz w:val="15"/>
              </w:rPr>
              <w:t>Основной актор</w:t>
            </w:r>
          </w:p>
        </w:tc>
        <w:tc>
          <w:tcPr>
            <w:tcW w:type="dxa" w:w="5613"/>
            <w:shd w:fill="15304B"/>
            <w:vAlign w:val="center"/>
          </w:tcPr>
          <w:p>
            <w:r>
              <w:rPr>
                <w:b/>
                <w:color w:val="FFFFFF"/>
                <w:sz w:val="15"/>
              </w:rPr>
              <w:t>Функциональный сценарий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UC-01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Войти в систему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UC-02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Консультант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Создать профиль с навыками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UC-03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Найти консультанта по дисциплине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UC-04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Отфильтровать консультантов по теме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UC-05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Просмотреть профиль консультанта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UC-06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Создать запрос на консультацию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UC-07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Предложить время встречи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UC-08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Консультант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Подтвердить или отклонить запрос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UC-09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Участник консультации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Отменить согласованную встречу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UC-10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Участник консультации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Просмотреть предстоящие встречи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UC-11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Участник консультации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Отметить консультацию завершённой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UC-12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Оставить отзыв по консультации</w:t>
            </w:r>
          </w:p>
        </w:tc>
      </w:tr>
    </w:tbl>
    <w:p>
      <w:pPr>
        <w:pStyle w:val="Heading1"/>
      </w:pPr>
      <w:r>
        <w:t>4. Демонстрация и критерий готовности</w:t>
      </w:r>
    </w:p>
    <w:p>
      <w:r>
        <w:t>Студент находит консультанта по дисциплине, создаёт запрос, предлагает дату, получает подтверждение, видит встречу в списке, отмечает её завершённой и оставляет отзыв.</w:t>
      </w:r>
    </w:p>
    <w:p>
      <w:r>
        <w:t>Ограничение реализации: каждый из 12 UC должен иметь хотя бы один проверяемый положительный сценарий; ошибки ввода и проверки доступа рассматриваются как альтернативные потоки, а не как новые UC.</w:t>
      </w:r>
    </w:p>
    <w:p>
      <w:pPr>
        <w:pStyle w:val="Heading1"/>
      </w:pPr>
      <w:r>
        <w:t>5. Статус выбора</w:t>
      </w:r>
    </w:p>
    <w:p>
      <w:r>
        <w:t>Кандидат для сравнения в фазе 1. Окончательная оценка определяется после независимого опроса трёх участников и повторного расчёта TOPSIS и МАИ.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1049" w:bottom="765" w:left="1049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36377"/>
        <w:sz w:val="14"/>
      </w:rPr>
      <w:t>A4 · SkillBridge  •  учебные материалы / версия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36377"/>
        <w:sz w:val="16"/>
      </w:rPr>
      <w:t>ПРОЕКТНЫЙ МЕНЕДЖМЕНТ    /    ФАЗА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4" w:line="254" w:lineRule="auto"/>
    </w:pPr>
    <w:rPr>
      <w:rFonts w:ascii="Arial" w:hAnsi="Arial"/>
      <w:color w:val="15304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70"/>
      <w:outlineLvl w:val="0"/>
    </w:pPr>
    <w:rPr>
      <w:rFonts w:asciiTheme="majorHAnsi" w:eastAsiaTheme="majorEastAsia" w:hAnsiTheme="majorHAnsi" w:cstheme="majorBidi" w:ascii="Arial" w:hAnsi="Arial"/>
      <w:b/>
      <w:bCs/>
      <w:color w:val="2165A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5304B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304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536377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