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Overzicht Officiële Bronnen – Bijgewerkte Versie</w:t>
      </w:r>
    </w:p>
    <w:p>
      <w:r>
        <w:t>Laatst bijgewerkt: 13 juni 2025</w:t>
      </w:r>
    </w:p>
    <w:p>
      <w:pPr>
        <w:pStyle w:val="Heading2"/>
      </w:pPr>
      <w:r>
        <w:t>1. Collectieve Arbeidsovereenkomsten (CAO’s)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Officiële bron</w:t>
            </w:r>
          </w:p>
        </w:tc>
        <w:tc>
          <w:tcPr>
            <w:tcW w:type="dxa" w:w="4320"/>
          </w:tcPr>
          <w:p>
            <w:r>
              <w:t>Beschrijving</w:t>
            </w:r>
          </w:p>
        </w:tc>
      </w:tr>
      <w:tr>
        <w:tc>
          <w:tcPr>
            <w:tcW w:type="dxa" w:w="4320"/>
          </w:tcPr>
          <w:p>
            <w:r>
              <w:t>CAO‑register (Ministerie SZW)</w:t>
              <w:br/>
              <w:t>https://cao.minszw.nl</w:t>
            </w:r>
          </w:p>
        </w:tc>
        <w:tc>
          <w:tcPr>
            <w:tcW w:type="dxa" w:w="4320"/>
          </w:tcPr>
          <w:p>
            <w:r>
              <w:t>Alle cao-teksten, inclusief AVV‑besluiten in PDF.</w:t>
            </w:r>
          </w:p>
        </w:tc>
      </w:tr>
      <w:tr>
        <w:tc>
          <w:tcPr>
            <w:tcW w:type="dxa" w:w="4320"/>
          </w:tcPr>
          <w:p>
            <w:r>
              <w:t>CAO Rijk‑portal</w:t>
              <w:br/>
              <w:t>https://www.caorijk.nl</w:t>
            </w:r>
          </w:p>
        </w:tc>
        <w:tc>
          <w:tcPr>
            <w:tcW w:type="dxa" w:w="4320"/>
          </w:tcPr>
          <w:p>
            <w:r>
              <w:t>Actuele cao voor Rijksambtenaren met toelichtingen.</w:t>
            </w:r>
          </w:p>
        </w:tc>
      </w:tr>
      <w:tr>
        <w:tc>
          <w:tcPr>
            <w:tcW w:type="dxa" w:w="4320"/>
          </w:tcPr>
          <w:p>
            <w:r>
              <w:t>Wet op de collectieve arbeidsovereenkomst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Juridische basis voor totstandkoming en werking van cao’s.</w:t>
            </w:r>
          </w:p>
        </w:tc>
      </w:tr>
      <w:tr>
        <w:tc>
          <w:tcPr>
            <w:tcW w:type="dxa" w:w="4320"/>
          </w:tcPr>
          <w:p>
            <w:r>
              <w:t>Rijksoverheid – “Hoe weet ik of er voor mij een cao geldt?”</w:t>
              <w:br/>
              <w:t>https://www.rijksoverheid.nl</w:t>
            </w:r>
          </w:p>
        </w:tc>
        <w:tc>
          <w:tcPr>
            <w:tcW w:type="dxa" w:w="4320"/>
          </w:tcPr>
          <w:p>
            <w:r>
              <w:t>Uitleg over toepasselijkheid van cao’s.</w:t>
            </w:r>
          </w:p>
        </w:tc>
      </w:tr>
    </w:tbl>
    <w:p>
      <w:pPr>
        <w:pStyle w:val="Heading2"/>
      </w:pPr>
      <w:r>
        <w:t>2. Belastingregels – Actueel (2025)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Officiële bron</w:t>
            </w:r>
          </w:p>
        </w:tc>
        <w:tc>
          <w:tcPr>
            <w:tcW w:type="dxa" w:w="4320"/>
          </w:tcPr>
          <w:p>
            <w:r>
              <w:t>Beschrijving</w:t>
            </w:r>
          </w:p>
        </w:tc>
      </w:tr>
      <w:tr>
        <w:tc>
          <w:tcPr>
            <w:tcW w:type="dxa" w:w="4320"/>
          </w:tcPr>
          <w:p>
            <w:r>
              <w:t>Wet inkomstenbelasting 2001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Geconsolideerde wettekst met alle wijzigingen.</w:t>
            </w:r>
          </w:p>
        </w:tc>
      </w:tr>
      <w:tr>
        <w:tc>
          <w:tcPr>
            <w:tcW w:type="dxa" w:w="4320"/>
          </w:tcPr>
          <w:p>
            <w:r>
              <w:t>Belastingdienst – Tarieven &amp; heffingskortingen 2025</w:t>
              <w:br/>
              <w:t>https://www.belastingdienst.nl</w:t>
            </w:r>
          </w:p>
        </w:tc>
        <w:tc>
          <w:tcPr>
            <w:tcW w:type="dxa" w:w="4320"/>
          </w:tcPr>
          <w:p>
            <w:r>
              <w:t>Officiële tabellen voor aangifte en voorlopige aanslag.</w:t>
            </w:r>
          </w:p>
        </w:tc>
      </w:tr>
      <w:tr>
        <w:tc>
          <w:tcPr>
            <w:tcW w:type="dxa" w:w="4320"/>
          </w:tcPr>
          <w:p>
            <w:r>
              <w:t>Belastingdienst – “Hoeveel inkomstenbelasting moet ik betalen?”</w:t>
            </w:r>
          </w:p>
        </w:tc>
        <w:tc>
          <w:tcPr>
            <w:tcW w:type="dxa" w:w="4320"/>
          </w:tcPr>
          <w:p>
            <w:r>
              <w:t>Stapsgewijze uitleg voor particulieren.</w:t>
            </w:r>
          </w:p>
        </w:tc>
      </w:tr>
      <w:tr>
        <w:tc>
          <w:tcPr>
            <w:tcW w:type="dxa" w:w="4320"/>
          </w:tcPr>
          <w:p>
            <w:r>
              <w:t>Wetten.nl zoekportaal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Zoeklaag voor alle fiscale wet- en regelgeving (OB, AWR, etc.).</w:t>
            </w:r>
          </w:p>
        </w:tc>
      </w:tr>
    </w:tbl>
    <w:p>
      <w:pPr>
        <w:pStyle w:val="Heading2"/>
      </w:pPr>
      <w:r>
        <w:t>3. HR-vraagstukken &amp; Arbeidsomstandigheden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Officiële bron</w:t>
            </w:r>
          </w:p>
        </w:tc>
        <w:tc>
          <w:tcPr>
            <w:tcW w:type="dxa" w:w="4320"/>
          </w:tcPr>
          <w:p>
            <w:r>
              <w:t>Beschrijving</w:t>
            </w:r>
          </w:p>
        </w:tc>
      </w:tr>
      <w:tr>
        <w:tc>
          <w:tcPr>
            <w:tcW w:type="dxa" w:w="4320"/>
          </w:tcPr>
          <w:p>
            <w:r>
              <w:t>Arbeidstijdenwet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Regels rond arbeidstijd, rust en nachtarbeid.</w:t>
            </w:r>
          </w:p>
        </w:tc>
      </w:tr>
      <w:tr>
        <w:tc>
          <w:tcPr>
            <w:tcW w:type="dxa" w:w="4320"/>
          </w:tcPr>
          <w:p>
            <w:r>
              <w:t>Arbeidsomstandighedenwet (Arbowet)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Basisverplichtingen voor gezond &amp; veilig werk.</w:t>
            </w:r>
          </w:p>
        </w:tc>
      </w:tr>
      <w:tr>
        <w:tc>
          <w:tcPr>
            <w:tcW w:type="dxa" w:w="4320"/>
          </w:tcPr>
          <w:p>
            <w:r>
              <w:t>Arbeidsomstandighedenbesluit</w:t>
              <w:br/>
              <w:t>https://wetten.overheid.nl</w:t>
            </w:r>
          </w:p>
        </w:tc>
        <w:tc>
          <w:tcPr>
            <w:tcW w:type="dxa" w:w="4320"/>
          </w:tcPr>
          <w:p>
            <w:r>
              <w:t>Nadere uitwerking Arbowet (o.a. gevaarlijke stoffen).</w:t>
            </w:r>
          </w:p>
        </w:tc>
      </w:tr>
      <w:tr>
        <w:tc>
          <w:tcPr>
            <w:tcW w:type="dxa" w:w="4320"/>
          </w:tcPr>
          <w:p>
            <w:r>
              <w:t>Nederlandse Arbeidsinspectie – Publicaties</w:t>
              <w:br/>
              <w:t>https://nlarbeidsinspectie.nl</w:t>
            </w:r>
          </w:p>
        </w:tc>
        <w:tc>
          <w:tcPr>
            <w:tcW w:type="dxa" w:w="4320"/>
          </w:tcPr>
          <w:p>
            <w:r>
              <w:t>Richtlijnen en handreikingen voor werkgevers.</w:t>
            </w:r>
          </w:p>
        </w:tc>
      </w:tr>
      <w:tr>
        <w:tc>
          <w:tcPr>
            <w:tcW w:type="dxa" w:w="4320"/>
          </w:tcPr>
          <w:p>
            <w:r>
              <w:t>UWV – Rechten &amp; plichten</w:t>
              <w:br/>
              <w:t>https://www.uwv.nl</w:t>
            </w:r>
          </w:p>
        </w:tc>
        <w:tc>
          <w:tcPr>
            <w:tcW w:type="dxa" w:w="4320"/>
          </w:tcPr>
          <w:p>
            <w:r>
              <w:t>Regels bij uitkeringen en re-integratie.</w:t>
            </w:r>
          </w:p>
        </w:tc>
      </w:tr>
    </w:tbl>
    <w:p>
      <w:pPr>
        <w:pStyle w:val="Heading2"/>
      </w:pPr>
      <w:r>
        <w:t>4. Algemene Plaatselijke Verordeningen (APV’s)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Officiële bron</w:t>
            </w:r>
          </w:p>
        </w:tc>
        <w:tc>
          <w:tcPr>
            <w:tcW w:type="dxa" w:w="4320"/>
          </w:tcPr>
          <w:p>
            <w:r>
              <w:t>Beschrijving</w:t>
            </w:r>
          </w:p>
        </w:tc>
      </w:tr>
      <w:tr>
        <w:tc>
          <w:tcPr>
            <w:tcW w:type="dxa" w:w="4320"/>
          </w:tcPr>
          <w:p>
            <w:r>
              <w:t>LokaleRegelgeving.Overheid.nl</w:t>
              <w:br/>
              <w:t>https://lokaleregelgeving.overheid.nl</w:t>
            </w:r>
          </w:p>
        </w:tc>
        <w:tc>
          <w:tcPr>
            <w:tcW w:type="dxa" w:w="4320"/>
          </w:tcPr>
          <w:p>
            <w:r>
              <w:t>Centrale database met actuele APV’s van alle gemeenten.</w:t>
            </w:r>
          </w:p>
        </w:tc>
      </w:tr>
      <w:tr>
        <w:tc>
          <w:tcPr>
            <w:tcW w:type="dxa" w:w="4320"/>
          </w:tcPr>
          <w:p>
            <w:r>
              <w:t>Voorbeeld – APV Arnhem</w:t>
            </w:r>
          </w:p>
        </w:tc>
        <w:tc>
          <w:tcPr>
            <w:tcW w:type="dxa" w:w="4320"/>
          </w:tcPr>
          <w:p>
            <w:r>
              <w:t>Voorbeeld van een gemeentelijke APV in de database.</w:t>
            </w:r>
          </w:p>
        </w:tc>
      </w:tr>
    </w:tbl>
    <w:p>
      <w:pPr>
        <w:pStyle w:val="Heading2"/>
      </w:pPr>
      <w:r>
        <w:t>5. Wet- en regelgeving – Nog vollediger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Extra primaire bron</w:t>
            </w:r>
          </w:p>
        </w:tc>
        <w:tc>
          <w:tcPr>
            <w:tcW w:type="dxa" w:w="4320"/>
          </w:tcPr>
          <w:p>
            <w:r>
              <w:t>Reden om toe te voegen</w:t>
            </w:r>
          </w:p>
        </w:tc>
      </w:tr>
      <w:tr>
        <w:tc>
          <w:tcPr>
            <w:tcW w:type="dxa" w:w="4320"/>
          </w:tcPr>
          <w:p>
            <w:r>
              <w:t>Staatsblad &amp; Staatscourant – officielebekendmakingen.nl</w:t>
            </w:r>
          </w:p>
        </w:tc>
        <w:tc>
          <w:tcPr>
            <w:tcW w:type="dxa" w:w="4320"/>
          </w:tcPr>
          <w:p>
            <w:r>
              <w:t>Alle wetswijzigingen en ministeriële regelingen zodra gepubliceerd (RSS beschikbaar).</w:t>
            </w:r>
          </w:p>
        </w:tc>
      </w:tr>
      <w:tr>
        <w:tc>
          <w:tcPr>
            <w:tcW w:type="dxa" w:w="4320"/>
          </w:tcPr>
          <w:p>
            <w:r>
              <w:t>EUR‑Lex</w:t>
              <w:br/>
              <w:t>https://eur-lex.europa.eu</w:t>
            </w:r>
          </w:p>
        </w:tc>
        <w:tc>
          <w:tcPr>
            <w:tcW w:type="dxa" w:w="4320"/>
          </w:tcPr>
          <w:p>
            <w:r>
              <w:t>EU-verordeningen, richtlijnen en geconsolideerde versies.</w:t>
            </w:r>
          </w:p>
        </w:tc>
      </w:tr>
      <w:tr>
        <w:tc>
          <w:tcPr>
            <w:tcW w:type="dxa" w:w="4320"/>
          </w:tcPr>
          <w:p>
            <w:r>
              <w:t>Tractatenblad (officielebekendmakingen.nl)</w:t>
            </w:r>
          </w:p>
        </w:tc>
        <w:tc>
          <w:tcPr>
            <w:tcW w:type="dxa" w:w="4320"/>
          </w:tcPr>
          <w:p>
            <w:r>
              <w:t>Internationale verdragen geratificeerd door NL.</w:t>
            </w:r>
          </w:p>
        </w:tc>
      </w:tr>
      <w:tr>
        <w:tc>
          <w:tcPr>
            <w:tcW w:type="dxa" w:w="4320"/>
          </w:tcPr>
          <w:p>
            <w:r>
              <w:t>Rechtspraak.nl (ECLI)</w:t>
              <w:br/>
              <w:t>https://www.rechtspraak.nl</w:t>
            </w:r>
          </w:p>
        </w:tc>
        <w:tc>
          <w:tcPr>
            <w:tcW w:type="dxa" w:w="4320"/>
          </w:tcPr>
          <w:p>
            <w:r>
              <w:t>Officiële uitspraken met unieke identifiers.</w:t>
            </w:r>
          </w:p>
        </w:tc>
      </w:tr>
      <w:tr>
        <w:tc>
          <w:tcPr>
            <w:tcW w:type="dxa" w:w="4320"/>
          </w:tcPr>
          <w:p>
            <w:r>
              <w:t>Kamerstukken &amp; Handelingen</w:t>
              <w:br/>
              <w:t>https://www.overheid.nl</w:t>
            </w:r>
          </w:p>
        </w:tc>
        <w:tc>
          <w:tcPr>
            <w:tcW w:type="dxa" w:w="4320"/>
          </w:tcPr>
          <w:p>
            <w:r>
              <w:t>Parlementaire geschiedenis en toelichtingen bij wetsvoorstellen.</w:t>
            </w:r>
          </w:p>
        </w:tc>
      </w:tr>
    </w:tbl>
    <w:p>
      <w:pPr>
        <w:pStyle w:val="Heading2"/>
      </w:pPr>
      <w:r>
        <w:t>6. Toezichthouders &amp; beleidsinstanties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Domein</w:t>
            </w:r>
          </w:p>
        </w:tc>
        <w:tc>
          <w:tcPr>
            <w:tcW w:type="dxa" w:w="2880"/>
          </w:tcPr>
          <w:p>
            <w:r>
              <w:t>Dataset / publicatie</w:t>
            </w:r>
          </w:p>
        </w:tc>
        <w:tc>
          <w:tcPr>
            <w:tcW w:type="dxa" w:w="2880"/>
          </w:tcPr>
          <w:p>
            <w:r>
              <w:t>Beschrijving</w:t>
            </w:r>
          </w:p>
        </w:tc>
      </w:tr>
      <w:tr>
        <w:tc>
          <w:tcPr>
            <w:tcW w:type="dxa" w:w="2880"/>
          </w:tcPr>
          <w:p>
            <w:r>
              <w:t>Privacy</w:t>
            </w:r>
          </w:p>
        </w:tc>
        <w:tc>
          <w:tcPr>
            <w:tcW w:type="dxa" w:w="2880"/>
          </w:tcPr>
          <w:p>
            <w:r>
              <w:t>Autoriteit Persoonsgegevens – AVG‑guidelines &amp; boetebesluiten</w:t>
            </w:r>
          </w:p>
        </w:tc>
        <w:tc>
          <w:tcPr>
            <w:tcW w:type="dxa" w:w="2880"/>
          </w:tcPr>
          <w:p>
            <w:r>
              <w:t>Bindende uitleg over de AVG, inclusief sancties.</w:t>
            </w:r>
          </w:p>
        </w:tc>
      </w:tr>
      <w:tr>
        <w:tc>
          <w:tcPr>
            <w:tcW w:type="dxa" w:w="2880"/>
          </w:tcPr>
          <w:p>
            <w:r>
              <w:t>Financieel &amp; bancair</w:t>
            </w:r>
          </w:p>
        </w:tc>
        <w:tc>
          <w:tcPr>
            <w:tcW w:type="dxa" w:w="2880"/>
          </w:tcPr>
          <w:p>
            <w:r>
              <w:t>DNB Statistieken (REST/CSV)</w:t>
            </w:r>
          </w:p>
        </w:tc>
        <w:tc>
          <w:tcPr>
            <w:tcW w:type="dxa" w:w="2880"/>
          </w:tcPr>
          <w:p>
            <w:r>
              <w:t>Officiële kerncijfers over banken en pensioenfondsen.</w:t>
            </w:r>
          </w:p>
        </w:tc>
      </w:tr>
      <w:tr>
        <w:tc>
          <w:tcPr>
            <w:tcW w:type="dxa" w:w="2880"/>
          </w:tcPr>
          <w:p>
            <w:r>
              <w:t>Statistiek</w:t>
            </w:r>
          </w:p>
        </w:tc>
        <w:tc>
          <w:tcPr>
            <w:tcW w:type="dxa" w:w="2880"/>
          </w:tcPr>
          <w:p>
            <w:r>
              <w:t>CBS Open Data (StatLine)</w:t>
            </w:r>
          </w:p>
        </w:tc>
        <w:tc>
          <w:tcPr>
            <w:tcW w:type="dxa" w:w="2880"/>
          </w:tcPr>
          <w:p>
            <w:r>
              <w:t>Micro- en macro‑statistieken voor beleids- en HR-onderbouwingen.</w:t>
            </w:r>
          </w:p>
        </w:tc>
      </w:tr>
      <w:tr>
        <w:tc>
          <w:tcPr>
            <w:tcW w:type="dxa" w:w="2880"/>
          </w:tcPr>
          <w:p>
            <w:r>
              <w:t>Huishoudfinanciën</w:t>
            </w:r>
          </w:p>
        </w:tc>
        <w:tc>
          <w:tcPr>
            <w:tcW w:type="dxa" w:w="2880"/>
          </w:tcPr>
          <w:p>
            <w:r>
              <w:t>NIBUD‑richtbedragen</w:t>
            </w:r>
          </w:p>
        </w:tc>
        <w:tc>
          <w:tcPr>
            <w:tcW w:type="dxa" w:w="2880"/>
          </w:tcPr>
          <w:p>
            <w:r>
              <w:t>Gezaghebbende normen voor budget- en koopkrachtanalyses.</w:t>
            </w:r>
          </w:p>
        </w:tc>
      </w:tr>
    </w:tbl>
    <w:p>
      <w:pPr>
        <w:pStyle w:val="Heading2"/>
      </w:pPr>
      <w:r>
        <w:t>7. Open‑data‑techniek &amp; versiebeheer</w:t>
      </w:r>
    </w:p>
    <w:p>
      <w:r>
        <w:br/>
        <w:t>• Developer Overheid‑portaal – API‑keys, throttle‑limits en Swagger‑docs voor o.a. wetten.nl en BAG.</w:t>
        <w:br/>
        <w:t>• data.overheid.nl API – centrale zoeklaag voor &gt;12 000 datasets (CKAN‑compatible).</w:t>
        <w:br/>
        <w:t>• Identifiers first: gebruik ELI (wetten), ECLI (uitspraken) en CELEX (EU‑documenten) als primaire sleutels.</w:t>
        <w:br/>
        <w:t>• Delta‑updates via RSS/WebSub: officielebekendmakingen.nl en Rechtspraak‑feeds.</w:t>
        <w:br/>
        <w:t>• Automatische validatie: SHA‑256‑checksums en controle op publicatie‑ en inwerkingtredingsdatum.</w:t>
        <w:br/>
      </w:r>
    </w:p>
    <w:p>
      <w:pPr>
        <w:pStyle w:val="Heading2"/>
      </w:pPr>
      <w:r>
        <w:t>8. Kwaliteitstips voor super‑accurate antwoorden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Stap</w:t>
            </w:r>
          </w:p>
        </w:tc>
        <w:tc>
          <w:tcPr>
            <w:tcW w:type="dxa" w:w="4320"/>
          </w:tcPr>
          <w:p>
            <w:r>
              <w:t>Tip</w:t>
            </w:r>
          </w:p>
        </w:tc>
      </w:tr>
      <w:tr>
        <w:tc>
          <w:tcPr>
            <w:tcW w:type="dxa" w:w="4320"/>
          </w:tcPr>
          <w:p>
            <w:r>
              <w:t>Bronselectie</w:t>
            </w:r>
          </w:p>
        </w:tc>
        <w:tc>
          <w:tcPr>
            <w:tcW w:type="dxa" w:w="4320"/>
          </w:tcPr>
          <w:p>
            <w:r>
              <w:t>Beperk crawler tot overheids‑ en toezichthoudersdomeinen; vermijd niet‑officiële sites.</w:t>
            </w:r>
          </w:p>
        </w:tc>
      </w:tr>
      <w:tr>
        <w:tc>
          <w:tcPr>
            <w:tcW w:type="dxa" w:w="4320"/>
          </w:tcPr>
          <w:p>
            <w:r>
              <w:t>Versie‑tagging</w:t>
            </w:r>
          </w:p>
        </w:tc>
        <w:tc>
          <w:tcPr>
            <w:tcW w:type="dxa" w:w="4320"/>
          </w:tcPr>
          <w:p>
            <w:r>
              <w:t>Voeg altijd "Geldt vanaf: DD‑MM‑YYYY" toe en citeer ELI/ECLI/CELEX.</w:t>
            </w:r>
          </w:p>
        </w:tc>
      </w:tr>
      <w:tr>
        <w:tc>
          <w:tcPr>
            <w:tcW w:type="dxa" w:w="4320"/>
          </w:tcPr>
          <w:p>
            <w:r>
              <w:t>Transparantie‑link</w:t>
            </w:r>
          </w:p>
        </w:tc>
        <w:tc>
          <w:tcPr>
            <w:tcW w:type="dxa" w:w="4320"/>
          </w:tcPr>
          <w:p>
            <w:r>
              <w:t>Plaats link "Bekijk in Staatsblad/Rechtspraak/EUR‑Lex" direct onder het citaat.</w:t>
            </w:r>
          </w:p>
        </w:tc>
      </w:tr>
      <w:tr>
        <w:tc>
          <w:tcPr>
            <w:tcW w:type="dxa" w:w="4320"/>
          </w:tcPr>
          <w:p>
            <w:r>
              <w:t>Fallback</w:t>
            </w:r>
          </w:p>
        </w:tc>
        <w:tc>
          <w:tcPr>
            <w:tcW w:type="dxa" w:w="4320"/>
          </w:tcPr>
          <w:p>
            <w:r>
              <w:t>Verwijs expliciet naar verwachte publicatie in Staatscourant als document ontbreekt.</w:t>
            </w:r>
          </w:p>
        </w:tc>
      </w:tr>
      <w:tr>
        <w:tc>
          <w:tcPr>
            <w:tcW w:type="dxa" w:w="4320"/>
          </w:tcPr>
          <w:p>
            <w:r>
              <w:t>Logging</w:t>
            </w:r>
          </w:p>
        </w:tc>
        <w:tc>
          <w:tcPr>
            <w:tcW w:type="dxa" w:w="4320"/>
          </w:tcPr>
          <w:p>
            <w:r>
              <w:t>Bewaar audit‑trail van geraadpleegde URLs met tijdstempel.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