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44"/>
        </w:rPr>
        <w:t>Her-RAG Svetovalka 2026</w:t>
      </w:r>
    </w:p>
    <w:p>
      <w:pPr>
        <w:jc w:val="center"/>
      </w:pPr>
      <w:r>
        <w:rPr>
          <w:color w:val="505050"/>
          <w:sz w:val="24"/>
        </w:rPr>
        <w:t>Retrieval-Augmented Generation Web Application</w:t>
      </w:r>
    </w:p>
    <w:p>
      <w:pPr>
        <w:jc w:val="center"/>
      </w:pPr>
      <w:r>
        <w:rPr>
          <w:color w:val="707070"/>
          <w:sz w:val="18"/>
        </w:rPr>
        <w:t>Author: Lucija Vovk   |   GitHub: github.com/Vlucy3/Nutri-RAG-Advisor   |   Live: nutrition-rag-app.onrender.com</w:t>
      </w:r>
    </w:p>
    <w:p/>
    <w:p>
      <w:pPr>
        <w:pStyle w:val="Heading1"/>
      </w:pPr>
      <w:r>
        <w:rPr>
          <w:color w:val="2E74B5"/>
          <w:sz w:val="32"/>
        </w:rPr>
        <w:t>Page 1: Application Overview</w:t>
      </w:r>
    </w:p>
    <w:p>
      <w:pPr>
        <w:pStyle w:val="Heading2"/>
      </w:pPr>
      <w:r>
        <w:rPr>
          <w:color w:val="1F497D"/>
          <w:sz w:val="26"/>
        </w:rPr>
        <w:t>Topic Description</w:t>
      </w:r>
    </w:p>
    <w:p>
      <w:pPr>
        <w:spacing w:after="120"/>
      </w:pPr>
      <w:r>
        <w:rPr>
          <w:sz w:val="22"/>
        </w:rPr>
        <w:t xml:space="preserve">I chose </w:t>
      </w:r>
      <w:r>
        <w:rPr>
          <w:b/>
          <w:sz w:val="22"/>
        </w:rPr>
        <w:t>women's hormonal nutrition</w:t>
      </w:r>
      <w:r>
        <w:rPr>
          <w:sz w:val="22"/>
        </w:rPr>
        <w:t xml:space="preserve"> as the topic for this project. As a young woman, I find the connection between the menstrual cycle, food choices, and mood genuinely interesting, and I wanted to build something I would actually use. The app covers four hormonal phases of the menstrual cycle, science-backed recipes for specific symptoms (fatigue, anxiety, brain fog, bloating), and the latest 2024–2025 research on macronutrients, gut health, micronutrient synergy, and clinical nutrition.</w:t>
      </w:r>
    </w:p>
    <w:p>
      <w:pPr>
        <w:pStyle w:val="Heading2"/>
      </w:pPr>
      <w:r>
        <w:rPr>
          <w:color w:val="1F497D"/>
          <w:sz w:val="26"/>
        </w:rPr>
        <w:t>What the App Does</w:t>
      </w:r>
    </w:p>
    <w:p>
      <w:r>
        <w:rPr>
          <w:b/>
          <w:sz w:val="22"/>
        </w:rPr>
        <w:t>Her-RAG Advisor 2026</w:t>
      </w:r>
      <w:r>
        <w:rPr>
          <w:sz w:val="22"/>
        </w:rPr>
        <w:t xml:space="preserve"> is a RAG web application with four pages:</w:t>
      </w:r>
    </w:p>
    <w:p>
      <w:pPr>
        <w:pStyle w:val="ListBullet"/>
        <w:spacing w:after="60"/>
      </w:pPr>
      <w:r>
        <w:rPr>
          <w:sz w:val="22"/>
        </w:rPr>
        <w:t>Home — Introduction to the app and its purpose.</w:t>
      </w:r>
    </w:p>
    <w:p>
      <w:pPr>
        <w:pStyle w:val="ListBullet"/>
        <w:spacing w:after="60"/>
      </w:pPr>
      <w:r>
        <w:rPr>
          <w:sz w:val="22"/>
        </w:rPr>
        <w:t>Hormonal Search — Users type a nutrition question and the app returns the most relevant document chunks from the knowledge base, with a match percentage and source label.</w:t>
      </w:r>
    </w:p>
    <w:p>
      <w:pPr>
        <w:pStyle w:val="ListBullet"/>
        <w:spacing w:after="60"/>
      </w:pPr>
      <w:r>
        <w:rPr>
          <w:sz w:val="22"/>
        </w:rPr>
        <w:t>Mood-Prep Kitchen — Users select how they feel from a symptom list and the app retrieves the best-matching recipe with ingredients, instructions, and a scientific explanation.</w:t>
      </w:r>
    </w:p>
    <w:p>
      <w:pPr>
        <w:pStyle w:val="ListBullet"/>
        <w:spacing w:after="60"/>
      </w:pPr>
      <w:r>
        <w:rPr>
          <w:sz w:val="22"/>
        </w:rPr>
        <w:t>Stats — Shows the full knowledge base breakdown and a live chunking strategy comparison.</w:t>
      </w:r>
    </w:p>
    <w:p>
      <w:pPr>
        <w:pStyle w:val="Heading2"/>
      </w:pPr>
      <w:r>
        <w:rPr>
          <w:color w:val="1F497D"/>
          <w:sz w:val="26"/>
        </w:rPr>
        <w:t>Screenshots</w:t>
      </w:r>
    </w:p>
    <w:p>
      <w:pPr>
        <w:spacing w:before="160" w:after="160"/>
        <w:ind w:left="1440" w:right="1440"/>
        <w:jc w:val="center"/>
        <w:shd w:val="clear" w:color="auto" w:fill="F2F2F2"/>
      </w:pPr>
      <w:r>
        <w:rPr>
          <w:i/>
          <w:color w:val="707070"/>
          <w:sz w:val="22"/>
        </w:rPr>
        <w:t>[ INSERT SCREENSHOT — Hormonal Search page with a search query and results ]</w:t>
      </w:r>
    </w:p>
    <w:p/>
    <w:p>
      <w:pPr>
        <w:spacing w:before="160" w:after="160"/>
        <w:ind w:left="1440" w:right="1440"/>
        <w:jc w:val="center"/>
        <w:shd w:val="clear" w:color="auto" w:fill="F2F2F2"/>
      </w:pPr>
      <w:r>
        <w:rPr>
          <w:i/>
          <w:color w:val="707070"/>
          <w:sz w:val="22"/>
        </w:rPr>
        <w:t>[ INSERT SCREENSHOT — Mood-Prep Kitchen page with selected symptoms and recipe result ]</w:t>
      </w:r>
    </w:p>
    <w:p>
      <w:pPr>
        <w:pStyle w:val="Heading2"/>
      </w:pPr>
      <w:r>
        <w:rPr>
          <w:color w:val="1F497D"/>
          <w:sz w:val="26"/>
        </w:rPr>
        <w:t>Links</w:t>
      </w:r>
    </w:p>
    <w:p>
      <w:pPr>
        <w:pStyle w:val="ListBullet"/>
        <w:spacing w:after="60"/>
      </w:pPr>
      <w:r>
        <w:rPr>
          <w:sz w:val="22"/>
        </w:rPr>
        <w:t>GitHub repository: https://github.com/Vlucy3/Nutri-RAG-Advisor</w:t>
      </w:r>
    </w:p>
    <w:p>
      <w:pPr>
        <w:pStyle w:val="ListBullet"/>
        <w:spacing w:after="60"/>
      </w:pPr>
      <w:r>
        <w:rPr>
          <w:sz w:val="22"/>
        </w:rPr>
        <w:t>Live Render deployment: https://nutrition-rag-app.onrender.com</w:t>
      </w:r>
    </w:p>
    <w:p>
      <w:r>
        <w:br w:type="page"/>
      </w:r>
    </w:p>
    <w:p>
      <w:pPr>
        <w:pStyle w:val="Heading1"/>
      </w:pPr>
      <w:r>
        <w:rPr>
          <w:color w:val="2E74B5"/>
          <w:sz w:val="32"/>
        </w:rPr>
        <w:t>Page 2: Technical Details</w:t>
      </w:r>
    </w:p>
    <w:p>
      <w:pPr>
        <w:pStyle w:val="Heading2"/>
      </w:pPr>
      <w:r>
        <w:rPr>
          <w:color w:val="1F497D"/>
          <w:sz w:val="26"/>
        </w:rPr>
        <w:t>Documents</w:t>
      </w:r>
    </w:p>
    <w:p>
      <w:r>
        <w:rPr>
          <w:sz w:val="22"/>
        </w:rPr>
        <w:t xml:space="preserve">The knowledge base contains </w:t>
      </w:r>
      <w:r>
        <w:rPr>
          <w:b/>
          <w:sz w:val="22"/>
        </w:rPr>
        <w:t>30 total documents</w:t>
      </w:r>
      <w:r>
        <w:rPr>
          <w:sz w:val="22"/>
        </w:rPr>
        <w:t xml:space="preserve"> across three source types:</w:t>
      </w:r>
    </w:p>
    <w:tbl>
      <w:tblPr>
        <w:tblStyle w:val="LightShading-Accent1"/>
        <w:tblW w:type="auto" w:w="0"/>
        <w:jc w:val="left"/>
        <w:tblLook w:firstColumn="1" w:firstRow="1" w:lastColumn="0" w:lastRow="0" w:noHBand="0" w:noVBand="1" w:val="04A0"/>
      </w:tblPr>
      <w:tblGrid>
        <w:gridCol w:w="3022"/>
        <w:gridCol w:w="3022"/>
        <w:gridCol w:w="3022"/>
      </w:tblGrid>
      <w:tr>
        <w:tc>
          <w:tcPr>
            <w:tcW w:type="dxa" w:w="2016"/>
          </w:tcPr>
          <w:p>
            <w:r>
              <w:rPr>
                <w:b/>
                <w:sz w:val="20"/>
              </w:rPr>
              <w:t>Source</w:t>
            </w:r>
          </w:p>
        </w:tc>
        <w:tc>
          <w:tcPr>
            <w:tcW w:type="dxa" w:w="864"/>
          </w:tcPr>
          <w:p>
            <w:r>
              <w:rPr>
                <w:b/>
                <w:sz w:val="20"/>
              </w:rPr>
              <w:t>Count</w:t>
            </w:r>
          </w:p>
        </w:tc>
        <w:tc>
          <w:tcPr>
            <w:tcW w:type="dxa" w:w="5472"/>
          </w:tcPr>
          <w:p>
            <w:r>
              <w:rPr>
                <w:b/>
                <w:sz w:val="20"/>
              </w:rPr>
              <w:t>Description</w:t>
            </w:r>
          </w:p>
        </w:tc>
      </w:tr>
      <w:tr>
        <w:tc>
          <w:tcPr>
            <w:tcW w:type="dxa" w:w="2016"/>
          </w:tcPr>
          <w:p>
            <w:r>
              <w:rPr>
                <w:sz w:val="20"/>
              </w:rPr>
              <w:t>Science modules</w:t>
            </w:r>
          </w:p>
        </w:tc>
        <w:tc>
          <w:tcPr>
            <w:tcW w:type="dxa" w:w="864"/>
          </w:tcPr>
          <w:p>
            <w:r>
              <w:rPr>
                <w:sz w:val="20"/>
              </w:rPr>
              <w:t>5</w:t>
            </w:r>
          </w:p>
        </w:tc>
        <w:tc>
          <w:tcPr>
            <w:tcW w:type="dxa" w:w="5472"/>
          </w:tcPr>
          <w:p>
            <w:r>
              <w:rPr>
                <w:sz w:val="20"/>
              </w:rPr>
              <w:t>Short hormonal science facts (infradian rhythm, cortisol, PCOS, endometriosis, estrogen metabolism)</w:t>
            </w:r>
          </w:p>
        </w:tc>
      </w:tr>
      <w:tr>
        <w:tc>
          <w:tcPr>
            <w:tcW w:type="dxa" w:w="2016"/>
          </w:tcPr>
          <w:p>
            <w:r>
              <w:rPr>
                <w:sz w:val="20"/>
              </w:rPr>
              <w:t>Recipes</w:t>
            </w:r>
          </w:p>
        </w:tc>
        <w:tc>
          <w:tcPr>
            <w:tcW w:type="dxa" w:w="864"/>
          </w:tcPr>
          <w:p>
            <w:r>
              <w:rPr>
                <w:sz w:val="20"/>
              </w:rPr>
              <w:t>10</w:t>
            </w:r>
          </w:p>
        </w:tc>
        <w:tc>
          <w:tcPr>
            <w:tcW w:type="dxa" w:w="5472"/>
          </w:tcPr>
          <w:p>
            <w:r>
              <w:rPr>
                <w:sz w:val="20"/>
              </w:rPr>
              <w:t>Mood-targeted recipes with ingredients, instructions, and biochemical mechanisms</w:t>
            </w:r>
          </w:p>
        </w:tc>
      </w:tr>
      <w:tr>
        <w:tc>
          <w:tcPr>
            <w:tcW w:type="dxa" w:w="2016"/>
          </w:tcPr>
          <w:p>
            <w:r>
              <w:rPr>
                <w:sz w:val="20"/>
              </w:rPr>
              <w:t>Research documents</w:t>
            </w:r>
          </w:p>
        </w:tc>
        <w:tc>
          <w:tcPr>
            <w:tcW w:type="dxa" w:w="864"/>
          </w:tcPr>
          <w:p>
            <w:r>
              <w:rPr>
                <w:sz w:val="20"/>
              </w:rPr>
              <w:t>15</w:t>
            </w:r>
          </w:p>
        </w:tc>
        <w:tc>
          <w:tcPr>
            <w:tcW w:type="dxa" w:w="5472"/>
          </w:tcPr>
          <w:p>
            <w:r>
              <w:rPr>
                <w:sz w:val="20"/>
              </w:rPr>
              <w:t>Longer markdown files adapted from WHO guidelines, Endocrine Society publications, Nature Metabolism (2024), and nutrition science literature</w:t>
            </w:r>
          </w:p>
        </w:tc>
      </w:tr>
    </w:tbl>
    <w:p/>
    <w:p>
      <w:pPr>
        <w:spacing w:after="120"/>
      </w:pPr>
      <w:r>
        <w:rPr>
          <w:sz w:val="22"/>
        </w:rPr>
        <w:t>All content was written in English. Research documents cover: menstrual cycle phase nutrition, gut microbiome and SCFAs, macronutrient metabolism, hydration kinetics, micronutrient synergy, plant-based bioenergetics, clinical diabetes nutrition, sports ergogenic aids, dietary guidelines 2020-2025, and practical eating tips.</w:t>
      </w:r>
    </w:p>
    <w:p>
      <w:pPr>
        <w:pStyle w:val="Heading2"/>
      </w:pPr>
      <w:r>
        <w:rPr>
          <w:color w:val="1F497D"/>
          <w:sz w:val="26"/>
        </w:rPr>
        <w:t>Chunking Strategy</w:t>
      </w:r>
    </w:p>
    <w:p>
      <w:r>
        <w:rPr>
          <w:b/>
          <w:sz w:val="22"/>
        </w:rPr>
        <w:t xml:space="preserve">Chosen strategy: </w:t>
      </w:r>
      <w:r>
        <w:rPr>
          <w:rFonts w:ascii="Courier New" w:hAnsi="Courier New"/>
          <w:color w:val="C7254E"/>
          <w:sz w:val="20"/>
        </w:rPr>
        <w:t>chunk_size=600, chunk_overlap=100</w:t>
      </w:r>
    </w:p>
    <w:p>
      <w:pPr>
        <w:spacing w:after="120"/>
      </w:pPr>
      <w:r>
        <w:rPr>
          <w:sz w:val="22"/>
        </w:rPr>
        <w:t>I chose chunk_size=600 because my documents contain multi-sentence scientific explanations that lose meaning when split too finely. A chunk of 600 characters is large enough to keep a full hormonal phase description (e.g. the entire Luteal phase paragraph) in a single chunk, so retrieval returns complete, context-rich answers rather than isolated fragments.</w:t>
      </w:r>
    </w:p>
    <w:p>
      <w:pPr>
        <w:spacing w:after="120"/>
      </w:pPr>
      <w:r>
        <w:rPr>
          <w:sz w:val="22"/>
        </w:rPr>
        <w:t>The chunk_overlap=100 ensures that sentences spanning a chunk boundary are not lost — if a key recommendation appears at the end of one chunk, it also appears at the start of the next, preventing gaps in retrieved context.</w:t>
      </w:r>
    </w:p>
    <w:p>
      <w:pPr>
        <w:pStyle w:val="Heading3"/>
      </w:pPr>
      <w:r>
        <w:rPr>
          <w:color w:val="2E74B5"/>
          <w:sz w:val="22"/>
        </w:rPr>
        <w:t>Comparison with Strategy B: chunk_size=150, chunk_overlap=20</w:t>
      </w:r>
    </w:p>
    <w:p>
      <w:pPr>
        <w:spacing w:after="120"/>
      </w:pPr>
      <w:r>
        <w:rPr>
          <w:sz w:val="22"/>
        </w:rPr>
        <w:t>I tested a second strategy using micro-chunks (150/20), which is visible live in the Stats page of the app. The results were clearly worse:</w:t>
      </w:r>
    </w:p>
    <w:p>
      <w:pPr>
        <w:spacing w:after="80"/>
        <w:ind w:left="720"/>
      </w:pPr>
      <w:r>
        <w:rPr>
          <w:i/>
          <w:color w:val="404040"/>
          <w:sz w:val="20"/>
        </w:rPr>
        <w:t>Example query: "luteal phase and magnesium"</w:t>
        <w:br/>
        <w:br/>
        <w:t>Strategy A (600/100): Returned the full Luteal phase paragraph — "Progesterone dominates, raising the basal metabolic rate by 100-300 calories... Focus on Magnesium-rich foods (pumpkin seeds, spinach) to reduce PMS-related water retention and anxiety..." — full context with actionable dietary recommendation.</w:t>
        <w:br/>
        <w:br/>
        <w:t>Strategy B (150/20): Returned only a recipe fragment — "Magnesium (Cacao) + B6 (Banana) = Melatonin production for deep recovery sleep." — correct keyword match, but no hormonal context or reasoning.</w:t>
      </w:r>
    </w:p>
    <w:p>
      <w:pPr>
        <w:spacing w:after="120"/>
      </w:pPr>
      <w:r>
        <w:rPr>
          <w:sz w:val="22"/>
        </w:rPr>
        <w:t>Conclusion: Strategy A (600/100) consistently returns richer, more informative chunks. Strategy B produces more precise keyword matching but sacrifices the surrounding scientific context that makes the answer useful.</w:t>
      </w:r>
    </w:p>
    <w:p>
      <w:pPr>
        <w:pStyle w:val="Heading2"/>
      </w:pPr>
      <w:r>
        <w:rPr>
          <w:color w:val="1F497D"/>
          <w:sz w:val="26"/>
        </w:rPr>
        <w:t>Embedding Model</w:t>
      </w:r>
    </w:p>
    <w:p>
      <w:r>
        <w:rPr>
          <w:b/>
          <w:sz w:val="22"/>
        </w:rPr>
        <w:t xml:space="preserve">Final model used: </w:t>
      </w:r>
      <w:r>
        <w:rPr>
          <w:rFonts w:ascii="Courier New" w:hAnsi="Courier New"/>
          <w:color w:val="C7254E"/>
          <w:sz w:val="20"/>
        </w:rPr>
        <w:t>intfloat/multilingual-e5-small</w:t>
      </w:r>
    </w:p>
    <w:p>
      <w:pPr>
        <w:spacing w:after="120"/>
      </w:pPr>
      <w:r>
        <w:rPr>
          <w:sz w:val="22"/>
        </w:rPr>
        <w:t>I chose a multilingual model because the app is in Slovenian, a language not supported by the default English-only all-MiniLM-L6-v2. The final model choice required two iterations due to a deployment memory constraint:</w:t>
      </w:r>
    </w:p>
    <w:tbl>
      <w:tblPr>
        <w:tblStyle w:val="LightShading-Accent1"/>
        <w:tblW w:type="auto" w:w="0"/>
        <w:jc w:val="left"/>
        <w:tblLook w:firstColumn="1" w:firstRow="1" w:lastColumn="0" w:lastRow="0" w:noHBand="0" w:noVBand="1" w:val="04A0"/>
      </w:tblPr>
      <w:tblGrid>
        <w:gridCol w:w="1813"/>
        <w:gridCol w:w="1813"/>
        <w:gridCol w:w="1813"/>
        <w:gridCol w:w="1813"/>
        <w:gridCol w:w="1813"/>
      </w:tblGrid>
      <w:tr>
        <w:tc>
          <w:tcPr>
            <w:tcW w:type="dxa" w:w="3456"/>
          </w:tcPr>
          <w:p>
            <w:r>
              <w:rPr>
                <w:b/>
                <w:sz w:val="20"/>
              </w:rPr>
              <w:t>Model</w:t>
            </w:r>
          </w:p>
        </w:tc>
        <w:tc>
          <w:tcPr>
            <w:tcW w:type="dxa" w:w="1296"/>
          </w:tcPr>
          <w:p>
            <w:r>
              <w:rPr>
                <w:b/>
                <w:sz w:val="20"/>
              </w:rPr>
              <w:t>Parameters</w:t>
            </w:r>
          </w:p>
        </w:tc>
        <w:tc>
          <w:tcPr>
            <w:tcW w:type="dxa" w:w="1296"/>
          </w:tcPr>
          <w:p>
            <w:r>
              <w:rPr>
                <w:b/>
                <w:sz w:val="20"/>
              </w:rPr>
              <w:t>Runtime RAM</w:t>
            </w:r>
          </w:p>
        </w:tc>
        <w:tc>
          <w:tcPr>
            <w:tcW w:type="dxa" w:w="1152"/>
          </w:tcPr>
          <w:p>
            <w:r>
              <w:rPr>
                <w:b/>
                <w:sz w:val="20"/>
              </w:rPr>
              <w:t>Slovenian</w:t>
            </w:r>
          </w:p>
        </w:tc>
        <w:tc>
          <w:tcPr>
            <w:tcW w:type="dxa" w:w="1296"/>
          </w:tcPr>
          <w:p>
            <w:r>
              <w:rPr>
                <w:b/>
                <w:sz w:val="20"/>
              </w:rPr>
              <w:t>Render free tier</w:t>
            </w:r>
          </w:p>
        </w:tc>
      </w:tr>
      <w:tr>
        <w:tc>
          <w:tcPr>
            <w:tcW w:type="dxa" w:w="3456"/>
          </w:tcPr>
          <w:p>
            <w:r>
              <w:rPr>
                <w:sz w:val="20"/>
              </w:rPr>
              <w:t>all-MiniLM-L6-v2 (default)</w:t>
            </w:r>
          </w:p>
        </w:tc>
        <w:tc>
          <w:tcPr>
            <w:tcW w:type="dxa" w:w="1296"/>
          </w:tcPr>
          <w:p>
            <w:r>
              <w:rPr>
                <w:sz w:val="20"/>
              </w:rPr>
              <w:t>22M</w:t>
            </w:r>
          </w:p>
        </w:tc>
        <w:tc>
          <w:tcPr>
            <w:tcW w:type="dxa" w:w="1296"/>
          </w:tcPr>
          <w:p>
            <w:r>
              <w:rPr>
                <w:sz w:val="20"/>
              </w:rPr>
              <w:t>~90 MB</w:t>
            </w:r>
          </w:p>
        </w:tc>
        <w:tc>
          <w:tcPr>
            <w:tcW w:type="dxa" w:w="1152"/>
          </w:tcPr>
          <w:p>
            <w:r>
              <w:rPr>
                <w:sz w:val="20"/>
              </w:rPr>
              <w:t>No</w:t>
            </w:r>
          </w:p>
        </w:tc>
        <w:tc>
          <w:tcPr>
            <w:tcW w:type="dxa" w:w="1296"/>
          </w:tcPr>
          <w:p>
            <w:r>
              <w:rPr>
                <w:sz w:val="20"/>
              </w:rPr>
              <w:t>✓ fits</w:t>
            </w:r>
          </w:p>
        </w:tc>
      </w:tr>
      <w:tr>
        <w:tc>
          <w:tcPr>
            <w:tcW w:type="dxa" w:w="3456"/>
          </w:tcPr>
          <w:p>
            <w:r>
              <w:rPr>
                <w:sz w:val="20"/>
              </w:rPr>
              <w:t>paraphrase-multilingual-MiniLM-L12-v2 (1st attempt)</w:t>
            </w:r>
          </w:p>
        </w:tc>
        <w:tc>
          <w:tcPr>
            <w:tcW w:type="dxa" w:w="1296"/>
          </w:tcPr>
          <w:p>
            <w:r>
              <w:rPr>
                <w:sz w:val="20"/>
              </w:rPr>
              <w:t>118M</w:t>
            </w:r>
          </w:p>
        </w:tc>
        <w:tc>
          <w:tcPr>
            <w:tcW w:type="dxa" w:w="1296"/>
          </w:tcPr>
          <w:p>
            <w:r>
              <w:rPr>
                <w:sz w:val="20"/>
              </w:rPr>
              <w:t>~470 MB</w:t>
            </w:r>
          </w:p>
        </w:tc>
        <w:tc>
          <w:tcPr>
            <w:tcW w:type="dxa" w:w="1152"/>
          </w:tcPr>
          <w:p>
            <w:r>
              <w:rPr>
                <w:sz w:val="20"/>
              </w:rPr>
              <w:t>Yes</w:t>
            </w:r>
          </w:p>
        </w:tc>
        <w:tc>
          <w:tcPr>
            <w:tcW w:type="dxa" w:w="1296"/>
          </w:tcPr>
          <w:p>
            <w:r>
              <w:rPr>
                <w:sz w:val="20"/>
              </w:rPr>
              <w:t>✗ OOM crash</w:t>
            </w:r>
          </w:p>
        </w:tc>
      </w:tr>
      <w:tr>
        <w:tc>
          <w:tcPr>
            <w:tcW w:type="dxa" w:w="3456"/>
          </w:tcPr>
          <w:p>
            <w:r>
              <w:rPr>
                <w:sz w:val="20"/>
              </w:rPr>
              <w:t>intfloat/multilingual-e5-small (final)</w:t>
            </w:r>
          </w:p>
        </w:tc>
        <w:tc>
          <w:tcPr>
            <w:tcW w:type="dxa" w:w="1296"/>
          </w:tcPr>
          <w:p>
            <w:r>
              <w:rPr>
                <w:sz w:val="20"/>
              </w:rPr>
              <w:t>33M</w:t>
            </w:r>
          </w:p>
        </w:tc>
        <w:tc>
          <w:tcPr>
            <w:tcW w:type="dxa" w:w="1296"/>
          </w:tcPr>
          <w:p>
            <w:r>
              <w:rPr>
                <w:sz w:val="20"/>
              </w:rPr>
              <w:t>~117 MB</w:t>
            </w:r>
          </w:p>
        </w:tc>
        <w:tc>
          <w:tcPr>
            <w:tcW w:type="dxa" w:w="1152"/>
          </w:tcPr>
          <w:p>
            <w:r>
              <w:rPr>
                <w:sz w:val="20"/>
              </w:rPr>
              <w:t>Yes</w:t>
            </w:r>
          </w:p>
        </w:tc>
        <w:tc>
          <w:tcPr>
            <w:tcW w:type="dxa" w:w="1296"/>
          </w:tcPr>
          <w:p>
            <w:r>
              <w:rPr>
                <w:sz w:val="20"/>
              </w:rPr>
              <w:t>✓ fits</w:t>
            </w:r>
          </w:p>
        </w:tc>
      </w:tr>
    </w:tbl>
    <w:p/>
    <w:p>
      <w:pPr>
        <w:pStyle w:val="Heading3"/>
      </w:pPr>
      <w:r>
        <w:rPr>
          <w:color w:val="2E74B5"/>
          <w:sz w:val="22"/>
        </w:rPr>
        <w:t>Deployment Issue Encountered</w:t>
      </w:r>
    </w:p>
    <w:p>
      <w:pPr>
        <w:spacing w:after="120"/>
      </w:pPr>
      <w:r>
        <w:rPr>
          <w:sz w:val="22"/>
        </w:rPr>
        <w:t>After switching to paraphrase-multilingual-MiniLM-L12-v2, Render's free web service (512 MB RAM) crashed on startup with exit code 2. The model's 118M parameters require ~470 MB of RAM at runtime, which — combined with PyTorch, ChromaDB, and Streamlit — exceeded the memory limit.</w:t>
      </w:r>
    </w:p>
    <w:p>
      <w:pPr>
        <w:spacing w:after="120"/>
      </w:pPr>
      <w:r>
        <w:rPr>
          <w:sz w:val="22"/>
        </w:rPr>
        <w:t>Solution: I switched to intfloat/multilingual-e5-small, which supports 100+ languages including Slovenian, uses the same 384-dimensional embedding space, and fits comfortably within the 512 MB limit at ~117 MB runtime RAM. The model is loaded once at startup with @st.cache_resource and forced to CPU for Render compatibility.</w:t>
      </w:r>
    </w:p>
    <w:p>
      <w:pPr>
        <w:pStyle w:val="Heading2"/>
      </w:pPr>
      <w:r>
        <w:rPr>
          <w:color w:val="1F497D"/>
          <w:sz w:val="26"/>
        </w:rPr>
        <w:t>Interesting Findings</w:t>
      </w:r>
    </w:p>
    <w:p>
      <w:pPr>
        <w:pStyle w:val="Heading3"/>
      </w:pPr>
      <w:r>
        <w:rPr>
          <w:color w:val="2E74B5"/>
          <w:sz w:val="22"/>
        </w:rPr>
        <w:t>Off-topic queries behave gracefully</w:t>
      </w:r>
    </w:p>
    <w:p>
      <w:pPr>
        <w:spacing w:after="120"/>
      </w:pPr>
      <w:r>
        <w:rPr>
          <w:sz w:val="22"/>
        </w:rPr>
        <w:t>Searching for unrelated terms like "avto" (car) or "vreme" (weather) still returns results — ChromaDB always returns k results — but with very low match percentages (~5–15%). The match % label on each result card makes this visible to the user so they can judge result quality themselves.</w:t>
      </w:r>
    </w:p>
    <w:p>
      <w:pPr>
        <w:pStyle w:val="Heading3"/>
      </w:pPr>
      <w:r>
        <w:rPr>
          <w:color w:val="2E74B5"/>
          <w:sz w:val="22"/>
        </w:rPr>
        <w:t>Symptom combinations improve recipe matching</w:t>
      </w:r>
    </w:p>
    <w:p>
      <w:pPr>
        <w:spacing w:after="120"/>
      </w:pPr>
      <w:r>
        <w:rPr>
          <w:sz w:val="22"/>
        </w:rPr>
        <w:t>Selecting a single symptom like "Utrujenost" returns a good recipe, but combining "Utrujenost" + "Megla v glavi" shifts the result toward energy-and-focus recipes (like the Frittata or Poke Bowl), which are semantically closer to the combined query vector. The multilingual model handles compound Slovenian terms well.</w:t>
      </w:r>
    </w:p>
    <w:p>
      <w:pPr>
        <w:pStyle w:val="Heading3"/>
      </w:pPr>
      <w:r>
        <w:rPr>
          <w:color w:val="2E74B5"/>
          <w:sz w:val="22"/>
        </w:rPr>
        <w:t>Metadata filtering was essential for the Kitchen page</w:t>
      </w:r>
    </w:p>
    <w:p>
      <w:pPr>
        <w:spacing w:after="120"/>
      </w:pPr>
      <w:r>
        <w:rPr>
          <w:sz w:val="22"/>
        </w:rPr>
        <w:t>Before adding the filter={"source": "recipe"} metadata filter to the Mood-Prep Kitchen, the app would sometimes return a research document chunk (e.g. a paragraph about fatty acids) instead of a recipe card. The filter guarantees the Kitchen page always shows structured, cook-ready results.</w:t>
      </w:r>
    </w:p>
    <w:p>
      <w:r>
        <w:br w:type="page"/>
      </w:r>
    </w:p>
    <w:p>
      <w:pPr>
        <w:pStyle w:val="Heading1"/>
      </w:pPr>
      <w:r>
        <w:rPr>
          <w:color w:val="2E74B5"/>
          <w:sz w:val="32"/>
        </w:rPr>
        <w:t>Page 3: Reflections &amp; Extensions</w:t>
      </w:r>
    </w:p>
    <w:p>
      <w:pPr>
        <w:pStyle w:val="Heading2"/>
      </w:pPr>
      <w:r>
        <w:rPr>
          <w:color w:val="1F497D"/>
          <w:sz w:val="26"/>
        </w:rPr>
        <w:t>What I Learned</w:t>
      </w:r>
    </w:p>
    <w:p>
      <w:pPr>
        <w:spacing w:after="120"/>
      </w:pPr>
      <w:r>
        <w:rPr>
          <w:sz w:val="22"/>
        </w:rPr>
        <w:t>This project tied together everything from the course in a concrete, deployable product. The most valuable insight was understanding how chunk_size is not just a technical parameter but a semantic design decision — it determines how much context travels with each retrieved result. I also learned that multilingual embedding models require almost no extra code to integrate but unlock an entirely different audience for the application. Finally, the deployment challenge taught me that memory constraints on free cloud tiers are a real engineering concern, not just a theoretical one — model selection must account for the target runtime environment.</w:t>
      </w:r>
    </w:p>
    <w:p>
      <w:pPr>
        <w:pStyle w:val="Heading2"/>
      </w:pPr>
      <w:r>
        <w:rPr>
          <w:color w:val="1F497D"/>
          <w:sz w:val="26"/>
        </w:rPr>
        <w:t>What I Would Improve With More Time</w:t>
      </w:r>
    </w:p>
    <w:p>
      <w:pPr>
        <w:pStyle w:val="ListBullet"/>
        <w:spacing w:after="60"/>
      </w:pPr>
      <w:r>
        <w:rPr>
          <w:sz w:val="22"/>
        </w:rPr>
        <w:t>Add LLM response generation: The app currently returns raw document chunks. Connecting the Anthropic API would allow Claude to synthesize a conversational answer from the retrieved chunks — making it true RAG rather than retrieval-only.</w:t>
      </w:r>
    </w:p>
    <w:p>
      <w:pPr>
        <w:pStyle w:val="ListBullet"/>
        <w:spacing w:after="60"/>
      </w:pPr>
      <w:r>
        <w:rPr>
          <w:sz w:val="22"/>
        </w:rPr>
        <w:t>Add user feedback: A thumbs up/down button on each result would create a feedback loop to measure retrieval quality over time.</w:t>
      </w:r>
    </w:p>
    <w:p>
      <w:pPr>
        <w:pStyle w:val="ListBullet"/>
        <w:spacing w:after="60"/>
      </w:pPr>
      <w:r>
        <w:rPr>
          <w:sz w:val="22"/>
        </w:rPr>
        <w:t>Expand the recipe database: 10 recipes cover common symptoms but miss many combinations. Adding 20–30 more would improve the Kitchen's usefulness.</w:t>
      </w:r>
    </w:p>
    <w:p>
      <w:pPr>
        <w:pStyle w:val="ListBullet"/>
        <w:spacing w:after="60"/>
      </w:pPr>
      <w:r>
        <w:rPr>
          <w:sz w:val="22"/>
        </w:rPr>
        <w:t>Hybrid search: Combining semantic search (ChromaDB) with keyword search (BM25) would improve results for specific ingredient names or exact scientific terms.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