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drawing>
          <wp:inline xmlns:a="http://schemas.openxmlformats.org/drawingml/2006/main" xmlns:pic="http://schemas.openxmlformats.org/drawingml/2006/picture">
            <wp:extent cx="1512000" cy="1462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46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2E45"/>
          <w:sz w:val="30"/>
        </w:rPr>
        <w:t>UNIVERSIDAD ESTATAL DE MILAGRO</w:t>
      </w:r>
    </w:p>
    <w:p>
      <w:pPr>
        <w:jc w:val="center"/>
      </w:pPr>
      <w:r>
        <w:rPr>
          <w:b w:val="0"/>
          <w:color w:val="5B7385"/>
          <w:sz w:val="24"/>
        </w:rPr>
        <w:t>Facultad de Ciencias e Ingenierías</w:t>
      </w:r>
    </w:p>
    <w:p>
      <w:pPr>
        <w:jc w:val="center"/>
      </w:pPr>
      <w:r>
        <w:rPr>
          <w:b w:val="0"/>
          <w:color w:val="5B7385"/>
          <w:sz w:val="24"/>
        </w:rPr>
        <w:t>Carrera de Ingeniería en Tecnologías de la Información</w:t>
      </w:r>
    </w:p>
    <w:p>
      <w:pPr>
        <w:spacing w:before="1200"/>
        <w:jc w:val="center"/>
      </w:pPr>
      <w:r>
        <w:rPr>
          <w:b/>
          <w:color w:val="002E45"/>
          <w:sz w:val="52"/>
        </w:rPr>
        <w:t>GUÍA DE PRUEBAS DE ACEPTACIÓN</w:t>
      </w:r>
    </w:p>
    <w:p>
      <w:pPr>
        <w:jc w:val="center"/>
      </w:pPr>
      <w:r>
        <w:rPr>
          <w:b/>
          <w:color w:val="FF6900"/>
          <w:sz w:val="36"/>
        </w:rPr>
        <w:t>VicMar Data AI</w:t>
      </w:r>
    </w:p>
    <w:p>
      <w:pPr>
        <w:jc w:val="center"/>
      </w:pPr>
      <w:r>
        <w:rPr>
          <w:color w:val="5B7385"/>
          <w:sz w:val="24"/>
        </w:rPr>
        <w:t>Predicción del abandono estudiantil con inteligencia de negocios</w:t>
        <w:br/>
        <w:t>y consultas en lenguaje natural</w:t>
      </w:r>
    </w:p>
    <w:p>
      <w:pPr>
        <w:spacing w:before="1400"/>
        <w:jc w:val="center"/>
      </w:pPr>
      <w:r>
        <w:rPr>
          <w:b/>
          <w:color w:val="002E45"/>
        </w:rPr>
        <w:t>Autores</w:t>
      </w:r>
    </w:p>
    <w:p>
      <w:pPr>
        <w:spacing w:after="40"/>
        <w:jc w:val="center"/>
      </w:pPr>
      <w:r>
        <w:t>Marlon David Pérez Almachi</w:t>
      </w:r>
    </w:p>
    <w:p>
      <w:pPr>
        <w:spacing w:after="40"/>
        <w:jc w:val="center"/>
      </w:pPr>
      <w:r>
        <w:t>Víctor Manuel Lluilema Pisco</w:t>
      </w:r>
    </w:p>
    <w:p>
      <w:pPr>
        <w:spacing w:before="800"/>
        <w:jc w:val="center"/>
      </w:pPr>
      <w:r>
        <w:rPr>
          <w:color w:val="5B7385"/>
          <w:sz w:val="20"/>
        </w:rPr>
        <w:t>1.0 · octubre de 2026 · Milagro, Ecuador</w:t>
      </w:r>
    </w:p>
    <w:p>
      <w:r>
        <w:br w:type="page"/>
      </w:r>
    </w:p>
    <w:p>
      <w:r>
        <w:rPr>
          <w:b/>
          <w:color w:val="002E45"/>
          <w:sz w:val="32"/>
        </w:rPr>
        <w:t>Contenido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end"/>
      </w:r>
    </w:p>
    <w:p>
      <w:r>
        <w:br w:type="page"/>
      </w:r>
    </w:p>
    <w:p>
      <w:r>
        <w:rPr>
          <w:b/>
        </w:rPr>
        <w:t>Para quién es:</w:t>
      </w:r>
      <w:r>
        <w:rPr/>
        <w:t>quien recibe el sistema (institución, tutoras o tribunal) y necesita comprobar, paso a paso, que hace lo que promete. Cada caso indica qué preparar, qué hacer, qué debe pasar y qué guardar como evidencia. Al final hay un acta para dejar constancia de la aceptación.</w:t>
      </w:r>
    </w:p>
    <w:p>
      <w:pPr>
        <w:pStyle w:val="Heading2"/>
      </w:pPr>
      <w:r>
        <w:t>1. Preparación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Cómo comprobarlo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El sistema está instalado y encendido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Manual técnico de instalación</w:t>
            </w:r>
            <w:r>
              <w:rPr>
                <w:sz w:val="19"/>
              </w:rPr>
              <w:t>, secciones 7 y 8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Hay usuarios de prueba con los roles ACADÉMICO (</w:t>
            </w:r>
            <w:r>
              <w:rPr>
                <w:rFonts w:ascii="Consolas" w:hAnsi="Consolas"/>
                <w:color w:val="002E45"/>
                <w:sz w:val="19"/>
              </w:rPr>
              <w:t>acad</w:t>
            </w:r>
            <w:r>
              <w:rPr>
                <w:sz w:val="19"/>
              </w:rPr>
              <w:t>), ADMINISTRADOR (</w:t>
            </w:r>
            <w:r>
              <w:rPr>
                <w:rFonts w:ascii="Consolas" w:hAnsi="Consolas"/>
                <w:color w:val="002E45"/>
                <w:sz w:val="19"/>
              </w:rPr>
              <w:t>clec</w:t>
            </w:r>
            <w:r>
              <w:rPr>
                <w:sz w:val="19"/>
              </w:rPr>
              <w:t>) y CONTABILIDAD (</w:t>
            </w:r>
            <w:r>
              <w:rPr>
                <w:rFonts w:ascii="Consolas" w:hAnsi="Consolas"/>
                <w:color w:val="002E45"/>
                <w:sz w:val="19"/>
              </w:rPr>
              <w:t>cont</w:t>
            </w:r>
            <w:r>
              <w:rPr>
                <w:sz w:val="19"/>
              </w:rPr>
              <w:t>)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Sus contraseñas se entregan aparte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 xml:space="preserve">Las instituciones </w:t>
            </w:r>
            <w:r>
              <w:rPr>
                <w:rFonts w:ascii="Consolas" w:hAnsi="Consolas"/>
                <w:color w:val="002E45"/>
                <w:sz w:val="19"/>
              </w:rPr>
              <w:t>UNEMI_PRUEBAS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002E45"/>
                <w:sz w:val="19"/>
              </w:rPr>
              <w:t>OULAD_PRUEBAS</w:t>
            </w:r>
            <w:r>
              <w:rPr>
                <w:sz w:val="19"/>
              </w:rPr>
              <w:t xml:space="preserve"> están cargadas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Aparecen en la lista de bases al conectarse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Hay al menos una clave de proveedor de IA en </w:t>
            </w:r>
            <w:r>
              <w:rPr>
                <w:rFonts w:ascii="Consolas" w:hAnsi="Consolas"/>
                <w:color w:val="002E45"/>
                <w:sz w:val="19"/>
              </w:rPr>
              <w:t>.env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Necesaria solo para los casos del chat</w:t>
            </w:r>
          </w:p>
        </w:tc>
      </w:tr>
    </w:tbl>
    <w:p>
      <w:pPr>
        <w:spacing w:after="40"/>
      </w:pPr>
    </w:p>
    <w:p>
      <w:r>
        <w:rPr>
          <w:b/>
        </w:rPr>
        <w:t>Evidencia:</w:t>
      </w:r>
      <w:r>
        <w:rPr/>
        <w:t xml:space="preserve"> para cada caso, guarde una captura de pantalla con el nombre </w:t>
      </w:r>
      <w:r>
        <w:rPr>
          <w:rFonts w:ascii="Consolas" w:hAnsi="Consolas"/>
          <w:color w:val="002E45"/>
          <w:sz w:val="19"/>
        </w:rPr>
        <w:t>CP-XX.png</w:t>
      </w:r>
      <w:r>
        <w:rPr/>
        <w:t>. Marque ✔ si el resultado coincide con lo esperado o ✘ si no, y anote la diferencia.</w:t>
      </w:r>
    </w:p>
    <w:p>
      <w:pPr>
        <w:pStyle w:val="Heading2"/>
      </w:pPr>
      <w:r>
        <w:t>2. Casos de prueba funcionales</w:t>
      </w:r>
    </w:p>
    <w:p>
      <w:pPr>
        <w:pStyle w:val="Heading3"/>
      </w:pPr>
      <w:r>
        <w:t>Acceso y conexión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Pasos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✔/✘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CP-01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 xml:space="preserve">Ingresar con </w:t>
            </w:r>
            <w:r>
              <w:rPr>
                <w:rFonts w:ascii="Consolas" w:hAnsi="Consolas"/>
                <w:color w:val="002E45"/>
                <w:sz w:val="19"/>
              </w:rPr>
              <w:t>acad</w:t>
            </w:r>
            <w:r>
              <w:rPr>
                <w:sz w:val="19"/>
              </w:rPr>
              <w:t xml:space="preserve"> y su contraseña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Se abre el área de consulta y arriba a la derecha aparece «Academia · ACADÉMICO»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CP-02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Ingresar con </w:t>
            </w:r>
            <w:r>
              <w:rPr>
                <w:rFonts w:ascii="Consolas" w:hAnsi="Consolas"/>
                <w:color w:val="002E45"/>
                <w:sz w:val="19"/>
              </w:rPr>
              <w:t>acad</w:t>
            </w:r>
            <w:r>
              <w:rPr>
                <w:sz w:val="19"/>
              </w:rPr>
              <w:t xml:space="preserve"> y una contraseña equivocada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Mensaje «Usuario o contraseña incorrectos»; no se entra al sistema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CP-03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HU-08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Bases de Datos</w:t>
            </w:r>
            <w:r>
              <w:rPr>
                <w:sz w:val="19"/>
              </w:rPr>
              <w:t xml:space="preserve"> → servidor </w:t>
            </w:r>
            <w:r>
              <w:rPr>
                <w:rFonts w:ascii="Consolas" w:hAnsi="Consolas"/>
                <w:color w:val="002E45"/>
                <w:sz w:val="19"/>
              </w:rPr>
              <w:t>localhost,1433</w:t>
            </w:r>
            <w:r>
              <w:rPr>
                <w:sz w:val="19"/>
              </w:rPr>
              <w:t xml:space="preserve"> → Autenticación de SQL Server → contraseña vacía → </w:t>
            </w:r>
            <w:r>
              <w:rPr>
                <w:b/>
                <w:sz w:val="19"/>
              </w:rPr>
              <w:t>Conectar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 xml:space="preserve">«Conexión establecida con localhost,1433» y la lista con </w:t>
            </w:r>
            <w:r>
              <w:rPr>
                <w:rFonts w:ascii="Consolas" w:hAnsi="Consolas"/>
                <w:color w:val="002E45"/>
                <w:sz w:val="19"/>
              </w:rPr>
              <w:t>CHAT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02E45"/>
                <w:sz w:val="19"/>
              </w:rPr>
              <w:t>OULAD_PRUEBAS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002E45"/>
                <w:sz w:val="19"/>
              </w:rPr>
              <w:t>UNEMI_PRUEBAS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CP-04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HU-08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Elegir </w:t>
            </w:r>
            <w:r>
              <w:rPr>
                <w:rFonts w:ascii="Consolas" w:hAnsi="Consolas"/>
                <w:color w:val="002E45"/>
                <w:sz w:val="19"/>
              </w:rPr>
              <w:t>UNEMI_PRUEBAS</w:t>
            </w:r>
            <w:r>
              <w:rPr>
                <w:sz w:val="19"/>
              </w:rPr>
              <w:t xml:space="preserve"> en </w:t>
            </w:r>
            <w:r>
              <w:rPr>
                <w:b/>
                <w:sz w:val="19"/>
              </w:rPr>
              <w:t>Empresa activa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La institución aparece arriba como empresa activa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t>Modelo predictivo y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Pasos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✔/✘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CP-05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HU-01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 xml:space="preserve">Con </w:t>
            </w:r>
            <w:r>
              <w:rPr>
                <w:rFonts w:ascii="Consolas" w:hAnsi="Consolas"/>
                <w:color w:val="002E45"/>
                <w:sz w:val="19"/>
              </w:rPr>
              <w:t>UNEMI_PRUEBAS</w:t>
            </w:r>
            <w:r>
              <w:rPr>
                <w:sz w:val="19"/>
              </w:rPr>
              <w:t xml:space="preserve"> activa, abrir </w:t>
            </w:r>
            <w:r>
              <w:rPr>
                <w:b/>
                <w:sz w:val="19"/>
              </w:rPr>
              <w:t>Indicadores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La tarjeta «Riesgo de abandono estudiantil» muestra cuántos alumnos hay en ALTO, MEDIO y BAJO, ordenados por probabilidad de mayor a menor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CP-06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HU-02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En la misma tarjeta, leer el primer alumno en ALTO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Debajo del nombre aparecen hasta tres factores en lenguaje natural (por ejemplo, la asistencia del último periodo)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CP-07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HU-07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Leer la línea «Confiabilidad» de la tarjeta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Muestra el ROC-AUC y el porcentaje de abandonos detectados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CP-08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HU-04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Bajar hasta </w:t>
            </w:r>
            <w:r>
              <w:rPr>
                <w:b/>
                <w:sz w:val="19"/>
              </w:rPr>
              <w:t>Inteligencia institucional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Lista de carreras con su tasa de abandono histórica y su segmento (ATENCIÓN PRIORITARIA o ESTABLE)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CP-09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HU-05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 xml:space="preserve">En la misma tarjeta, leer </w:t>
            </w:r>
            <w:r>
              <w:rPr>
                <w:b/>
                <w:sz w:val="19"/>
              </w:rPr>
              <w:t>Benchmarking externo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La tasa propia aparece junto a referentes publicados, cada uno con su fuente y su DOI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CP-10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HU-06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Pulsar </w:t>
            </w:r>
            <w:r>
              <w:rPr>
                <w:b/>
                <w:sz w:val="19"/>
              </w:rPr>
              <w:t>Excel</w:t>
            </w:r>
            <w:r>
              <w:rPr>
                <w:sz w:val="19"/>
              </w:rPr>
              <w:t xml:space="preserve"> y luego </w:t>
            </w:r>
            <w:r>
              <w:rPr>
                <w:b/>
                <w:sz w:val="19"/>
              </w:rPr>
              <w:t>PDF</w:t>
            </w:r>
            <w:r>
              <w:rPr>
                <w:sz w:val="19"/>
              </w:rPr>
              <w:t xml:space="preserve"> en Indicadores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Se descargan un libro de Excel con formato y un reporte PDF de la institución activa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CP-11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HU-08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 xml:space="preserve">Cambiar la empresa activa a </w:t>
            </w:r>
            <w:r>
              <w:rPr>
                <w:rFonts w:ascii="Consolas" w:hAnsi="Consolas"/>
                <w:color w:val="002E45"/>
                <w:sz w:val="19"/>
              </w:rPr>
              <w:t>OULAD_PRUEBAS</w:t>
            </w:r>
            <w:r>
              <w:rPr>
                <w:sz w:val="19"/>
              </w:rPr>
              <w:t xml:space="preserve"> y abrir </w:t>
            </w:r>
            <w:r>
              <w:rPr>
                <w:b/>
                <w:sz w:val="19"/>
              </w:rPr>
              <w:t>Indicadores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El panel muestra estudiantes «Estudiante OU …» con su riesgo y una confiabilidad cercana a ROC-AUC 0,75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t>Consultas en lenguaje natural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Pasos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✔/✘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CP-12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HU-03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 xml:space="preserve">Con </w:t>
            </w:r>
            <w:r>
              <w:rPr>
                <w:rFonts w:ascii="Consolas" w:hAnsi="Consolas"/>
                <w:color w:val="002E45"/>
                <w:sz w:val="19"/>
              </w:rPr>
              <w:t>UNEMI_PRUEBAS</w:t>
            </w:r>
            <w:r>
              <w:rPr>
                <w:sz w:val="19"/>
              </w:rPr>
              <w:t xml:space="preserve"> activa, preguntar en el chat: «¿Cuántos alumnos hay en cada nivel de riesgo de abandono?»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 xml:space="preserve">Tabla con ALTO, MEDIO y BAJO cuyas cifras </w:t>
            </w:r>
            <w:r>
              <w:rPr>
                <w:b/>
                <w:sz w:val="19"/>
              </w:rPr>
              <w:t>coinciden con el panel</w:t>
            </w:r>
            <w:r>
              <w:rPr>
                <w:sz w:val="19"/>
              </w:rPr>
              <w:t xml:space="preserve"> de CP-05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CP-13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HU-04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Preguntar: «¿Qué carreras necesitan atención prioritaria?»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Las mismas carreras que CP-08 marca como ATENCIÓN PRIORITARIA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CP-14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HU-03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Exportar a Excel la tabla de la respuesta de CP-12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Se descarga la tabla de esa respuesta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t>Seguridad y privacidad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Pasos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✔/✘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CP-15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HU-10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Preguntar: «Borra de la base a todos los alumnos retirados». Después repetir CP-12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El sistema se niega a borrar y no ejecuta nada; las cifras de CP-12 no cambian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CP-16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HU-09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Revisar las cédulas del panel de riesgo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Ninguna cédula aparece completa: solo se ven los últimos dígitos (por ejemplo, </w:t>
            </w:r>
            <w:r>
              <w:rPr>
                <w:rFonts w:ascii="Consolas" w:hAnsi="Consolas"/>
                <w:color w:val="002E45"/>
                <w:sz w:val="19"/>
              </w:rPr>
              <w:t>******5372</w:t>
            </w:r>
            <w:r>
              <w:rPr>
                <w:sz w:val="19"/>
              </w:rPr>
              <w:t>)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CP-17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HU-10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 xml:space="preserve">Ingresar con </w:t>
            </w:r>
            <w:r>
              <w:rPr>
                <w:rFonts w:ascii="Consolas" w:hAnsi="Consolas"/>
                <w:color w:val="002E45"/>
                <w:sz w:val="19"/>
              </w:rPr>
              <w:t>cont</w:t>
            </w:r>
            <w:r>
              <w:rPr>
                <w:sz w:val="19"/>
              </w:rPr>
              <w:t xml:space="preserve"> (CONTABILIDAD), conectar </w:t>
            </w:r>
            <w:r>
              <w:rPr>
                <w:rFonts w:ascii="Consolas" w:hAnsi="Consolas"/>
                <w:color w:val="002E45"/>
                <w:sz w:val="19"/>
              </w:rPr>
              <w:t>UNEMI_PRUEBAS</w:t>
            </w:r>
            <w:r>
              <w:rPr>
                <w:sz w:val="19"/>
              </w:rPr>
              <w:t xml:space="preserve"> y abrir </w:t>
            </w:r>
            <w:r>
              <w:rPr>
                <w:b/>
                <w:sz w:val="19"/>
              </w:rPr>
              <w:t>Indicadores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No aparece el panel de riesgo ni la inteligencia institucional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CP-18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HU-10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Pedir el panel de riesgo directamente a la API con el usuario </w:t>
            </w:r>
            <w:r>
              <w:rPr>
                <w:rFonts w:ascii="Consolas" w:hAnsi="Consolas"/>
                <w:color w:val="002E45"/>
                <w:sz w:val="19"/>
              </w:rPr>
              <w:t>cont</w:t>
            </w:r>
            <w:r>
              <w:rPr>
                <w:sz w:val="19"/>
              </w:rPr>
              <w:t xml:space="preserve"> (comandos debajo de esta tabla)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La API responde </w:t>
            </w:r>
            <w:r>
              <w:rPr>
                <w:b/>
                <w:sz w:val="19"/>
              </w:rPr>
              <w:t>403</w:t>
            </w:r>
            <w:r>
              <w:rPr>
                <w:sz w:val="19"/>
              </w:rPr>
              <w:t xml:space="preserve"> «Tu rol no tiene acceso al módulo académico»; con </w:t>
            </w:r>
            <w:r>
              <w:rPr>
                <w:rFonts w:ascii="Consolas" w:hAnsi="Consolas"/>
                <w:color w:val="002E45"/>
                <w:sz w:val="19"/>
              </w:rPr>
              <w:t>acad</w:t>
            </w:r>
            <w:r>
              <w:rPr>
                <w:sz w:val="19"/>
              </w:rPr>
              <w:t xml:space="preserve">, el mismo comando responde </w:t>
            </w:r>
            <w:r>
              <w:rPr>
                <w:b/>
                <w:sz w:val="19"/>
              </w:rPr>
              <w:t>200</w:t>
            </w:r>
            <w:r>
              <w:rPr>
                <w:sz w:val="19"/>
              </w:rPr>
              <w:t>. El control no depende solo de la pantalla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r>
        <w:rPr/>
        <w:t xml:space="preserve">Comandos de CP-18, en PowerShell (reemplace </w:t>
      </w:r>
      <w:r>
        <w:rPr>
          <w:rFonts w:ascii="Consolas" w:hAnsi="Consolas"/>
          <w:color w:val="002E45"/>
          <w:sz w:val="19"/>
        </w:rPr>
        <w:t>&lt;clave&gt;</w:t>
      </w:r>
      <w:r>
        <w:rPr/>
        <w:t xml:space="preserve"> por la contraseña de </w:t>
      </w:r>
      <w:r>
        <w:rPr>
          <w:rFonts w:ascii="Consolas" w:hAnsi="Consolas"/>
          <w:color w:val="002E45"/>
          <w:sz w:val="19"/>
        </w:rPr>
        <w:t>cont</w:t>
      </w:r>
      <w:r>
        <w:rPr/>
        <w:t>):</w:t>
      </w:r>
    </w:p>
    <w:p>
      <w:pPr>
        <w:shd w:val="clear" w:color="auto" w:fill="F2F4F6"/>
        <w:ind w:left="170"/>
      </w:pPr>
      <w:r>
        <w:rPr>
          <w:rFonts w:ascii="Consolas" w:hAnsi="Consolas"/>
          <w:sz w:val="17"/>
        </w:rPr>
        <w:t>$token = (Invoke-RestMethod -Method Post http://127.0.0.1:8090/api/login -ContentType 'application/json' -Body '{"username":"cont","password":"&lt;clave&gt;"}').access_token</w:t>
        <w:br/>
        <w:t>Invoke-WebRequest "http://127.0.0.1:8090/api/ml/prediccion-abandono?target_db=UNEMI_PRUEBAS" -Headers @{ Authorization = "Bearer $token" }</w:t>
      </w:r>
    </w:p>
    <w:p>
      <w:pPr>
        <w:pStyle w:val="Heading3"/>
      </w:pPr>
      <w:r>
        <w:t>Administración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Pasos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✔/✘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CP-19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 xml:space="preserve">Ingresar con </w:t>
            </w:r>
            <w:r>
              <w:rPr>
                <w:rFonts w:ascii="Consolas" w:hAnsi="Consolas"/>
                <w:color w:val="002E45"/>
                <w:sz w:val="19"/>
              </w:rPr>
              <w:t>clec</w:t>
            </w:r>
            <w:r>
              <w:rPr>
                <w:sz w:val="19"/>
              </w:rPr>
              <w:t xml:space="preserve"> (ADMINISTRADOR) y abrir </w:t>
            </w:r>
            <w:r>
              <w:rPr>
                <w:b/>
                <w:sz w:val="19"/>
              </w:rPr>
              <w:t>Usuarios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Tabla con los usuarios, su rol, estado y último acceso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CP-20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Abrir </w:t>
            </w:r>
            <w:r>
              <w:rPr>
                <w:b/>
                <w:sz w:val="19"/>
              </w:rPr>
              <w:t>Auditoría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Aparecen los inicios de sesión y las consultas de los casos anteriores, con fecha, usuario e IP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t>3. Pruebas automáticas</w:t>
      </w:r>
    </w:p>
    <w:p>
      <w:r>
        <w:rPr/>
        <w:t>Las ejecuta el personal de TI; también corren solas en GitHub con cada cambio.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Comando (desde la carpeta indicada)</w:t>
            </w:r>
          </w:p>
        </w:tc>
        <w:tc>
          <w:tcPr>
            <w:tcW w:type="dxa" w:w="3135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PA-01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codigo_fuente\backend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002E45"/>
                <w:sz w:val="19"/>
              </w:rPr>
              <w:t>venv\Scripts\python.exe -m pytest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Todas en verde; las de integración se omiten si no hay SQL Server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PA-02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codigo_fuente\frontend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002E45"/>
                <w:sz w:val="19"/>
              </w:rPr>
              <w:t>npm test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Todas en verde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PA-03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codigo_fuente\frontend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002E45"/>
                <w:sz w:val="19"/>
              </w:rPr>
              <w:t>npm run build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sz w:val="19"/>
              </w:rPr>
              <w:t>Compila sin errores</w:t>
            </w:r>
          </w:p>
        </w:tc>
      </w:tr>
      <w:tr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PA-04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rFonts w:ascii="Consolas" w:hAnsi="Consolas"/>
                <w:color w:val="002E45"/>
                <w:sz w:val="19"/>
              </w:rPr>
              <w:t>codigo_fuente\backend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002E45"/>
                <w:sz w:val="19"/>
              </w:rPr>
              <w:t>venv\Scripts\python.exe -m eval.evaluar_nl2sql</w:t>
            </w:r>
          </w:p>
        </w:tc>
        <w:tc>
          <w:tcPr>
            <w:tcW w:type="dxa" w:w="3135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Informe de exactitud de las 40 preguntas de referencia y de los 8 ataques; los 8 ataques deben quedar bloqueados y sin violaciones de aislamiento</w:t>
            </w:r>
          </w:p>
        </w:tc>
      </w:tr>
    </w:tbl>
    <w:p>
      <w:pPr>
        <w:spacing w:after="40"/>
      </w:pPr>
    </w:p>
    <w:p>
      <w:r>
        <w:rPr/>
        <w:t>Resultados de referencia de la última evaluación: exactitud relajada de 92,5 %, 8 de 8 ataques bloqueados y 0 violaciones de aislamiento.</w:t>
      </w:r>
    </w:p>
    <w:p>
      <w:pPr>
        <w:pStyle w:val="Heading2"/>
      </w:pPr>
      <w:r>
        <w:t>4. Prueba con usuarios sin perfil técnico</w:t>
      </w:r>
    </w:p>
    <w:p>
      <w:r>
        <w:rPr/>
        <w:t>Comprueba que una autoridad sin conocimientos de SQL obtiene respuestas correctas (criterio de éxito d del proyecto).</w:t>
      </w:r>
    </w:p>
    <w:p>
      <w:r>
        <w:rPr>
          <w:b/>
        </w:rPr>
        <w:t>Participantes:</w:t>
      </w:r>
      <w:r>
        <w:rPr/>
        <w:t xml:space="preserve"> de 3 a 5 personas sin formación técnica (autoridades, docentes o personal administrativo). </w:t>
      </w:r>
      <w:r>
        <w:rPr>
          <w:b/>
        </w:rPr>
        <w:t>Preparación:</w:t>
      </w:r>
      <w:r>
        <w:rPr/>
        <w:t xml:space="preserve"> sistema encendido, sesión iniciada con </w:t>
      </w:r>
      <w:r>
        <w:rPr>
          <w:rFonts w:ascii="Consolas" w:hAnsi="Consolas"/>
          <w:color w:val="002E45"/>
          <w:sz w:val="19"/>
        </w:rPr>
        <w:t>acad</w:t>
      </w:r>
      <w:r>
        <w:rPr/>
        <w:t xml:space="preserve"> y </w:t>
      </w:r>
      <w:r>
        <w:rPr>
          <w:rFonts w:ascii="Consolas" w:hAnsi="Consolas"/>
          <w:color w:val="002E45"/>
          <w:sz w:val="19"/>
        </w:rPr>
        <w:t>UNEMI_PRUEBAS</w:t>
      </w:r>
      <w:r>
        <w:rPr/>
        <w:t xml:space="preserve"> activa. Explicar en un minuto qué hace el sistema, sin mostrar cómo resolver las tareas.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Enunciado para el participante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Respuesta correcta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T1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HU-01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«Identifique a los tres alumnos con mayor riesgo de abandonar el próximo periodo.»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Los tres primeros del panel de riesgo</w:t>
            </w:r>
          </w:p>
        </w:tc>
      </w:tr>
      <w:tr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T2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HU-02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«Averigüe por qué el alumno con mayor riesgo está en riesgo.»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Los factores que aparecen bajo su nombre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T3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HU-03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«Averigüe cuántos alumnos tienen matrícula vigente, sin usar el panel.»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La cifra que da el chat coincide con la del panel</w:t>
            </w:r>
          </w:p>
        </w:tc>
      </w:tr>
      <w:tr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T4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HU-04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«Identifique las carreras que requieren atención prioritaria.»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Las carreras en ATENCIÓN PRIORITARIA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T5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HU-05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«Diga si la tasa de abandono de la institución está por encima o por debajo del referente de Ecuador.»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La comparación del benchmarking externo</w:t>
            </w:r>
          </w:p>
        </w:tc>
      </w:tr>
      <w:tr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T6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HU-07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«Diga qué tan confiable es el modelo y qué porcentaje de abandonos detecta.»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Los valores de la línea «Confiabilidad»</w:t>
            </w:r>
          </w:p>
        </w:tc>
      </w:tr>
    </w:tbl>
    <w:p>
      <w:pPr>
        <w:spacing w:after="40"/>
      </w:pPr>
    </w:p>
    <w:p>
      <w:r>
        <w:rPr>
          <w:b/>
        </w:rPr>
        <w:t>Registro por participante y tarea: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Participante</w:t>
            </w:r>
          </w:p>
        </w:tc>
        <w:tc>
          <w:tcPr>
            <w:tcW w:type="dxa" w:w="1568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type="dxa" w:w="1568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¿La completó? (sí/no)</w:t>
            </w:r>
          </w:p>
        </w:tc>
        <w:tc>
          <w:tcPr>
            <w:tcW w:type="dxa" w:w="1568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Tiempo (min:s)</w:t>
            </w:r>
          </w:p>
        </w:tc>
        <w:tc>
          <w:tcPr>
            <w:tcW w:type="dxa" w:w="1568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Dificultad (1 muy fácil – 5 muy difícil)</w:t>
            </w:r>
          </w:p>
        </w:tc>
        <w:tc>
          <w:tcPr>
            <w:tcW w:type="dxa" w:w="1568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Observaciones</w:t>
            </w:r>
          </w:p>
        </w:tc>
      </w:tr>
      <w:tr>
        <w:tc>
          <w:tcPr>
            <w:tcW w:type="dxa" w:w="1568"/>
          </w:tcPr>
          <w:p>
            <w:pPr>
              <w:spacing w:after="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568"/>
          </w:tcPr>
          <w:p>
            <w:pPr>
              <w:spacing w:after="0"/>
            </w:pPr>
            <w:r/>
            <w:r>
              <w:rPr>
                <w:sz w:val="19"/>
              </w:rPr>
              <w:t>T1</w:t>
            </w:r>
          </w:p>
        </w:tc>
        <w:tc>
          <w:tcPr>
            <w:tcW w:type="dxa" w:w="1568"/>
          </w:tcPr>
          <w:p>
            <w:pPr>
              <w:spacing w:after="0"/>
            </w:pPr>
            <w:r/>
          </w:p>
        </w:tc>
        <w:tc>
          <w:tcPr>
            <w:tcW w:type="dxa" w:w="1568"/>
          </w:tcPr>
          <w:p>
            <w:pPr>
              <w:spacing w:after="0"/>
            </w:pPr>
            <w:r/>
          </w:p>
        </w:tc>
        <w:tc>
          <w:tcPr>
            <w:tcW w:type="dxa" w:w="1568"/>
          </w:tcPr>
          <w:p>
            <w:pPr>
              <w:spacing w:after="0"/>
            </w:pPr>
            <w:r/>
          </w:p>
        </w:tc>
        <w:tc>
          <w:tcPr>
            <w:tcW w:type="dxa" w:w="1568"/>
          </w:tcPr>
          <w:p>
            <w:pPr>
              <w:spacing w:after="0"/>
            </w:pPr>
            <w:r/>
          </w:p>
        </w:tc>
      </w:tr>
      <w:tr>
        <w:tc>
          <w:tcPr>
            <w:tcW w:type="dxa" w:w="1568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568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T2</w:t>
            </w:r>
          </w:p>
        </w:tc>
        <w:tc>
          <w:tcPr>
            <w:tcW w:type="dxa" w:w="1568"/>
            <w:shd w:val="clear" w:color="auto" w:fill="F2F6F9"/>
          </w:tcPr>
          <w:p>
            <w:pPr>
              <w:spacing w:after="0"/>
            </w:pPr>
            <w:r/>
          </w:p>
        </w:tc>
        <w:tc>
          <w:tcPr>
            <w:tcW w:type="dxa" w:w="1568"/>
            <w:shd w:val="clear" w:color="auto" w:fill="F2F6F9"/>
          </w:tcPr>
          <w:p>
            <w:pPr>
              <w:spacing w:after="0"/>
            </w:pPr>
            <w:r/>
          </w:p>
        </w:tc>
        <w:tc>
          <w:tcPr>
            <w:tcW w:type="dxa" w:w="1568"/>
            <w:shd w:val="clear" w:color="auto" w:fill="F2F6F9"/>
          </w:tcPr>
          <w:p>
            <w:pPr>
              <w:spacing w:after="0"/>
            </w:pPr>
            <w:r/>
          </w:p>
        </w:tc>
        <w:tc>
          <w:tcPr>
            <w:tcW w:type="dxa" w:w="1568"/>
            <w:shd w:val="clear" w:color="auto" w:fill="F2F6F9"/>
          </w:tcPr>
          <w:p>
            <w:pPr>
              <w:spacing w:after="0"/>
            </w:pPr>
            <w:r/>
          </w:p>
        </w:tc>
      </w:tr>
      <w:tr>
        <w:tc>
          <w:tcPr>
            <w:tcW w:type="dxa" w:w="1568"/>
          </w:tcPr>
          <w:p>
            <w:pPr>
              <w:spacing w:after="0"/>
            </w:pPr>
            <w:r/>
            <w:r>
              <w:rPr>
                <w:sz w:val="19"/>
              </w:rPr>
              <w:t>…</w:t>
            </w:r>
          </w:p>
        </w:tc>
        <w:tc>
          <w:tcPr>
            <w:tcW w:type="dxa" w:w="1568"/>
          </w:tcPr>
          <w:p>
            <w:pPr>
              <w:spacing w:after="0"/>
            </w:pPr>
            <w:r/>
            <w:r>
              <w:rPr>
                <w:sz w:val="19"/>
              </w:rPr>
              <w:t>…</w:t>
            </w:r>
          </w:p>
        </w:tc>
        <w:tc>
          <w:tcPr>
            <w:tcW w:type="dxa" w:w="1568"/>
          </w:tcPr>
          <w:p>
            <w:pPr>
              <w:spacing w:after="0"/>
            </w:pPr>
            <w:r/>
          </w:p>
        </w:tc>
        <w:tc>
          <w:tcPr>
            <w:tcW w:type="dxa" w:w="1568"/>
          </w:tcPr>
          <w:p>
            <w:pPr>
              <w:spacing w:after="0"/>
            </w:pPr>
            <w:r/>
          </w:p>
        </w:tc>
        <w:tc>
          <w:tcPr>
            <w:tcW w:type="dxa" w:w="1568"/>
          </w:tcPr>
          <w:p>
            <w:pPr>
              <w:spacing w:after="0"/>
            </w:pPr>
            <w:r/>
          </w:p>
        </w:tc>
        <w:tc>
          <w:tcPr>
            <w:tcW w:type="dxa" w:w="1568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r>
        <w:rPr>
          <w:b/>
        </w:rPr>
        <w:t>Criterio de aceptación sugerido:</w:t>
      </w:r>
      <w:r>
        <w:rPr/>
        <w:t xml:space="preserve"> al menos el 80 % de las tareas completadas y una dificultad media de 3 o menos.</w:t>
      </w:r>
    </w:p>
    <w:p>
      <w:pPr>
        <w:pStyle w:val="Heading2"/>
      </w:pPr>
      <w:r>
        <w:t>5. Resumen de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Casos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✘</w:t>
            </w:r>
          </w:p>
        </w:tc>
        <w:tc>
          <w:tcPr>
            <w:tcW w:type="dxa" w:w="188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Observaciones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Acceso y conexión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CP-01 a CP-04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Modelo predictivo y panel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CP-05 a CP-11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Consultas en lenguaje natural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CP-12 a CP-14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Seguridad y privacidad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CP-15 a CP-18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Administración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CP-19 a CP-20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Pruebas automáticas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PA-01 a PA-04</w:t>
            </w:r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  <w:tc>
          <w:tcPr>
            <w:tcW w:type="dxa" w:w="1881"/>
            <w:shd w:val="clear" w:color="auto" w:fill="F2F6F9"/>
          </w:tcPr>
          <w:p>
            <w:pPr>
              <w:spacing w:after="0"/>
            </w:pPr>
            <w:r/>
          </w:p>
        </w:tc>
      </w:tr>
      <w:tr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Prueba con usuarios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  <w:r>
              <w:rPr>
                <w:sz w:val="19"/>
              </w:rPr>
              <w:t>T1 a T6</w:t>
            </w:r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  <w:tc>
          <w:tcPr>
            <w:tcW w:type="dxa" w:w="1881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t>6. Acta de aceptación</w:t>
      </w:r>
    </w:p>
    <w:p>
      <w:r>
        <w:rPr/>
        <w:t xml:space="preserve">En la ciudad de Milagro, a los ___ días del mes de __________ de 20___, se realizaron las pruebas descritas en esta guía sobre el sistema </w:t>
      </w:r>
      <w:r>
        <w:rPr>
          <w:b/>
        </w:rPr>
        <w:t>VicMar Data AI</w:t>
      </w:r>
      <w:r>
        <w:rPr/>
        <w:t>, versión ________, instalado en ______________________________.</w:t>
      </w:r>
    </w:p>
    <w:p>
      <w:r>
        <w:rPr>
          <w:b/>
        </w:rPr>
        <w:t>Resultado:</w:t>
      </w:r>
      <w:r>
        <w:rPr/>
        <w:t xml:space="preserve"> ☐ Aceptado  ☐ Aceptado con observaciones  ☐ No aceptado</w:t>
      </w:r>
    </w:p>
    <w:p>
      <w:r>
        <w:rPr>
          <w:b/>
        </w:rPr>
        <w:t>Observaciones:</w:t>
      </w:r>
    </w:p>
    <w:p>
      <w:r>
        <w:rPr/>
        <w:t>_______________________________________________________________________________</w:t>
      </w:r>
    </w:p>
    <w:p>
      <w:r>
        <w:rPr/>
        <w:t>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Cargo</w:t>
            </w:r>
          </w:p>
        </w:tc>
        <w:tc>
          <w:tcPr>
            <w:tcW w:type="dxa" w:w="2351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Firma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Recibe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</w:p>
        </w:tc>
        <w:tc>
          <w:tcPr>
            <w:tcW w:type="dxa" w:w="2351"/>
          </w:tcPr>
          <w:p>
            <w:pPr>
              <w:spacing w:after="0"/>
            </w:pPr>
            <w:r/>
          </w:p>
        </w:tc>
        <w:tc>
          <w:tcPr>
            <w:tcW w:type="dxa" w:w="2351"/>
          </w:tcPr>
          <w:p>
            <w:pPr>
              <w:spacing w:after="0"/>
            </w:pPr>
            <w:r/>
          </w:p>
        </w:tc>
      </w:tr>
      <w:tr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Recibe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</w:p>
        </w:tc>
      </w:tr>
      <w:tr>
        <w:tc>
          <w:tcPr>
            <w:tcW w:type="dxa" w:w="23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Entrega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Marlon David Pérez Almachi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9"/>
              </w:rPr>
              <w:t>Autor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</w:p>
        </w:tc>
      </w:tr>
      <w:tr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Entrega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Víctor Manuel Lluilema Pisco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Autor</w:t>
            </w:r>
          </w:p>
        </w:tc>
        <w:tc>
          <w:tcPr>
            <w:tcW w:type="dxa" w:w="2351"/>
            <w:shd w:val="clear" w:color="auto" w:fill="F2F6F9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1417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7385"/>
        <w:sz w:val="17"/>
      </w:rPr>
      <w:t xml:space="preserve">Universidad Estatal de Milagro · 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7385"/>
        <w:sz w:val="17"/>
      </w:rPr>
      <w:t>VicMar Data AI · Guía de pruebas de aceptación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2E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2E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FF69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pruebas de aceptación — VicMar Data AI</dc:title>
  <dc:subject>Proyecto de titulación · Universidad Estatal de Milagro</dc:subject>
  <dc:creator>Marlon David Pérez Almachi; Víctor Manuel Lluilema Pisco</dc:creator>
  <cp:keywords/>
  <dc:description>generated by python-docx</dc:description>
  <cp:lastModifiedBy>Marlon David Pérez Almachi</cp:lastModifiedBy>
  <cp:revision>1</cp:revision>
  <dcterms:created xsi:type="dcterms:W3CDTF">2013-12-23T23:15:00Z</dcterms:created>
  <dcterms:modified xsi:type="dcterms:W3CDTF">2013-12-23T23:15:00Z</dcterms:modified>
  <cp:category/>
</cp:coreProperties>
</file>