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drawing>
          <wp:inline xmlns:a="http://schemas.openxmlformats.org/drawingml/2006/main" xmlns:pic="http://schemas.openxmlformats.org/drawingml/2006/picture">
            <wp:extent cx="1512000" cy="1462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46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02E45"/>
          <w:sz w:val="30"/>
        </w:rPr>
        <w:t>UNIVERSIDAD ESTATAL DE MILAGRO</w:t>
      </w:r>
    </w:p>
    <w:p>
      <w:pPr>
        <w:jc w:val="center"/>
      </w:pPr>
      <w:r>
        <w:rPr>
          <w:b w:val="0"/>
          <w:color w:val="5B7385"/>
          <w:sz w:val="24"/>
        </w:rPr>
        <w:t>Facultad de Ciencias e Ingenierías</w:t>
      </w:r>
    </w:p>
    <w:p>
      <w:pPr>
        <w:jc w:val="center"/>
      </w:pPr>
      <w:r>
        <w:rPr>
          <w:b w:val="0"/>
          <w:color w:val="5B7385"/>
          <w:sz w:val="24"/>
        </w:rPr>
        <w:t>Carrera de Ingeniería en Tecnologías de la Información</w:t>
      </w:r>
    </w:p>
    <w:p>
      <w:pPr>
        <w:spacing w:before="1200"/>
        <w:jc w:val="center"/>
      </w:pPr>
      <w:r>
        <w:rPr>
          <w:b/>
          <w:color w:val="002E45"/>
          <w:sz w:val="52"/>
        </w:rPr>
        <w:t>MANUAL DE USUARIO</w:t>
      </w:r>
    </w:p>
    <w:p>
      <w:pPr>
        <w:jc w:val="center"/>
      </w:pPr>
      <w:r>
        <w:rPr>
          <w:b/>
          <w:color w:val="FF6900"/>
          <w:sz w:val="36"/>
        </w:rPr>
        <w:t>VicMar Data AI</w:t>
      </w:r>
    </w:p>
    <w:p>
      <w:pPr>
        <w:jc w:val="center"/>
      </w:pPr>
      <w:r>
        <w:rPr>
          <w:color w:val="5B7385"/>
          <w:sz w:val="24"/>
        </w:rPr>
        <w:t>Predicción del abandono estudiantil con inteligencia de negocios</w:t>
        <w:br/>
        <w:t>y consultas en lenguaje natural</w:t>
      </w:r>
    </w:p>
    <w:p>
      <w:pPr>
        <w:spacing w:before="1400"/>
        <w:jc w:val="center"/>
      </w:pPr>
      <w:r>
        <w:rPr>
          <w:b/>
          <w:color w:val="002E45"/>
        </w:rPr>
        <w:t>Autores</w:t>
      </w:r>
    </w:p>
    <w:p>
      <w:pPr>
        <w:spacing w:after="40"/>
        <w:jc w:val="center"/>
      </w:pPr>
      <w:r>
        <w:t>Marlon David Pérez Almachi</w:t>
      </w:r>
    </w:p>
    <w:p>
      <w:pPr>
        <w:spacing w:after="40"/>
        <w:jc w:val="center"/>
      </w:pPr>
      <w:r>
        <w:t>Víctor Manuel Lluilema Pisco</w:t>
      </w:r>
    </w:p>
    <w:p>
      <w:pPr>
        <w:spacing w:before="800"/>
        <w:jc w:val="center"/>
      </w:pPr>
      <w:r>
        <w:rPr>
          <w:color w:val="5B7385"/>
          <w:sz w:val="20"/>
        </w:rPr>
        <w:t>1.0 · octubre de 2026 · Milagro, Ecuador</w:t>
      </w:r>
    </w:p>
    <w:p>
      <w:r>
        <w:br w:type="page"/>
      </w:r>
    </w:p>
    <w:p>
      <w:r>
        <w:rPr>
          <w:b/>
          <w:color w:val="002E45"/>
          <w:sz w:val="32"/>
        </w:rPr>
        <w:t>Contenido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fldChar w:fldCharType="end"/>
      </w:r>
    </w:p>
    <w:p>
      <w:r>
        <w:br w:type="page"/>
      </w:r>
    </w:p>
    <w:p>
      <w:r>
        <w:rPr>
          <w:b/>
        </w:rPr>
        <w:t>Para quién es:</w:t>
      </w:r>
      <w:r>
        <w:rPr/>
        <w:t xml:space="preserve">autoridades académicas (decanos, directores de carrera), personal de bienestar estudiantil y administradores del sistema. No hace falta saber de bases de datos ni de programación. Si el sistema todavía no está instalado, empiece por el </w:t>
      </w:r>
      <w:r>
        <w:rPr/>
        <w:t>Manual técnico de instalación</w:t>
      </w:r>
      <w:r>
        <w:rPr/>
        <w:t>.</w:t>
      </w:r>
    </w:p>
    <w:p>
      <w:pPr>
        <w:pStyle w:val="Heading2"/>
      </w:pPr>
      <w:r>
        <w:t>1. Qué hace el sistema</w:t>
      </w:r>
    </w:p>
    <w:p>
      <w:r>
        <w:rPr/>
        <w:t xml:space="preserve">VicMar Data AI estima, para cada alumno activo, la </w:t>
      </w:r>
      <w:r>
        <w:rPr>
          <w:b/>
        </w:rPr>
        <w:t>probabilidad de que abandone sus estudios en el próximo periodo</w:t>
      </w:r>
      <w:r>
        <w:rPr/>
        <w:t xml:space="preserve">, explica los tres motivos que más pesan en esa estimación y permite consultar los datos de la institución </w:t>
      </w:r>
      <w:r>
        <w:rPr>
          <w:b/>
        </w:rPr>
        <w:t>escribiendo preguntas en español</w:t>
      </w:r>
      <w:r>
        <w:rPr/>
        <w:t>, sin conocimientos técnicos.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Para…</w:t>
            </w:r>
          </w:p>
        </w:tc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Use…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Saber qué alumnos necesitan atención primero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 xml:space="preserve">El panel </w:t>
            </w:r>
            <w:r>
              <w:rPr>
                <w:b/>
                <w:sz w:val="19"/>
              </w:rPr>
              <w:t>Riesgo de abandono estudiantil</w:t>
            </w:r>
            <w:r>
              <w:rPr>
                <w:sz w:val="19"/>
              </w:rPr>
              <w:t xml:space="preserve"> (sección 4)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Saber qué carreras priorizar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La tarjeta </w:t>
            </w:r>
            <w:r>
              <w:rPr>
                <w:b/>
                <w:sz w:val="19"/>
              </w:rPr>
              <w:t>Inteligencia institucional</w:t>
            </w:r>
            <w:r>
              <w:rPr>
                <w:sz w:val="19"/>
              </w:rPr>
              <w:t xml:space="preserve"> (sección 5)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Responder una pregunta puntual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 xml:space="preserve">El </w:t>
            </w:r>
            <w:r>
              <w:rPr>
                <w:b/>
                <w:sz w:val="19"/>
              </w:rPr>
              <w:t>chat</w:t>
            </w:r>
            <w:r>
              <w:rPr>
                <w:sz w:val="19"/>
              </w:rPr>
              <w:t xml:space="preserve"> (sección 6)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Llevar los datos a un informe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Los botones </w:t>
            </w:r>
            <w:r>
              <w:rPr>
                <w:b/>
                <w:sz w:val="19"/>
              </w:rPr>
              <w:t>PDF</w:t>
            </w:r>
            <w:r>
              <w:rPr>
                <w:sz w:val="19"/>
              </w:rPr>
              <w:t xml:space="preserve"> y </w:t>
            </w:r>
            <w:r>
              <w:rPr>
                <w:b/>
                <w:sz w:val="19"/>
              </w:rPr>
              <w:t>Excel</w:t>
            </w:r>
            <w:r>
              <w:rPr>
                <w:sz w:val="19"/>
              </w:rPr>
              <w:t xml:space="preserve"> (sección 7)</w:t>
            </w:r>
          </w:p>
        </w:tc>
      </w:tr>
    </w:tbl>
    <w:p>
      <w:pPr>
        <w:spacing w:after="40"/>
      </w:pPr>
    </w:p>
    <w:p>
      <w:pPr>
        <w:pStyle w:val="Heading2"/>
      </w:pPr>
      <w:r>
        <w:t>2. Ingresar al sistema</w:t>
      </w:r>
    </w:p>
    <w:p>
      <w:pPr>
        <w:pStyle w:val="ListNumber"/>
      </w:pPr>
      <w:r>
        <w:rPr/>
        <w:t xml:space="preserve">Abra el navegador (Chrome, Edge o Firefox) en la dirección que le indique el personal de TI; en la instalación local es </w:t>
      </w:r>
      <w:r>
        <w:rPr/>
        <w:t>http://localhost:3000</w:t>
      </w:r>
      <w:r>
        <w:rPr/>
        <w:t>.</w:t>
      </w:r>
    </w:p>
    <w:p>
      <w:pPr>
        <w:pStyle w:val="ListNumber"/>
      </w:pPr>
      <w:r>
        <w:rPr/>
        <w:t xml:space="preserve">Escriba su </w:t>
      </w:r>
      <w:r>
        <w:rPr>
          <w:b/>
        </w:rPr>
        <w:t>usuario</w:t>
      </w:r>
      <w:r>
        <w:rPr/>
        <w:t xml:space="preserve"> y su </w:t>
      </w:r>
      <w:r>
        <w:rPr>
          <w:b/>
        </w:rPr>
        <w:t>contraseña</w:t>
      </w:r>
      <w:r>
        <w:rPr/>
        <w:t>. El ícono del ojo muestra u oculta la contraseña.</w:t>
      </w:r>
    </w:p>
    <w:p>
      <w:pPr>
        <w:pStyle w:val="ListNumber"/>
      </w:pPr>
      <w:r>
        <w:rPr/>
        <w:t xml:space="preserve">Pulse </w:t>
      </w:r>
      <w:r>
        <w:rPr>
          <w:b/>
        </w:rPr>
        <w:t>Ingresar al sistema</w:t>
      </w:r>
      <w:r>
        <w:rPr/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40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nicio_de_se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 xml:space="preserve">Si olvidó la contraseña, pulse </w:t>
      </w:r>
      <w:r>
        <w:rPr>
          <w:b/>
        </w:rPr>
        <w:t>¿Olvidaste tu contraseña?</w:t>
      </w:r>
      <w:r>
        <w:rPr/>
        <w:t>: el sistema envía un código de 6 dígitos a su correo (si el administrador configuró el correo saliente) o, si no, pida a un administrador que la restablezca.</w:t>
      </w:r>
    </w:p>
    <w:p>
      <w:pPr>
        <w:pStyle w:val="Heading3"/>
      </w:pPr>
      <w:r>
        <w:t>Qué ve cada 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Ve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ACADÉMICO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Panel de riesgo, inteligencia institucional, indicadores académicos y chat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ADMINISTRADOR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Todo lo anterior, más </w:t>
            </w:r>
            <w:r>
              <w:rPr>
                <w:b/>
                <w:sz w:val="19"/>
              </w:rPr>
              <w:t>Usuarios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Nuevo usuario</w:t>
            </w:r>
            <w:r>
              <w:rPr>
                <w:sz w:val="19"/>
              </w:rPr>
              <w:t xml:space="preserve"> y </w:t>
            </w:r>
            <w:r>
              <w:rPr>
                <w:b/>
                <w:sz w:val="19"/>
              </w:rPr>
              <w:t>Auditoría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CONTABILIDAD, RRHH, LOGÍSTICA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Los indicadores de su área; no ven datos académicos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INVITADO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Una demostración con datos ficticios, sin conectarse a ninguna base</w:t>
            </w:r>
          </w:p>
        </w:tc>
      </w:tr>
    </w:tbl>
    <w:p>
      <w:pPr>
        <w:spacing w:after="40"/>
      </w:pPr>
    </w:p>
    <w:p>
      <w:r>
        <w:rPr/>
        <w:t xml:space="preserve">La sesión se cierra sola después de </w:t>
      </w:r>
      <w:r>
        <w:rPr>
          <w:b/>
        </w:rPr>
        <w:t>30 minutos sin actividad</w:t>
      </w:r>
      <w:r>
        <w:rPr/>
        <w:t xml:space="preserve">. Para salir antes, pulse </w:t>
      </w:r>
      <w:r>
        <w:rPr>
          <w:b/>
        </w:rPr>
        <w:t>Desconectar</w:t>
      </w:r>
      <w:r>
        <w:rPr/>
        <w:t xml:space="preserve"> (arriba a la derecha).</w:t>
      </w:r>
    </w:p>
    <w:p>
      <w:pPr>
        <w:pStyle w:val="Heading2"/>
      </w:pPr>
      <w:r>
        <w:t>3. Conectarse a la base de datos</w:t>
      </w:r>
    </w:p>
    <w:p>
      <w:r>
        <w:rPr/>
        <w:t>Al ingresar, el sistema todavía no sabe con qué institución trabajará. Este paso se hace una vez por sesión.</w:t>
      </w:r>
    </w:p>
    <w:p>
      <w:pPr>
        <w:pStyle w:val="ListNumber"/>
      </w:pPr>
      <w:r>
        <w:rPr/>
        <w:t xml:space="preserve">En el menú de la izquierda, pulse </w:t>
      </w:r>
      <w:r>
        <w:rPr>
          <w:b/>
        </w:rPr>
        <w:t>Bases de Datos</w:t>
      </w:r>
      <w:r>
        <w:rPr/>
        <w:t xml:space="preserve">. Se abre la pantalla </w:t>
      </w:r>
      <w:r>
        <w:rPr>
          <w:b/>
        </w:rPr>
        <w:t>Orígenes de Datos</w:t>
      </w:r>
      <w:r>
        <w:rPr/>
        <w:t>.</w:t>
      </w:r>
    </w:p>
    <w:p>
      <w:pPr>
        <w:pStyle w:val="ListNumber"/>
      </w:pPr>
      <w:r>
        <w:rPr/>
        <w:t xml:space="preserve">En </w:t>
      </w:r>
      <w:r>
        <w:rPr>
          <w:b/>
        </w:rPr>
        <w:t>Nombre del servidor</w:t>
      </w:r>
      <w:r>
        <w:rPr/>
        <w:t xml:space="preserve">, elija de la lista </w:t>
      </w:r>
      <w:r>
        <w:rPr>
          <w:b/>
        </w:rPr>
        <w:t>Docker Local — Base de Pruebas</w:t>
      </w:r>
      <w:r>
        <w:rPr/>
        <w:t xml:space="preserve"> o escriba </w:t>
      </w:r>
      <w:r>
        <w:rPr>
          <w:rFonts w:ascii="Consolas" w:hAnsi="Consolas"/>
          <w:color w:val="002E45"/>
          <w:sz w:val="19"/>
        </w:rPr>
        <w:t>localhost,1433</w:t>
      </w:r>
      <w:r>
        <w:rPr/>
        <w:t>.</w:t>
      </w:r>
    </w:p>
    <w:p>
      <w:pPr>
        <w:pStyle w:val="ListNumber"/>
      </w:pPr>
      <w:r>
        <w:rPr/>
        <w:t xml:space="preserve">En </w:t>
      </w:r>
      <w:r>
        <w:rPr>
          <w:b/>
        </w:rPr>
        <w:t>Autenticación</w:t>
      </w:r>
      <w:r>
        <w:rPr/>
        <w:t xml:space="preserve">, elija </w:t>
      </w:r>
      <w:r>
        <w:rPr>
          <w:b/>
        </w:rPr>
        <w:t>Autenticación de SQL Server</w:t>
      </w:r>
      <w:r>
        <w:rPr/>
        <w:t xml:space="preserve">. El usuario </w:t>
      </w:r>
      <w:r>
        <w:rPr>
          <w:rFonts w:ascii="Consolas" w:hAnsi="Consolas"/>
          <w:color w:val="002E45"/>
          <w:sz w:val="19"/>
        </w:rPr>
        <w:t>sa</w:t>
      </w:r>
      <w:r>
        <w:rPr/>
        <w:t xml:space="preserve"> ya aparece escrito.</w:t>
      </w:r>
    </w:p>
    <w:p>
      <w:pPr>
        <w:pStyle w:val="ListNumber"/>
      </w:pPr>
      <w:r>
        <w:rPr>
          <w:b/>
        </w:rPr>
        <w:t>Contraseña:</w:t>
      </w:r>
      <w:r>
        <w:rPr/>
        <w:t xml:space="preserve"> déjela </w:t>
      </w:r>
      <w:r>
        <w:rPr>
          <w:b/>
        </w:rPr>
        <w:t>vacía</w:t>
      </w:r>
      <w:r>
        <w:rPr/>
        <w:t xml:space="preserve"> para usar la que el personal de TI configuró en el servidor, o escriba la que le hayan entregado.</w:t>
      </w:r>
    </w:p>
    <w:p>
      <w:pPr>
        <w:pStyle w:val="ListNumber"/>
      </w:pPr>
      <w:r>
        <w:rPr/>
        <w:t xml:space="preserve">Pulse </w:t>
      </w:r>
      <w:r>
        <w:rPr>
          <w:b/>
        </w:rPr>
        <w:t>Conectar</w:t>
      </w:r>
      <w:r>
        <w:rPr/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40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exion_formul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/>
        <w:t xml:space="preserve">Cuando aparezca </w:t>
      </w:r>
      <w:r>
        <w:rPr>
          <w:b/>
        </w:rPr>
        <w:t>«Conexión establecida con localhost,1433»</w:t>
      </w:r>
      <w:r>
        <w:rPr/>
        <w:t xml:space="preserve">, abra </w:t>
      </w:r>
      <w:r>
        <w:rPr>
          <w:b/>
        </w:rPr>
        <w:t>Empresa activa → Selecciona una empresa</w:t>
      </w:r>
      <w:r>
        <w:rPr/>
        <w:t xml:space="preserve"> y elija la institución: </w:t>
      </w:r>
      <w:r>
        <w:rPr>
          <w:rFonts w:ascii="Consolas" w:hAnsi="Consolas"/>
          <w:color w:val="002E45"/>
          <w:sz w:val="19"/>
        </w:rPr>
        <w:t>UNEMI_PRUEBAS</w:t>
      </w:r>
      <w:r>
        <w:rPr/>
        <w:t xml:space="preserve"> (datos de prueba) u </w:t>
      </w:r>
      <w:r>
        <w:rPr>
          <w:rFonts w:ascii="Consolas" w:hAnsi="Consolas"/>
          <w:color w:val="002E45"/>
          <w:sz w:val="19"/>
        </w:rPr>
        <w:t>OULAD_PRUEBAS</w:t>
      </w:r>
      <w:r>
        <w:rPr/>
        <w:t xml:space="preserve"> (datos reales anónimos de la Open University). Puede escribir en </w:t>
      </w:r>
      <w:r>
        <w:rPr>
          <w:b/>
        </w:rPr>
        <w:t>Buscar por código o nombre…</w:t>
      </w:r>
      <w:r>
        <w:rPr/>
        <w:t xml:space="preserve"> para filtrar.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40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exion_b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 xml:space="preserve">La institución elegida queda arriba, en </w:t>
      </w:r>
      <w:r>
        <w:rPr>
          <w:b/>
        </w:rPr>
        <w:t>Empresa activa</w:t>
      </w:r>
      <w:r>
        <w:rPr/>
        <w:t>, y desde ahí puede cambiarla en cualquier momento.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Botón</w:t>
            </w:r>
          </w:p>
        </w:tc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Para qué sirve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Conectar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Abre la conexión con el servidor indicado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Cancelar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Detiene un intento de conexión que está tardando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Explorar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Lista todas las bases del servidor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Catálogo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Busca un catálogo maestro de empresas; en el servidor de pruebas no existe y aparece vacío, y eso es normal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Opciones avanzadas (Driver ODBC)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Solo si el personal de TI lo indica; la opción recomendada ya viene elegida</w:t>
            </w:r>
          </w:p>
        </w:tc>
      </w:tr>
    </w:tbl>
    <w:p>
      <w:pPr>
        <w:spacing w:after="40"/>
      </w:pPr>
    </w:p>
    <w:p>
      <w:pPr>
        <w:ind w:left="227"/>
        <w:shd w:val="clear" w:color="auto" w:fill="E6F4EA"/>
      </w:pPr>
      <w:r>
        <w:rPr>
          <w:b/>
          <w:color w:val="002E45"/>
        </w:rPr>
        <w:t xml:space="preserve">Consejo. </w:t>
      </w:r>
      <w:r>
        <w:rPr>
          <w:rFonts w:ascii="Consolas" w:hAnsi="Consolas"/>
          <w:color w:val="002E45"/>
          <w:sz w:val="19"/>
        </w:rPr>
        <w:t>ALIM</w:t>
      </w:r>
      <w:r>
        <w:rPr/>
        <w:t xml:space="preserve"> y </w:t>
      </w:r>
      <w:r>
        <w:rPr>
          <w:rFonts w:ascii="Consolas" w:hAnsi="Consolas"/>
          <w:color w:val="002E45"/>
          <w:sz w:val="19"/>
        </w:rPr>
        <w:t>CHAT</w:t>
      </w:r>
      <w:r>
        <w:rPr/>
        <w:t xml:space="preserve"> también aparecen en la lista, pero no son instituciones: </w:t>
      </w:r>
      <w:r>
        <w:rPr>
          <w:rFonts w:ascii="Consolas" w:hAnsi="Consolas"/>
          <w:color w:val="002E45"/>
          <w:sz w:val="19"/>
        </w:rPr>
        <w:t>CHAT</w:t>
      </w:r>
      <w:r>
        <w:rPr/>
        <w:t xml:space="preserve"> es el almacén interno del sistema. Para el panel académico elija </w:t>
      </w:r>
      <w:r>
        <w:rPr>
          <w:rFonts w:ascii="Consolas" w:hAnsi="Consolas"/>
          <w:color w:val="002E45"/>
          <w:sz w:val="19"/>
        </w:rPr>
        <w:t>UNEMI_PRUEBAS</w:t>
      </w:r>
      <w:r>
        <w:rPr/>
        <w:t xml:space="preserve"> u </w:t>
      </w:r>
      <w:r>
        <w:rPr>
          <w:rFonts w:ascii="Consolas" w:hAnsi="Consolas"/>
          <w:color w:val="002E45"/>
          <w:sz w:val="19"/>
        </w:rPr>
        <w:t>OULAD_PRUEBAS</w:t>
      </w:r>
      <w:r>
        <w:rPr/>
        <w:t>.</w:t>
      </w:r>
    </w:p>
    <w:p>
      <w:pPr>
        <w:pStyle w:val="Heading2"/>
      </w:pPr>
      <w:r>
        <w:t>4. Leer el panel de riesgo de abandono</w:t>
      </w:r>
    </w:p>
    <w:p>
      <w:r>
        <w:rPr/>
        <w:t xml:space="preserve">Pulse </w:t>
      </w:r>
      <w:r>
        <w:rPr>
          <w:b/>
        </w:rPr>
        <w:t>Indicadores</w:t>
      </w:r>
      <w:r>
        <w:rPr/>
        <w:t xml:space="preserve"> en el menú de la izquierda.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40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dicad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 xml:space="preserve">Arriba están los indicadores generales (alumnos matriculados, carreras ofertadas) del </w:t>
      </w:r>
      <w:r>
        <w:rPr>
          <w:b/>
        </w:rPr>
        <w:t>periodo</w:t>
      </w:r>
      <w:r>
        <w:rPr/>
        <w:t xml:space="preserve"> elegido en el selector </w:t>
      </w:r>
      <w:r>
        <w:rPr>
          <w:b/>
        </w:rPr>
        <w:t>Período más reciente</w:t>
      </w:r>
      <w:r>
        <w:rPr/>
        <w:t xml:space="preserve">. Debajo está la tarjeta </w:t>
      </w:r>
      <w:r>
        <w:rPr>
          <w:b/>
        </w:rPr>
        <w:t>Riesgo de abandono estudiantil</w:t>
      </w:r>
      <w:r>
        <w:rPr/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anel_riesg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46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ALTO / MEDIO / BAJO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 xml:space="preserve">Cuántos alumnos activos hay en cada nivel de riesgo para el </w:t>
            </w:r>
            <w:r>
              <w:rPr>
                <w:b/>
                <w:sz w:val="19"/>
              </w:rPr>
              <w:t>próximo periodo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 N activos evaluados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Cuántos alumnos con matrícula vigente calificó el modelo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Confiabilidad: ROC-AUC · detecta X % de los abandonos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Qué tan bien funcionó el modelo con datos que no vio al entrenar. El ROC-AUC va de 0,5 (al azar) a 1 (perfecto)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Alumno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 xml:space="preserve">Nombre, cédula enmascarada y los </w:t>
            </w:r>
            <w:r>
              <w:rPr>
                <w:b/>
                <w:sz w:val="19"/>
              </w:rPr>
              <w:t>tres factores</w:t>
            </w:r>
            <w:r>
              <w:rPr>
                <w:sz w:val="19"/>
              </w:rPr>
              <w:t xml:space="preserve"> que más elevan su riesgo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Probabilidad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Probabilidad estimada de abandonar en el próximo periodo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Riesgo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ALTO si la probabilidad supera el umbral del modelo; MEDIO si supera la mitad del umbral; BAJO en los demás casos</w:t>
            </w:r>
          </w:p>
        </w:tc>
      </w:tr>
    </w:tbl>
    <w:p>
      <w:pPr>
        <w:spacing w:after="40"/>
      </w:pPr>
    </w:p>
    <w:p>
      <w:r>
        <w:rPr>
          <w:b/>
        </w:rPr>
        <w:t>Cómo usarlo:</w:t>
      </w:r>
      <w:r>
        <w:rPr/>
        <w:t xml:space="preserve"> empiece por los alumnos en </w:t>
      </w:r>
      <w:r>
        <w:rPr>
          <w:b/>
        </w:rPr>
        <w:t>ALTO</w:t>
      </w:r>
      <w:r>
        <w:rPr/>
        <w:t xml:space="preserve"> y lea sus factores (por ejemplo, «asistencia del último periodo: 69,8 %» o «cambio de la asistencia respecto al periodo anterior: -22 puntos»). Esos factores indican </w:t>
      </w:r>
      <w:r>
        <w:rPr>
          <w:b/>
        </w:rPr>
        <w:t>por dónde intervenir</w:t>
      </w:r>
      <w:r>
        <w:rPr/>
        <w:t>: tutoría académica, seguimiento de asistencia, apoyo económico.</w:t>
      </w:r>
    </w:p>
    <w:p>
      <w:pPr>
        <w:ind w:left="227"/>
        <w:shd w:val="clear" w:color="auto" w:fill="FFF1E6"/>
      </w:pPr>
      <w:r>
        <w:rPr>
          <w:b/>
          <w:color w:val="002E45"/>
        </w:rPr>
        <w:t xml:space="preserve">Importante. </w:t>
      </w:r>
      <w:r>
        <w:rPr/>
        <w:t xml:space="preserve">El modelo </w:t>
      </w:r>
      <w:r>
        <w:rPr>
          <w:b/>
        </w:rPr>
        <w:t>prioriza</w:t>
      </w:r>
      <w:r>
        <w:rPr/>
        <w:t>, no decide. Una probabilidad alta indica que conviene contactar al alumno, no que vaya a abandonar con certeza. El umbral se eligió para detectar al menos el 80 % de los abandonos, por eso algunos alumnos marcados como ALTO no abandonarán.</w:t>
      </w:r>
    </w:p>
    <w:p>
      <w:r>
        <w:rPr/>
        <w:t xml:space="preserve">Con </w:t>
      </w:r>
      <w:r>
        <w:rPr>
          <w:rFonts w:ascii="Consolas" w:hAnsi="Consolas"/>
          <w:color w:val="002E45"/>
          <w:sz w:val="19"/>
        </w:rPr>
        <w:t>UNEMI_PRUEBAS</w:t>
      </w:r>
      <w:r>
        <w:rPr/>
        <w:t xml:space="preserve"> la confiabilidad aparece cercana a 1,00 porque esos datos son sintéticos; con datos reales (</w:t>
      </w:r>
      <w:r>
        <w:rPr>
          <w:rFonts w:ascii="Consolas" w:hAnsi="Consolas"/>
          <w:color w:val="002E45"/>
          <w:sz w:val="19"/>
        </w:rPr>
        <w:t>OULAD_PRUEBAS</w:t>
      </w:r>
      <w:r>
        <w:rPr/>
        <w:t>) es de alrededor de 0,75. Es el valor realista que se debe esperar.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4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anel_riesg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Inteligencia institucional</w:t>
      </w:r>
    </w:p>
    <w:p>
      <w:r>
        <w:rPr/>
        <w:t xml:space="preserve">Más abajo en </w:t>
      </w:r>
      <w:r>
        <w:rPr>
          <w:b/>
        </w:rPr>
        <w:t>Indicadores</w:t>
      </w:r>
      <w:r>
        <w:rPr/>
        <w:t xml:space="preserve"> está la tarjeta </w:t>
      </w:r>
      <w:r>
        <w:rPr>
          <w:b/>
        </w:rPr>
        <w:t>Inteligencia institucional</w:t>
      </w:r>
      <w:r>
        <w:rPr/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844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teligencia_institucio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4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Segmentación por carrera:</w:t>
      </w:r>
      <w:r>
        <w:rPr/>
        <w:t xml:space="preserve"> agrupa las carreras según su tasa de abandono histórica, su rendimiento y el riesgo actual. Las marcadas como </w:t>
      </w:r>
      <w:r>
        <w:rPr>
          <w:b/>
        </w:rPr>
        <w:t>ATENCIÓN PRIORITARIA</w:t>
      </w:r>
      <w:r>
        <w:rPr/>
        <w:t xml:space="preserve"> son las primeras a revisar; las </w:t>
      </w:r>
      <w:r>
        <w:rPr>
          <w:b/>
        </w:rPr>
        <w:t>ESTABLES</w:t>
      </w:r>
      <w:r>
        <w:rPr/>
        <w:t xml:space="preserve"> tienen un comportamiento dentro de lo esperado.</w:t>
      </w:r>
    </w:p>
    <w:p>
      <w:pPr>
        <w:pStyle w:val="ListBullet"/>
      </w:pPr>
      <w:r>
        <w:rPr>
          <w:b/>
        </w:rPr>
        <w:t>Benchmarking externo:</w:t>
      </w:r>
      <w:r>
        <w:rPr/>
        <w:t xml:space="preserve"> compara la tasa de abandono de la institución con cifras publicadas en revistas científicas, cada una con su </w:t>
      </w:r>
      <w:r>
        <w:rPr>
          <w:b/>
        </w:rPr>
        <w:t>DOI</w:t>
      </w:r>
      <w:r>
        <w:rPr/>
        <w:t>, para saber si la institución está por encima o por debajo de referentes comparables.</w:t>
      </w:r>
    </w:p>
    <w:p>
      <w:pPr>
        <w:pStyle w:val="Heading2"/>
      </w:pPr>
      <w:r>
        <w:t>6. Preguntar en lenguaje natural (chat)</w:t>
      </w:r>
    </w:p>
    <w:p>
      <w:pPr>
        <w:pStyle w:val="ListNumber"/>
      </w:pPr>
      <w:r>
        <w:rPr/>
        <w:t xml:space="preserve">Pulse </w:t>
      </w:r>
      <w:r>
        <w:rPr>
          <w:b/>
        </w:rPr>
        <w:t>Nueva Consulta</w:t>
      </w:r>
      <w:r>
        <w:rPr/>
        <w:t xml:space="preserve"> en el menú de la izquierda.</w:t>
      </w:r>
    </w:p>
    <w:p>
      <w:pPr>
        <w:pStyle w:val="ListNumber"/>
      </w:pPr>
      <w:r>
        <w:rPr/>
        <w:t xml:space="preserve">Escriba la pregunta en el recuadro </w:t>
      </w:r>
      <w:r>
        <w:rPr>
          <w:b/>
        </w:rPr>
        <w:t>¿Qué analizamos hoy?</w:t>
      </w:r>
      <w:r>
        <w:rPr/>
        <w:t xml:space="preserve"> y pulse Enter o la flecha.</w:t>
      </w:r>
    </w:p>
    <w:p>
      <w:pPr>
        <w:pStyle w:val="ListNumber"/>
      </w:pPr>
      <w:r>
        <w:rPr/>
        <w:t>Espere la respuesta: suele tardar entre 10 y 60 segundos, según el proveedor de 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40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at_respuest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La respuesta trae una explicación y, cuando corresponde, una tabla (</w:t>
      </w:r>
      <w:r>
        <w:rPr>
          <w:b/>
        </w:rPr>
        <w:t>Registros detallados</w:t>
      </w:r>
      <w:r>
        <w:rPr/>
        <w:t xml:space="preserve">) o un gráfico. En la tabla puede </w:t>
      </w:r>
      <w:r>
        <w:rPr>
          <w:b/>
        </w:rPr>
        <w:t>buscar</w:t>
      </w:r>
      <w:r>
        <w:rPr/>
        <w:t xml:space="preserve">, </w:t>
      </w:r>
      <w:r>
        <w:rPr>
          <w:b/>
        </w:rPr>
        <w:t>ordenar</w:t>
      </w:r>
      <w:r>
        <w:rPr/>
        <w:t xml:space="preserve"> por columna y </w:t>
      </w:r>
      <w:r>
        <w:rPr>
          <w:b/>
        </w:rPr>
        <w:t>exportar a Excel</w:t>
      </w:r>
      <w:r>
        <w:rPr/>
        <w:t>. El ícono del parlante lee la respuesta en voz alta (si está configurado) y la flecha circular la vuelve a generar.</w:t>
      </w:r>
    </w:p>
    <w:p>
      <w:pPr>
        <w:pStyle w:val="Heading3"/>
      </w:pPr>
      <w:r>
        <w:t>Preguntas que puede hacer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Ejemplos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Matrícula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¿Cuántos alumnos tienen matrícula vigente? · ¿Cuántos alumnos con matrícula vigente hay en cada facultad?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Abandono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¿Cuál es la tasa de abandono de la institución? · ¿Qué carrera tiene la tasa de abandono más alta?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Riesgo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¿Cuántos alumnos hay en cada nivel de riesgo de abandono? · Muéstrame los 5 alumnos con mayor probabilidad de abandonar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Segmentos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¿Qué carreras necesitan atención prioritaria? · ¿En qué segmento de riesgo está la carrera de Medicina?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Referentes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Compara nuestra tasa de abandono con la del referente de Ecuador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Modelo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¿Qué porcentaje de los abandonos detecta el modelo en la validación temporal?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Evolución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¿Cuántos alumnos se retiraron en el año 2025? · ¿Cómo ha evolucionado la asistencia promedio por año?</w:t>
            </w:r>
          </w:p>
        </w:tc>
      </w:tr>
    </w:tbl>
    <w:p>
      <w:pPr>
        <w:spacing w:after="40"/>
      </w:pPr>
    </w:p>
    <w:p>
      <w:r>
        <w:rPr>
          <w:b/>
        </w:rPr>
        <w:t>Consejos:</w:t>
      </w:r>
      <w:r>
        <w:rPr/>
        <w:t xml:space="preserve"> una pregunta por mensaje; nombre la carrera, la facultad o el año cuando importe; si la respuesta no es lo que esperaba, reformule con otras palabras.</w:t>
      </w:r>
    </w:p>
    <w:p>
      <w:pPr>
        <w:pStyle w:val="Heading3"/>
      </w:pPr>
      <w:r>
        <w:t>Lo que el chat no hace</w:t>
      </w:r>
    </w:p>
    <w:p>
      <w:r>
        <w:rPr/>
        <w:t xml:space="preserve">El chat </w:t>
      </w:r>
      <w:r>
        <w:rPr>
          <w:b/>
        </w:rPr>
        <w:t>solo consulta</w:t>
      </w:r>
      <w:r>
        <w:rPr/>
        <w:t>: no puede borrar, cambiar ni agregar datos. Si se le pide, lo rechaza y no ejecuta nada en la base: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40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eticion_de_borrado_rechaza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 xml:space="preserve">Además, cada consulta solo ve los datos de la </w:t>
      </w:r>
      <w:r>
        <w:rPr>
          <w:b/>
        </w:rPr>
        <w:t>institución activa</w:t>
      </w:r>
      <w:r>
        <w:rPr/>
        <w:t>, y los nombres y cédulas se enmascaran antes de enviarse a cualquier proveedor externo de IA.</w:t>
      </w:r>
    </w:p>
    <w:p>
      <w:pPr>
        <w:pStyle w:val="Heading3"/>
      </w:pPr>
      <w:r>
        <w:t>Otras funciones del chat</w:t>
      </w:r>
    </w:p>
    <w:p>
      <w:pPr>
        <w:pStyle w:val="ListBullet"/>
      </w:pPr>
      <w:r>
        <w:rPr>
          <w:b/>
        </w:rPr>
        <w:t>Historial reciente</w:t>
      </w:r>
      <w:r>
        <w:rPr/>
        <w:t xml:space="preserve"> (menú de la izquierda): vuelve a abrir conversaciones anteriores; con </w:t>
      </w:r>
      <w:r>
        <w:rPr>
          <w:b/>
        </w:rPr>
        <w:t>Seleccionar</w:t>
      </w:r>
      <w:r>
        <w:rPr/>
        <w:t xml:space="preserve"> puede borrar varias a la vez.</w:t>
      </w:r>
    </w:p>
    <w:p>
      <w:pPr>
        <w:pStyle w:val="ListBullet"/>
      </w:pPr>
      <w:r>
        <w:rPr>
          <w:b/>
        </w:rPr>
        <w:t>Clip:</w:t>
      </w:r>
      <w:r>
        <w:rPr/>
        <w:t xml:space="preserve"> adjunta una imagen (por ejemplo, la foto de un reporte) para que la IA la analice.</w:t>
      </w:r>
    </w:p>
    <w:p>
      <w:pPr>
        <w:pStyle w:val="ListBullet"/>
      </w:pPr>
      <w:r>
        <w:rPr>
          <w:b/>
        </w:rPr>
        <w:t>Micrófono:</w:t>
      </w:r>
      <w:r>
        <w:rPr/>
        <w:t xml:space="preserve"> dicta la pregunta en lugar de escribirla.</w:t>
      </w:r>
    </w:p>
    <w:p>
      <w:pPr>
        <w:pStyle w:val="ListBullet"/>
      </w:pPr>
      <w:r>
        <w:rPr>
          <w:b/>
        </w:rPr>
        <w:t>AURA</w:t>
      </w:r>
      <w:r>
        <w:rPr/>
        <w:t xml:space="preserve"> (botón redondo azul, abajo a la derecha, solo en computadora): conversación por voz con el asistente, si el navegador lo admite.</w:t>
      </w:r>
    </w:p>
    <w:p>
      <w:pPr>
        <w:pStyle w:val="Heading2"/>
      </w:pPr>
      <w:r>
        <w:t>7. Exportar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Botón</w:t>
            </w:r>
          </w:p>
        </w:tc>
        <w:tc>
          <w:tcPr>
            <w:tcW w:type="dxa" w:w="3135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b/>
                <w:sz w:val="19"/>
              </w:rPr>
              <w:t>Indicadores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b/>
                <w:sz w:val="19"/>
              </w:rPr>
              <w:t>PDF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Reporte ejecutivo con los indicadores de la institución activa</w:t>
            </w:r>
          </w:p>
        </w:tc>
      </w:tr>
      <w:tr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Indicadores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Excel</w:t>
            </w:r>
          </w:p>
        </w:tc>
        <w:tc>
          <w:tcPr>
            <w:tcW w:type="dxa" w:w="3135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Libro con los indicadores, con formato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Chat</w:t>
            </w:r>
            <w:r>
              <w:rPr>
                <w:sz w:val="19"/>
              </w:rPr>
              <w:t xml:space="preserve"> (tabla de una respuesta)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Excel</w:t>
            </w:r>
          </w:p>
        </w:tc>
        <w:tc>
          <w:tcPr>
            <w:tcW w:type="dxa" w:w="3135"/>
          </w:tcPr>
          <w:p>
            <w:pPr>
              <w:spacing w:after="0"/>
            </w:pPr>
            <w:r/>
            <w:r>
              <w:rPr>
                <w:sz w:val="19"/>
              </w:rPr>
              <w:t>La tabla de esa respuesta</w:t>
            </w:r>
          </w:p>
        </w:tc>
      </w:tr>
    </w:tbl>
    <w:p>
      <w:pPr>
        <w:spacing w:after="40"/>
      </w:pPr>
    </w:p>
    <w:p>
      <w:pPr>
        <w:pStyle w:val="Heading2"/>
      </w:pPr>
      <w:r>
        <w:t>8. Mi perfil</w:t>
      </w:r>
    </w:p>
    <w:p>
      <w:r>
        <w:rPr/>
        <w:t xml:space="preserve">Pulse su nombre o su inicial (arriba a la derecha) para abrir </w:t>
      </w:r>
      <w:r>
        <w:rPr>
          <w:b/>
        </w:rPr>
        <w:t>Mi perfil</w:t>
      </w:r>
      <w:r>
        <w:rPr/>
        <w:t xml:space="preserve">. Ahí puede cambiar la foto y la </w:t>
      </w:r>
      <w:r>
        <w:rPr>
          <w:b/>
        </w:rPr>
        <w:t>contraseña</w:t>
      </w:r>
      <w:r>
        <w:rPr/>
        <w:t>; la nueva debe tener al menos 8 caracteres. También ve la fecha de registro y el último acceso.</w:t>
      </w:r>
    </w:p>
    <w:p>
      <w:pPr>
        <w:pStyle w:val="Heading2"/>
      </w:pPr>
      <w:r>
        <w:t>9. Administración (solo ADMINISTRADOR)</w:t>
      </w:r>
    </w:p>
    <w:p>
      <w:pPr>
        <w:pStyle w:val="Heading3"/>
      </w:pPr>
      <w:r>
        <w:t>Usuarios</w:t>
      </w:r>
    </w:p>
    <w:p>
      <w:r>
        <w:rPr>
          <w:b/>
        </w:rPr>
        <w:t>Usuarios</w:t>
      </w:r>
      <w:r>
        <w:rPr/>
        <w:t xml:space="preserve"> muestra todas las cuentas con su rol, estado y último acceso. Desde </w:t>
      </w:r>
      <w:r>
        <w:rPr>
          <w:b/>
        </w:rPr>
        <w:t>Nuevo usuario</w:t>
      </w:r>
      <w:r>
        <w:rPr/>
        <w:t xml:space="preserve"> se crean cuentas (contraseña de 8 o más caracteres) y se asigna el rol. Las cuentas marcadas como </w:t>
      </w:r>
      <w:r>
        <w:rPr>
          <w:b/>
        </w:rPr>
        <w:t>PROTEGIDA</w:t>
      </w:r>
      <w:r>
        <w:rPr/>
        <w:t xml:space="preserve"> no se pueden editar ni desactivar desde la interfaz.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40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estion_de_usuari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Auditoría</w:t>
      </w:r>
    </w:p>
    <w:p>
      <w:r>
        <w:rPr>
          <w:b/>
        </w:rPr>
        <w:t>Auditoría</w:t>
      </w:r>
      <w:r>
        <w:rPr/>
        <w:t xml:space="preserve"> registra los inicios de sesión, las conexiones a bases y los cambios de configuración, con fecha, usuario, acción y dirección IP. Se puede filtrar por acción, entidad y rango de fechas, y </w:t>
      </w:r>
      <w:r>
        <w:rPr>
          <w:b/>
        </w:rPr>
        <w:t>Exportar Excel</w:t>
      </w:r>
      <w:r>
        <w:rPr/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4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uditor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Uso en el teléfono</w:t>
      </w:r>
    </w:p>
    <w:p>
      <w:r>
        <w:rPr/>
        <w:t xml:space="preserve">La aplicación se adapta a la pantalla del teléfono. Abajo aparecen cuatro pestañas: </w:t>
      </w:r>
      <w:r>
        <w:rPr>
          <w:b/>
        </w:rPr>
        <w:t>Chat</w:t>
      </w:r>
      <w:r>
        <w:rPr/>
        <w:t xml:space="preserve">, </w:t>
      </w:r>
      <w:r>
        <w:rPr>
          <w:b/>
        </w:rPr>
        <w:t>Indicadores</w:t>
      </w:r>
      <w:r>
        <w:rPr/>
        <w:t xml:space="preserve">, </w:t>
      </w:r>
      <w:r>
        <w:rPr>
          <w:b/>
        </w:rPr>
        <w:t>Datos</w:t>
      </w:r>
      <w:r>
        <w:rPr/>
        <w:t xml:space="preserve"> (la conexión de la sección 3) y </w:t>
      </w:r>
      <w:r>
        <w:rPr>
          <w:b/>
        </w:rPr>
        <w:t>Más</w:t>
      </w:r>
      <w:r>
        <w:rPr/>
        <w:t xml:space="preserve"> (historial y, para administradores, la administración).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506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ovil_riesg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Qué hacer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«Usuario o contraseña incorrectos»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Revise mayúsculas y minúsculas; si persiste, pida a un administrador que restablezca la contraseña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«Sesión cerrada por inactividad»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Vuelva a ingresar; la sesión dura 30 minutos sin uso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Indicadores</w:t>
            </w:r>
            <w:r>
              <w:rPr>
                <w:sz w:val="19"/>
              </w:rPr>
              <w:t xml:space="preserve"> dice que espera una base operativa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Conéctese y elija una institución (sección 3)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No aparece el panel de riesgo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Su rol no es ACADÉMICO ni ADMINISTRADOR, o la institución elegida no es académica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La conexión tarda y termina en «Tiempo de espera agotado»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El servidor de base de datos está apagado: avise al personal de TI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El chat responde con un aviso de proveedor no disponible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Se agotó la cuota gratuita de IA del día: los paneles siguen funcionando; vuelva a intentar más tarde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Una respuesta del chat no coincide con el panel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Compare con el panel, que siempre es la referencia; reformule la pregunta o avise al administrador</w:t>
            </w:r>
          </w:p>
        </w:tc>
      </w:tr>
    </w:tbl>
    <w:p>
      <w:pPr>
        <w:spacing w:after="40"/>
      </w:pPr>
    </w:p>
    <w:p>
      <w:pPr>
        <w:pStyle w:val="Heading2"/>
      </w:pPr>
      <w:r>
        <w:t>12.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4703"/>
            <w:shd w:val="clear" w:color="auto" w:fill="002E4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Abandono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El alumno no continúa sus estudios en el periodo siguiente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Probabilidad de abandono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Estimación del modelo, de 0 % a 100 %, para el próximo periodo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Umbral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Probabilidad a partir de la cual un alumno se marca como riesgo ALTO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Factores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Las tres características del alumno que más elevan su riesgo según el modelo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ROC-AUC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Medida de 0,5 a 1 de qué tan bien el modelo separa a quienes abandonan de quienes continúan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Recall (detecta X %)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De cada 100 alumnos que abandonan, cuántos marca el modelo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Segmento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Grupo de carreras con comportamiento parecido frente al abandono</w:t>
            </w:r>
          </w:p>
        </w:tc>
      </w:tr>
      <w:tr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Benchmarking</w:t>
            </w:r>
          </w:p>
        </w:tc>
        <w:tc>
          <w:tcPr>
            <w:tcW w:type="dxa" w:w="4703"/>
            <w:shd w:val="clear" w:color="auto" w:fill="F2F6F9"/>
          </w:tcPr>
          <w:p>
            <w:pPr>
              <w:spacing w:after="0"/>
            </w:pPr>
            <w:r/>
            <w:r>
              <w:rPr>
                <w:sz w:val="19"/>
              </w:rPr>
              <w:t>Comparación con referentes publicados en revistas científicas</w:t>
            </w:r>
          </w:p>
        </w:tc>
      </w:tr>
      <w:tr>
        <w:tc>
          <w:tcPr>
            <w:tcW w:type="dxa" w:w="470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Institución activa</w:t>
            </w:r>
          </w:p>
        </w:tc>
        <w:tc>
          <w:tcPr>
            <w:tcW w:type="dxa" w:w="4703"/>
          </w:tcPr>
          <w:p>
            <w:pPr>
              <w:spacing w:after="0"/>
            </w:pPr>
            <w:r/>
            <w:r>
              <w:rPr>
                <w:sz w:val="19"/>
              </w:rPr>
              <w:t>La base de datos con la que está trabajando en ese momento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0"/>
      <w:footerReference w:type="default" r:id="rId11"/>
      <w:pgSz w:w="12240" w:h="15840"/>
      <w:pgMar w:top="1417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7385"/>
        <w:sz w:val="17"/>
      </w:rPr>
      <w:t xml:space="preserve">Universidad Estatal de Milagro · Página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B7385"/>
        <w:sz w:val="17"/>
      </w:rPr>
      <w:t>VicMar Data AI · Manual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2E4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2E4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FF69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VicMar Data AI</dc:title>
  <dc:subject>Proyecto de titulación · Universidad Estatal de Milagro</dc:subject>
  <dc:creator>Marlon David Pérez Almachi; Víctor Manuel Lluilema Pisco</dc:creator>
  <cp:keywords/>
  <dc:description>generated by python-docx</dc:description>
  <cp:lastModifiedBy>Marlon David Pérez Almachi</cp:lastModifiedBy>
  <cp:revision>1</cp:revision>
  <dcterms:created xsi:type="dcterms:W3CDTF">2013-12-23T23:15:00Z</dcterms:created>
  <dcterms:modified xsi:type="dcterms:W3CDTF">2013-12-23T23:15:00Z</dcterms:modified>
  <cp:category/>
</cp:coreProperties>
</file>