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jc w:val="center"/>
      </w:pPr>
      <w:r>
        <w:drawing>
          <wp:inline xmlns:a="http://schemas.openxmlformats.org/drawingml/2006/main" xmlns:pic="http://schemas.openxmlformats.org/drawingml/2006/picture">
            <wp:extent cx="1512000" cy="1462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46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02E45"/>
          <w:sz w:val="30"/>
        </w:rPr>
        <w:t>UNIVERSIDAD ESTATAL DE MILAGRO</w:t>
      </w:r>
    </w:p>
    <w:p>
      <w:pPr>
        <w:jc w:val="center"/>
      </w:pPr>
      <w:r>
        <w:rPr>
          <w:b w:val="0"/>
          <w:color w:val="5B7385"/>
          <w:sz w:val="24"/>
        </w:rPr>
        <w:t>Facultad de Ciencias e Ingenierías</w:t>
      </w:r>
    </w:p>
    <w:p>
      <w:pPr>
        <w:jc w:val="center"/>
      </w:pPr>
      <w:r>
        <w:rPr>
          <w:b w:val="0"/>
          <w:color w:val="5B7385"/>
          <w:sz w:val="24"/>
        </w:rPr>
        <w:t>Carrera de Ingeniería en Tecnologías de la Información</w:t>
      </w:r>
    </w:p>
    <w:p>
      <w:pPr>
        <w:spacing w:before="1200"/>
        <w:jc w:val="center"/>
      </w:pPr>
      <w:r>
        <w:rPr>
          <w:b/>
          <w:color w:val="002E45"/>
          <w:sz w:val="52"/>
        </w:rPr>
        <w:t>MANUAL TÉCNICO DE INSTALACIÓN</w:t>
      </w:r>
    </w:p>
    <w:p>
      <w:pPr>
        <w:jc w:val="center"/>
      </w:pPr>
      <w:r>
        <w:rPr>
          <w:b/>
          <w:color w:val="FF6900"/>
          <w:sz w:val="36"/>
        </w:rPr>
        <w:t>VicMar Data AI</w:t>
      </w:r>
    </w:p>
    <w:p>
      <w:pPr>
        <w:jc w:val="center"/>
      </w:pPr>
      <w:r>
        <w:rPr>
          <w:color w:val="5B7385"/>
          <w:sz w:val="24"/>
        </w:rPr>
        <w:t>Predicción del abandono estudiantil con inteligencia de negocios</w:t>
        <w:br/>
        <w:t>y consultas en lenguaje natural</w:t>
      </w:r>
    </w:p>
    <w:p>
      <w:pPr>
        <w:spacing w:before="1400"/>
        <w:jc w:val="center"/>
      </w:pPr>
      <w:r>
        <w:rPr>
          <w:b/>
          <w:color w:val="002E45"/>
        </w:rPr>
        <w:t>Autores</w:t>
      </w:r>
    </w:p>
    <w:p>
      <w:pPr>
        <w:spacing w:after="40"/>
        <w:jc w:val="center"/>
      </w:pPr>
      <w:r>
        <w:t>Marlon David Pérez Almachi</w:t>
      </w:r>
    </w:p>
    <w:p>
      <w:pPr>
        <w:spacing w:after="40"/>
        <w:jc w:val="center"/>
      </w:pPr>
      <w:r>
        <w:t>Víctor Manuel Lluilema Pisco</w:t>
      </w:r>
    </w:p>
    <w:p>
      <w:pPr>
        <w:spacing w:before="800"/>
        <w:jc w:val="center"/>
      </w:pPr>
      <w:r>
        <w:rPr>
          <w:color w:val="5B7385"/>
          <w:sz w:val="20"/>
        </w:rPr>
        <w:t>1.0 · octubre de 2026 · Milagro, Ecuador</w:t>
      </w:r>
    </w:p>
    <w:p>
      <w:r>
        <w:br w:type="page"/>
      </w:r>
    </w:p>
    <w:p>
      <w:r>
        <w:rPr>
          <w:b/>
          <w:color w:val="002E45"/>
          <w:sz w:val="32"/>
        </w:rPr>
        <w:t>Contenido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fldChar w:fldCharType="end"/>
      </w:r>
    </w:p>
    <w:p>
      <w:r>
        <w:br w:type="page"/>
      </w:r>
    </w:p>
    <w:p>
      <w:r>
        <w:rPr>
          <w:b/>
        </w:rPr>
        <w:t>Para quién es:</w:t>
      </w:r>
      <w:r>
        <w:rPr/>
        <w:t xml:space="preserve">el personal de TI que recibe el sistema y debe instalarlo, configurarlo y verificarlo en una computadora con Windows 10 u 11. No hace falta conocer el código. Siga los pasos en orden; los comandos se escriben en </w:t>
      </w:r>
      <w:r>
        <w:rPr>
          <w:b/>
        </w:rPr>
        <w:t>PowerShell</w:t>
      </w:r>
      <w:r>
        <w:rPr/>
        <w:t>, uno a la vez, desde la carpeta raíz del proyecto, salvo que el paso indique otra cosa.</w:t>
      </w:r>
    </w:p>
    <w:p>
      <w:pPr>
        <w:pStyle w:val="Heading2"/>
      </w:pPr>
      <w:r>
        <w:t>1. Las tres piezas del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Pieza</w:t>
            </w:r>
          </w:p>
        </w:tc>
        <w:tc>
          <w:tcPr>
            <w:tcW w:type="dxa" w:w="235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Qué es</w:t>
            </w:r>
          </w:p>
        </w:tc>
        <w:tc>
          <w:tcPr>
            <w:tcW w:type="dxa" w:w="235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Dónde vive</w:t>
            </w:r>
          </w:p>
        </w:tc>
        <w:tc>
          <w:tcPr>
            <w:tcW w:type="dxa" w:w="235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Puerto</w:t>
            </w:r>
          </w:p>
        </w:tc>
      </w:tr>
      <w:tr>
        <w:tc>
          <w:tcPr>
            <w:tcW w:type="dxa" w:w="235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Frontend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La aplicación web (React + Vite) que usan las personas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codigo_fuente/frontend/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3000</w:t>
            </w:r>
          </w:p>
        </w:tc>
      </w:tr>
      <w:tr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Backend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API FastAPI: modelo predictivo, consultas en lenguaje natural, seguridad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codigo_fuente/backend/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8090</w:t>
            </w:r>
          </w:p>
        </w:tc>
      </w:tr>
      <w:tr>
        <w:tc>
          <w:tcPr>
            <w:tcW w:type="dxa" w:w="235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Base de datos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SQL Server 2022 dentro de un contenedor Docker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 xml:space="preserve">contenedor </w:t>
            </w:r>
            <w:r>
              <w:rPr>
                <w:rFonts w:ascii="Consolas" w:hAnsi="Consolas"/>
                <w:color w:val="002E45"/>
                <w:sz w:val="19"/>
              </w:rPr>
              <w:t>vicmar-sqlserver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1433</w:t>
            </w:r>
          </w:p>
        </w:tc>
      </w:tr>
    </w:tbl>
    <w:p>
      <w:pPr>
        <w:spacing w:after="40"/>
      </w:pPr>
    </w:p>
    <w:p>
      <w:r>
        <w:rPr/>
        <w:t>Las tres deben estar encendidas al mismo tiempo: la aplicación web habla con el backend y el backend con la base de datos.</w:t>
      </w:r>
    </w:p>
    <w:p>
      <w:pPr>
        <w:shd w:val="clear" w:color="auto" w:fill="F2F4F6"/>
        <w:ind w:left="170"/>
      </w:pPr>
      <w:r>
        <w:rPr>
          <w:rFonts w:ascii="Consolas" w:hAnsi="Consolas"/>
          <w:sz w:val="17"/>
        </w:rPr>
        <w:t xml:space="preserve"> Navegador ──▶ Frontend :3000 ──/api──▶ Backend :8090 ──▶ SQL Server :1433 (Docker)</w:t>
        <w:br/>
        <w:t xml:space="preserve">                                            └──▶ Proveedores de IA (Gemini → Groq → NVIDIA NIM)</w:t>
      </w:r>
    </w:p>
    <w:p>
      <w:pPr>
        <w:pStyle w:val="Heading2"/>
      </w:pPr>
      <w:r>
        <w:t>2. Requisitos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35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Programa</w:t>
            </w:r>
          </w:p>
        </w:tc>
        <w:tc>
          <w:tcPr>
            <w:tcW w:type="dxa" w:w="235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Dónde se obtiene</w:t>
            </w:r>
          </w:p>
        </w:tc>
        <w:tc>
          <w:tcPr>
            <w:tcW w:type="dxa" w:w="235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Cómo comprobarlo</w:t>
            </w:r>
          </w:p>
        </w:tc>
      </w:tr>
      <w:tr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Docker Desktop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https://www.docker.com/products/docker-desktop/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 xml:space="preserve">Abrirlo y esperar a que el ícono de la ballena quede quieto; </w:t>
            </w:r>
            <w:r>
              <w:rPr>
                <w:rFonts w:ascii="Consolas" w:hAnsi="Consolas"/>
                <w:color w:val="002E45"/>
                <w:sz w:val="19"/>
              </w:rPr>
              <w:t>docker version</w:t>
            </w:r>
          </w:p>
        </w:tc>
      </w:tr>
      <w:tr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Node.js 22 LTS</w:t>
            </w:r>
            <w:r>
              <w:rPr>
                <w:sz w:val="19"/>
              </w:rPr>
              <w:t xml:space="preserve"> o superior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https://nodejs.org/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node --version</w:t>
            </w:r>
          </w:p>
        </w:tc>
      </w:tr>
      <w:tr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Python 3.14</w:t>
            </w:r>
            <w:r>
              <w:rPr>
                <w:sz w:val="19"/>
              </w:rPr>
              <w:t xml:space="preserve"> (marcar «Add python.exe to PATH»)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https://www.python.org/downloads/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py -3.14 --version</w:t>
            </w:r>
          </w:p>
        </w:tc>
      </w:tr>
      <w:tr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ODBC Driver 18 for SQL Server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https://learn.microsoft.com/es-es/sql/connect/odbc/download-odbc-driver-for-sql-server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Aparece en «Orígenes de datos ODBC» de Windows</w:t>
            </w:r>
          </w:p>
        </w:tc>
      </w:tr>
      <w:tr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b/>
                <w:sz w:val="19"/>
              </w:rPr>
              <w:t>Git</w:t>
            </w:r>
            <w:r>
              <w:rPr>
                <w:sz w:val="19"/>
              </w:rPr>
              <w:t xml:space="preserve"> (solo si se clona desde GitHub)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https://git-scm.com/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git --version</w:t>
            </w:r>
          </w:p>
        </w:tc>
      </w:tr>
    </w:tbl>
    <w:p>
      <w:pPr>
        <w:spacing w:after="40"/>
      </w:pPr>
    </w:p>
    <w:p>
      <w:r>
        <w:rPr/>
        <w:t>Hardware recomendado: 8 GB de RAM (SQL Server usa unos 2 GB) y 10 GB libres en disco.</w:t>
      </w:r>
    </w:p>
    <w:p>
      <w:pPr>
        <w:pStyle w:val="Heading2"/>
      </w:pPr>
      <w:r>
        <w:t>3. Obtener el proyecto</w:t>
      </w:r>
    </w:p>
    <w:p>
      <w:pPr>
        <w:pStyle w:val="ListBullet"/>
      </w:pPr>
      <w:r>
        <w:rPr>
          <w:b/>
        </w:rPr>
        <w:t>Desde GitHub</w:t>
      </w:r>
      <w:r>
        <w:rPr/>
        <w:t xml:space="preserve"> (repositorio privado; requiere permiso de acceso):</w:t>
      </w:r>
    </w:p>
    <w:p>
      <w:pPr>
        <w:shd w:val="clear" w:color="auto" w:fill="F2F4F6"/>
        <w:ind w:left="170"/>
      </w:pPr>
      <w:r>
        <w:rPr>
          <w:rFonts w:ascii="Consolas" w:hAnsi="Consolas"/>
          <w:sz w:val="17"/>
        </w:rPr>
        <w:t xml:space="preserve">  git clone https://github.com/Vm199524/PROYECTO-TITULACION-MARLON-VICTOR-UNEMI.git</w:t>
        <w:br/>
        <w:t xml:space="preserve">  cd PROYECTO-TITULACION-MARLON-VICTOR-UNEMI</w:t>
      </w:r>
    </w:p>
    <w:p>
      <w:pPr>
        <w:pStyle w:val="ListBullet"/>
      </w:pPr>
      <w:r>
        <w:rPr>
          <w:b/>
        </w:rPr>
        <w:t>Desde una copia</w:t>
      </w:r>
      <w:r>
        <w:rPr/>
        <w:t xml:space="preserve"> (carpeta comprimida o memoria USB): copiar la carpeta del proyecto </w:t>
      </w:r>
      <w:r>
        <w:rPr>
          <w:b/>
        </w:rPr>
        <w:t>sin</w:t>
      </w:r>
      <w:r>
        <w:rPr/>
        <w:t xml:space="preserve"> </w:t>
      </w:r>
      <w:r>
        <w:rPr>
          <w:rFonts w:ascii="Consolas" w:hAnsi="Consolas"/>
          <w:color w:val="002E45"/>
          <w:sz w:val="19"/>
        </w:rPr>
        <w:t>node_modules/</w:t>
      </w:r>
      <w:r>
        <w:rPr/>
        <w:t xml:space="preserve">, </w:t>
      </w:r>
      <w:r>
        <w:rPr>
          <w:rFonts w:ascii="Consolas" w:hAnsi="Consolas"/>
          <w:color w:val="002E45"/>
          <w:sz w:val="19"/>
        </w:rPr>
        <w:t>venv/</w:t>
      </w:r>
      <w:r>
        <w:rPr/>
        <w:t xml:space="preserve"> ni </w:t>
      </w:r>
      <w:r>
        <w:rPr>
          <w:rFonts w:ascii="Consolas" w:hAnsi="Consolas"/>
          <w:color w:val="002E45"/>
          <w:sz w:val="19"/>
        </w:rPr>
        <w:t>dist/</w:t>
      </w:r>
      <w:r>
        <w:rPr/>
        <w:t>, que se regeneran en la computadora nueva.</w:t>
      </w:r>
    </w:p>
    <w:p>
      <w:pPr>
        <w:pStyle w:val="Heading2"/>
      </w:pPr>
      <w:r>
        <w:t>4. Configuración local</w:t>
      </w:r>
    </w:p>
    <w:p>
      <w:r>
        <w:rPr/>
        <w:t xml:space="preserve">Estos archivos guardan contraseñas y claves, por eso </w:t>
      </w:r>
      <w:r>
        <w:rPr>
          <w:b/>
        </w:rPr>
        <w:t>nunca se suben al repositorio</w:t>
      </w:r>
      <w:r>
        <w:rPr/>
        <w:t>. Se crean a partir de sus plantillas:</w:t>
      </w:r>
    </w:p>
    <w:p>
      <w:pPr>
        <w:shd w:val="clear" w:color="auto" w:fill="F2F4F6"/>
        <w:ind w:left="170"/>
      </w:pPr>
      <w:r>
        <w:rPr>
          <w:rFonts w:ascii="Consolas" w:hAnsi="Consolas"/>
          <w:sz w:val="17"/>
        </w:rPr>
        <w:t>copy codigo_fuente\backend\.env.example codigo_fuente\backend\.env</w:t>
        <w:br/>
        <w:t>copy codigo_fuente\backend\usuarios_prueba.example.json codigo_fuente\backend\usuarios_prueba.local.json</w:t>
      </w:r>
    </w:p>
    <w:p>
      <w:pPr>
        <w:pStyle w:val="Heading3"/>
      </w:pPr>
      <w:r>
        <w:t>4.1 `codigo_fuente\backend\.env`</w:t>
      </w:r>
    </w:p>
    <w:p>
      <w:r>
        <w:rPr/>
        <w:t>Ábralo con el Bloc de notas. Cada variable está explicada dentro del archivo; estas son las imprescindibles: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Qué poner</w:t>
            </w:r>
          </w:p>
        </w:tc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Obligatoria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DB_HOST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localhost,1433</w:t>
            </w:r>
            <w:r>
              <w:rPr>
                <w:sz w:val="19"/>
              </w:rPr>
              <w:t xml:space="preserve"> (el contenedor de este manual)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DB_USER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002E45"/>
                <w:sz w:val="19"/>
              </w:rPr>
              <w:t>DB_PASSWORD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sa</w:t>
            </w:r>
            <w:r>
              <w:rPr>
                <w:sz w:val="19"/>
              </w:rPr>
              <w:t xml:space="preserve"> y la contraseña que se usará al crear el contenedor (paso 5)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CHAT_READER_PASSWORD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 xml:space="preserve">Contraseña de la cuenta de </w:t>
            </w:r>
            <w:r>
              <w:rPr>
                <w:b/>
                <w:sz w:val="19"/>
              </w:rPr>
              <w:t>solo lectura</w:t>
            </w:r>
            <w:r>
              <w:rPr>
                <w:sz w:val="19"/>
              </w:rPr>
              <w:t xml:space="preserve"> que ejecuta el SQL de la IA (la crea el pipeline)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GEMINI_API_KEY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002E45"/>
                <w:sz w:val="19"/>
              </w:rPr>
              <w:t>GROQ_API_KEY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002E45"/>
                <w:sz w:val="19"/>
              </w:rPr>
              <w:t>NVIDIA_API_KEY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Al menos una clave gratuita de proveedor de IA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Para el chat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JWT_SECRET_KEY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 xml:space="preserve">Una cadena larga y aleatoria: </w:t>
            </w:r>
            <w:r>
              <w:rPr>
                <w:rFonts w:ascii="Consolas" w:hAnsi="Consolas"/>
                <w:color w:val="002E45"/>
                <w:sz w:val="19"/>
              </w:rPr>
              <w:t>python -c "import secrets; print(secrets.token_urlsafe(64))"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En producción</w:t>
            </w:r>
          </w:p>
        </w:tc>
      </w:tr>
      <w:tr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FAL_KEY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002E45"/>
                <w:sz w:val="19"/>
              </w:rPr>
              <w:t>SMTP_*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002E45"/>
                <w:sz w:val="19"/>
              </w:rPr>
              <w:t>REDIS_*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002E45"/>
                <w:sz w:val="19"/>
              </w:rPr>
              <w:t>SENTRY_DSN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Lectura en voz alta, correo de recuperación, caché y monitoreo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No</w:t>
            </w:r>
          </w:p>
        </w:tc>
      </w:tr>
    </w:tbl>
    <w:p>
      <w:pPr>
        <w:spacing w:after="40"/>
      </w:pPr>
    </w:p>
    <w:p>
      <w:pPr>
        <w:ind w:left="227"/>
        <w:shd w:val="clear" w:color="auto" w:fill="FFF1E6"/>
      </w:pPr>
      <w:r>
        <w:rPr>
          <w:b/>
          <w:color w:val="002E45"/>
        </w:rPr>
        <w:t xml:space="preserve">Importante. </w:t>
      </w:r>
      <w:r>
        <w:rPr/>
        <w:t xml:space="preserve">La contraseña de </w:t>
      </w:r>
      <w:r>
        <w:rPr>
          <w:rFonts w:ascii="Consolas" w:hAnsi="Consolas"/>
          <w:color w:val="002E45"/>
          <w:sz w:val="19"/>
        </w:rPr>
        <w:t>sa</w:t>
      </w:r>
      <w:r>
        <w:rPr/>
        <w:t xml:space="preserve"> debe cumplir la política de SQL Server: al menos 8 caracteres con mayúsculas, minúsculas, números y símbolos. Si no la cumple, el contenedor se detiene al arrancar.</w:t>
      </w:r>
    </w:p>
    <w:p>
      <w:r>
        <w:rPr/>
        <w:t>Sin ninguna clave de IA el sistema funciona (paneles, métricas certificadas, administración); solo el chat responde con un aviso.</w:t>
      </w:r>
    </w:p>
    <w:p>
      <w:pPr>
        <w:pStyle w:val="Heading3"/>
      </w:pPr>
      <w:r>
        <w:t>4.2 `codigo_fuente\backend\usuarios_prueba.local.json`</w:t>
      </w:r>
    </w:p>
    <w:p>
      <w:r>
        <w:rPr/>
        <w:t xml:space="preserve">Contiene la contraseña de cada usuario de prueba, uno por rol. Reemplace cada </w:t>
      </w:r>
      <w:r>
        <w:rPr>
          <w:rFonts w:ascii="Consolas" w:hAnsi="Consolas"/>
          <w:color w:val="002E45"/>
          <w:sz w:val="19"/>
        </w:rPr>
        <w:t>CAMBIAR_POR_UNA_CONTRASEÑA</w:t>
      </w:r>
      <w:r>
        <w:rPr/>
        <w:t xml:space="preserve"> por una contraseña de 8 o más caracteres. Las contraseñas de la demostración se entregan aparte, nunca por el repositorio.</w:t>
      </w:r>
    </w:p>
    <w:p>
      <w:pPr>
        <w:pStyle w:val="Heading2"/>
      </w:pPr>
      <w:r>
        <w:t>5. Base de datos</w:t>
      </w:r>
    </w:p>
    <w:p>
      <w:pPr>
        <w:pStyle w:val="Heading3"/>
      </w:pPr>
      <w:r>
        <w:t>Opción A — Reconstruir todo con el pipeline (recomendada)</w:t>
      </w:r>
    </w:p>
    <w:p>
      <w:pPr>
        <w:pStyle w:val="ListNumber"/>
      </w:pPr>
      <w:r>
        <w:rPr>
          <w:b/>
        </w:rPr>
        <w:t>Crear el contenedor</w:t>
      </w:r>
      <w:r>
        <w:rPr/>
        <w:t xml:space="preserve"> de SQL Server con la misma contraseña de </w:t>
      </w:r>
      <w:r>
        <w:rPr>
          <w:rFonts w:ascii="Consolas" w:hAnsi="Consolas"/>
          <w:color w:val="002E45"/>
          <w:sz w:val="19"/>
        </w:rPr>
        <w:t>DB_PASSWORD</w:t>
      </w:r>
      <w:r>
        <w:rPr/>
        <w:t>:</w:t>
      </w:r>
    </w:p>
    <w:p>
      <w:pPr>
        <w:shd w:val="clear" w:color="auto" w:fill="F2F4F6"/>
        <w:ind w:left="170"/>
      </w:pPr>
      <w:r>
        <w:rPr>
          <w:rFonts w:ascii="Consolas" w:hAnsi="Consolas"/>
          <w:sz w:val="17"/>
        </w:rPr>
        <w:t xml:space="preserve">   docker run -d --name vicmar-sqlserver --restart unless-stopped -p 1433:1433 -e ACCEPT_EULA=Y -e MSSQL_PID=developer -e MSSQL_SA_PASSWORD="SU_CONTRASEÑA" mcr.microsoft.com/mssql/server:2022-latest</w:t>
      </w:r>
    </w:p>
    <w:p>
      <w:r>
        <w:rPr/>
        <w:t xml:space="preserve">Compruebe con </w:t>
      </w:r>
      <w:r>
        <w:rPr>
          <w:rFonts w:ascii="Consolas" w:hAnsi="Consolas"/>
          <w:color w:val="002E45"/>
          <w:sz w:val="19"/>
        </w:rPr>
        <w:t>docker ps</w:t>
      </w:r>
      <w:r>
        <w:rPr/>
        <w:t xml:space="preserve"> que </w:t>
      </w:r>
      <w:r>
        <w:rPr>
          <w:rFonts w:ascii="Consolas" w:hAnsi="Consolas"/>
          <w:color w:val="002E45"/>
          <w:sz w:val="19"/>
        </w:rPr>
        <w:t>vicmar-sqlserver</w:t>
      </w:r>
      <w:r>
        <w:rPr/>
        <w:t xml:space="preserve"> aparece con estado </w:t>
      </w:r>
      <w:r>
        <w:rPr>
          <w:rFonts w:ascii="Consolas" w:hAnsi="Consolas"/>
          <w:color w:val="002E45"/>
          <w:sz w:val="19"/>
        </w:rPr>
        <w:t>Up</w:t>
      </w:r>
      <w:r>
        <w:rPr/>
        <w:t>.</w:t>
      </w:r>
    </w:p>
    <w:p>
      <w:pPr>
        <w:pStyle w:val="ListNumber"/>
      </w:pPr>
      <w:r>
        <w:rPr>
          <w:b/>
        </w:rPr>
        <w:t>Descargar el dataset público OULAD</w:t>
      </w:r>
      <w:r>
        <w:rPr/>
        <w:t xml:space="preserve"> en </w:t>
      </w:r>
      <w:r>
        <w:rPr>
          <w:rFonts w:ascii="Consolas" w:hAnsi="Consolas"/>
          <w:color w:val="002E45"/>
          <w:sz w:val="19"/>
        </w:rPr>
        <w:t>datos\externos\oulad\</w:t>
      </w:r>
      <w:r>
        <w:rPr/>
        <w:t xml:space="preserve"> siguiendo </w:t>
      </w:r>
      <w:r>
        <w:rPr/>
        <w:t>`datos/README.md`</w:t>
      </w:r>
      <w:r>
        <w:rPr/>
        <w:t>.</w:t>
      </w:r>
    </w:p>
    <w:p>
      <w:pPr>
        <w:pStyle w:val="ListNumber"/>
      </w:pPr>
      <w:r>
        <w:rPr>
          <w:b/>
        </w:rPr>
        <w:t>Crear el entorno de Python</w:t>
      </w:r>
      <w:r>
        <w:rPr/>
        <w:t xml:space="preserve"> del backend:</w:t>
      </w:r>
    </w:p>
    <w:p>
      <w:pPr>
        <w:shd w:val="clear" w:color="auto" w:fill="F2F4F6"/>
        <w:ind w:left="170"/>
      </w:pPr>
      <w:r>
        <w:rPr>
          <w:rFonts w:ascii="Consolas" w:hAnsi="Consolas"/>
          <w:sz w:val="17"/>
        </w:rPr>
        <w:t xml:space="preserve">   py -3.14 -m venv codigo_fuente\backend\venv</w:t>
        <w:br/>
        <w:t xml:space="preserve">   codigo_fuente\backend\venv\Scripts\pip install -r codigo_fuente\backend\requirements.txt</w:t>
      </w:r>
    </w:p>
    <w:p>
      <w:pPr>
        <w:pStyle w:val="ListNumber"/>
      </w:pPr>
      <w:r>
        <w:rPr>
          <w:b/>
        </w:rPr>
        <w:t>Ejecutar el pipeline completo:</w:t>
      </w:r>
    </w:p>
    <w:p>
      <w:pPr>
        <w:shd w:val="clear" w:color="auto" w:fill="F2F4F6"/>
        <w:ind w:left="170"/>
      </w:pPr>
      <w:r>
        <w:rPr>
          <w:rFonts w:ascii="Consolas" w:hAnsi="Consolas"/>
          <w:sz w:val="17"/>
        </w:rPr>
        <w:t xml:space="preserve">   powershell -ExecutionPolicy Bypass -File codigo_fuente\scripts\demo_tesis.ps1</w:t>
      </w:r>
    </w:p>
    <w:p>
      <w:r>
        <w:rPr/>
        <w:t>El pipeline hace estos pasos en orden y se detiene si alguno falla: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Resultado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Arranca el contenedor y espera a que SQL Server acepte conexiones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Base de datos lista</w:t>
            </w:r>
          </w:p>
        </w:tc>
      </w:tr>
      <w:tr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Anonimiza los datos de prueba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Datos sin información personal real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 xml:space="preserve">Carga </w:t>
            </w:r>
            <w:r>
              <w:rPr>
                <w:rFonts w:ascii="Consolas" w:hAnsi="Consolas"/>
                <w:color w:val="002E45"/>
                <w:sz w:val="19"/>
              </w:rPr>
              <w:t>UNEMI_PRUEBAS</w:t>
            </w:r>
            <w:r>
              <w:rPr>
                <w:sz w:val="19"/>
              </w:rPr>
              <w:t xml:space="preserve"> (alumnos e historial)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Primera institución</w:t>
            </w:r>
          </w:p>
        </w:tc>
      </w:tr>
      <w:tr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Carga </w:t>
            </w:r>
            <w:r>
              <w:rPr>
                <w:rFonts w:ascii="Consolas" w:hAnsi="Consolas"/>
                <w:color w:val="002E45"/>
                <w:sz w:val="19"/>
              </w:rPr>
              <w:t>OULAD_PRUEBAS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Segunda institución, con datos reales anónimos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 xml:space="preserve">Ejecuta </w:t>
            </w:r>
            <w:r>
              <w:rPr>
                <w:rFonts w:ascii="Consolas" w:hAnsi="Consolas"/>
                <w:color w:val="002E45"/>
                <w:sz w:val="19"/>
              </w:rPr>
              <w:t>crear_chat_academico.sql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 xml:space="preserve">Almacén </w:t>
            </w:r>
            <w:r>
              <w:rPr>
                <w:rFonts w:ascii="Consolas" w:hAnsi="Consolas"/>
                <w:color w:val="002E45"/>
                <w:sz w:val="19"/>
              </w:rPr>
              <w:t>CHAT</w:t>
            </w:r>
            <w:r>
              <w:rPr>
                <w:sz w:val="19"/>
              </w:rPr>
              <w:t xml:space="preserve">, vistas </w:t>
            </w:r>
            <w:r>
              <w:rPr>
                <w:rFonts w:ascii="Consolas" w:hAnsi="Consolas"/>
                <w:color w:val="002E45"/>
                <w:sz w:val="19"/>
              </w:rPr>
              <w:t>VIS_*</w:t>
            </w:r>
            <w:r>
              <w:rPr>
                <w:sz w:val="19"/>
              </w:rPr>
              <w:t xml:space="preserve"> y usuario </w:t>
            </w:r>
            <w:r>
              <w:rPr>
                <w:rFonts w:ascii="Consolas" w:hAnsi="Consolas"/>
                <w:color w:val="002E45"/>
                <w:sz w:val="19"/>
              </w:rPr>
              <w:t>chat_reader</w:t>
            </w:r>
          </w:p>
        </w:tc>
      </w:tr>
      <w:tr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ETL con los perfiles </w:t>
            </w:r>
            <w:r>
              <w:rPr>
                <w:rFonts w:ascii="Consolas" w:hAnsi="Consolas"/>
                <w:color w:val="002E45"/>
                <w:sz w:val="19"/>
              </w:rPr>
              <w:t>UNEMI_PRUEBAS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color w:val="002E45"/>
                <w:sz w:val="19"/>
              </w:rPr>
              <w:t>OULAD_UK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Hechos y dimensiones cargados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Entrena, califica, segmenta y genera las figuras de cada institución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Predicciones y segmentos</w:t>
            </w:r>
          </w:p>
        </w:tc>
      </w:tr>
      <w:tr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Carga los referentes externos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Benchmarking con DOI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9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Genera el diccionario de datos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documentacion/tecnica/DICCIONARIO_DE_DATOS.md</w:t>
            </w:r>
          </w:p>
        </w:tc>
      </w:tr>
      <w:tr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10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Ejecuta las pruebas principales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Verificación automática</w:t>
            </w:r>
          </w:p>
        </w:tc>
      </w:tr>
    </w:tbl>
    <w:p>
      <w:pPr>
        <w:spacing w:after="40"/>
      </w:pPr>
    </w:p>
    <w:p>
      <w:r>
        <w:rPr/>
        <w:t>Opciones del script: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Opción</w:t>
            </w:r>
          </w:p>
        </w:tc>
        <w:tc>
          <w:tcPr>
            <w:tcW w:type="dxa" w:w="4703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Efecto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-Levantar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Al terminar, abre el backend y el frontend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-ConEvaluacionNL2SQL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Agrega la evaluación de las 40 preguntas de referencia; consume cuota de los proveedores de IA</w:t>
            </w:r>
          </w:p>
        </w:tc>
      </w:tr>
    </w:tbl>
    <w:p>
      <w:pPr>
        <w:spacing w:after="40"/>
      </w:pPr>
    </w:p>
    <w:p>
      <w:pPr>
        <w:pStyle w:val="Heading3"/>
      </w:pPr>
      <w:r>
        <w:t>Opción B — Trasladar el contenedor ya cargado</w:t>
      </w:r>
    </w:p>
    <w:p>
      <w:r>
        <w:rPr/>
        <w:t>En la computadora original:</w:t>
      </w:r>
    </w:p>
    <w:p>
      <w:pPr>
        <w:shd w:val="clear" w:color="auto" w:fill="F2F4F6"/>
        <w:ind w:left="170"/>
      </w:pPr>
      <w:r>
        <w:rPr>
          <w:rFonts w:ascii="Consolas" w:hAnsi="Consolas"/>
          <w:sz w:val="17"/>
        </w:rPr>
        <w:t>docker commit vicmar-sqlserver vicmar-sqlserver-portable:ultima</w:t>
        <w:br/>
        <w:t>docker save -o vicmar-sqlserver-respaldo.tar vicmar-sqlserver-portable:ultima</w:t>
      </w:r>
    </w:p>
    <w:p>
      <w:r>
        <w:rPr/>
        <w:t>En la computadora nueva:</w:t>
      </w:r>
    </w:p>
    <w:p>
      <w:pPr>
        <w:shd w:val="clear" w:color="auto" w:fill="F2F4F6"/>
        <w:ind w:left="170"/>
      </w:pPr>
      <w:r>
        <w:rPr>
          <w:rFonts w:ascii="Consolas" w:hAnsi="Consolas"/>
          <w:sz w:val="17"/>
        </w:rPr>
        <w:t>docker load -i vicmar-sqlserver-respaldo.tar</w:t>
        <w:br/>
        <w:t>docker run -d --name vicmar-sqlserver --restart unless-stopped -p 1433:1433 vicmar-sqlserver-portable:ultima</w:t>
      </w:r>
    </w:p>
    <w:p>
      <w:r>
        <w:rPr/>
        <w:t xml:space="preserve">Las contraseñas de </w:t>
      </w:r>
      <w:r>
        <w:rPr>
          <w:rFonts w:ascii="Consolas" w:hAnsi="Consolas"/>
          <w:color w:val="002E45"/>
          <w:sz w:val="19"/>
        </w:rPr>
        <w:t>sa</w:t>
      </w:r>
      <w:r>
        <w:rPr/>
        <w:t xml:space="preserve"> y </w:t>
      </w:r>
      <w:r>
        <w:rPr>
          <w:rFonts w:ascii="Consolas" w:hAnsi="Consolas"/>
          <w:color w:val="002E45"/>
          <w:sz w:val="19"/>
        </w:rPr>
        <w:t>chat_reader</w:t>
      </w:r>
      <w:r>
        <w:rPr/>
        <w:t xml:space="preserve"> son las del contenedor original; </w:t>
      </w:r>
      <w:r>
        <w:rPr>
          <w:rFonts w:ascii="Consolas" w:hAnsi="Consolas"/>
          <w:color w:val="002E45"/>
          <w:sz w:val="19"/>
        </w:rPr>
        <w:t>.env</w:t>
      </w:r>
      <w:r>
        <w:rPr/>
        <w:t xml:space="preserve"> debe usar las mismas.</w:t>
      </w:r>
    </w:p>
    <w:p>
      <w:pPr>
        <w:pStyle w:val="Heading2"/>
      </w:pPr>
      <w:r>
        <w:t>6. Usuarios de la aplicación</w:t>
      </w:r>
    </w:p>
    <w:p>
      <w:r>
        <w:rPr/>
        <w:t xml:space="preserve">Los usuarios viven en </w:t>
      </w:r>
      <w:r>
        <w:rPr>
          <w:rFonts w:ascii="Consolas" w:hAnsi="Consolas"/>
          <w:color w:val="002E45"/>
          <w:sz w:val="19"/>
        </w:rPr>
        <w:t>codigo_fuente\backend\security_config.json</w:t>
      </w:r>
      <w:r>
        <w:rPr/>
        <w:t>, que no se versiona. En una instalación nueva el script lo crea con los roles por defecto:</w:t>
      </w:r>
    </w:p>
    <w:p>
      <w:pPr>
        <w:shd w:val="clear" w:color="auto" w:fill="F2F4F6"/>
        <w:ind w:left="170"/>
      </w:pPr>
      <w:r>
        <w:rPr>
          <w:rFonts w:ascii="Consolas" w:hAnsi="Consolas"/>
          <w:sz w:val="17"/>
        </w:rPr>
        <w:t>cd codigo_fuente\backend</w:t>
        <w:br/>
        <w:t>venv\Scripts\python.exe scripts\fijar_passwords_prueba.py</w:t>
        <w:br/>
        <w:t>cd ..\..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Usuario</w:t>
            </w:r>
          </w:p>
        </w:tc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Rol</w:t>
            </w:r>
          </w:p>
        </w:tc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Qué puede hacer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acad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ACADÉMICO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Panel de riesgo, inteligencia institucional y chat académico</w:t>
            </w:r>
          </w:p>
        </w:tc>
      </w:tr>
      <w:tr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clec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ADMINISTRADOR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Todo, más la gestión de usuarios y la auditoría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cont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CONTABILIDAD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Módulos de finanzas y ventas (no ve datos académicos)</w:t>
            </w:r>
          </w:p>
        </w:tc>
      </w:tr>
      <w:tr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rrhh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RRHH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Módulo de talento humano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logi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LOGÍSTICA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Módulo de operaciones</w:t>
            </w:r>
          </w:p>
        </w:tc>
      </w:tr>
      <w:tr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demo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INVITADO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Demostración con datos ficticios, sin conectarse a ninguna base</w:t>
            </w:r>
          </w:p>
        </w:tc>
      </w:tr>
    </w:tbl>
    <w:p>
      <w:pPr>
        <w:spacing w:after="40"/>
      </w:pPr>
    </w:p>
    <w:p>
      <w:r>
        <w:rPr/>
        <w:t>Para la cuenta protegida del desarrollador (opcional), la contraseña se pasa explícitamente:</w:t>
      </w:r>
    </w:p>
    <w:p>
      <w:pPr>
        <w:shd w:val="clear" w:color="auto" w:fill="F2F4F6"/>
        <w:ind w:left="170"/>
      </w:pPr>
      <w:r>
        <w:rPr>
          <w:rFonts w:ascii="Consolas" w:hAnsi="Consolas"/>
          <w:sz w:val="17"/>
        </w:rPr>
        <w:t>cd codigo_fuente\backend</w:t>
        <w:br/>
        <w:t>venv\Scripts\python.exe scripts\crear_usuario_desarrollador.py --password "&lt;clave de 8 o más caracteres&gt;"</w:t>
      </w:r>
    </w:p>
    <w:p>
      <w:pPr>
        <w:pStyle w:val="Heading2"/>
      </w:pPr>
      <w:r>
        <w:t>7. Encender el sistema</w:t>
      </w:r>
    </w:p>
    <w:p>
      <w:r>
        <w:rPr/>
        <w:t>Instale las dependencias del frontend la primera vez:</w:t>
      </w:r>
    </w:p>
    <w:p>
      <w:pPr>
        <w:shd w:val="clear" w:color="auto" w:fill="F2F4F6"/>
        <w:ind w:left="170"/>
      </w:pPr>
      <w:r>
        <w:rPr>
          <w:rFonts w:ascii="Consolas" w:hAnsi="Consolas"/>
          <w:sz w:val="17"/>
        </w:rPr>
        <w:t>cd codigo_fuente\frontend</w:t>
        <w:br/>
        <w:t>npm install</w:t>
      </w:r>
    </w:p>
    <w:p>
      <w:r>
        <w:rPr/>
        <w:t>Luego, cada vez que quiera usar el sistema:</w:t>
      </w:r>
    </w:p>
    <w:p>
      <w:pPr>
        <w:shd w:val="clear" w:color="auto" w:fill="F2F4F6"/>
        <w:ind w:left="170"/>
      </w:pPr>
      <w:r>
        <w:rPr>
          <w:rFonts w:ascii="Consolas" w:hAnsi="Consolas"/>
          <w:sz w:val="17"/>
        </w:rPr>
        <w:t>docker start vicmar-sqlserver                     # 1. base de datos</w:t>
        <w:br/>
        <w:t>cd codigo_fuente\frontend; npm run dev:backend    # 2. backend (terminal 1, déjela abierta)</w:t>
        <w:br/>
        <w:t>cd codigo_fuente\frontend; npm run dev            # 3. frontend (terminal 2, déjela abierta)</w:t>
      </w:r>
    </w:p>
    <w:p>
      <w:r>
        <w:rPr/>
        <w:t xml:space="preserve">Abra </w:t>
      </w:r>
      <w:r>
        <w:rPr/>
        <w:t>http://localhost:3000</w:t>
      </w:r>
      <w:r>
        <w:rPr/>
        <w:t xml:space="preserve"> en el navegador. Para apagar: cierre las dos terminales y ejecute </w:t>
      </w:r>
      <w:r>
        <w:rPr>
          <w:rFonts w:ascii="Consolas" w:hAnsi="Consolas"/>
          <w:color w:val="002E45"/>
          <w:sz w:val="19"/>
        </w:rPr>
        <w:t>docker stop vicmar-sqlserver</w:t>
      </w:r>
      <w:r>
        <w:rPr/>
        <w:t>.</w:t>
      </w:r>
    </w:p>
    <w:p>
      <w:pPr>
        <w:pStyle w:val="Heading2"/>
      </w:pPr>
      <w:r>
        <w:t>8. Verificación de la instalación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35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Qué comprobar</w:t>
            </w:r>
          </w:p>
        </w:tc>
        <w:tc>
          <w:tcPr>
            <w:tcW w:type="dxa" w:w="235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Cómo</w:t>
            </w:r>
          </w:p>
        </w:tc>
        <w:tc>
          <w:tcPr>
            <w:tcW w:type="dxa" w:w="2351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Resultado esperado</w:t>
            </w:r>
          </w:p>
        </w:tc>
      </w:tr>
      <w:tr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El backend está vivo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 xml:space="preserve">Abrir </w:t>
            </w:r>
            <w:r>
              <w:rPr>
                <w:sz w:val="19"/>
              </w:rPr>
              <w:t>http://127.0.0.1:8090/api/health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{"status":"online", ...}</w:t>
            </w:r>
          </w:p>
        </w:tc>
      </w:tr>
      <w:tr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La API está documentada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Abrir </w:t>
            </w:r>
            <w:r>
              <w:rPr>
                <w:sz w:val="19"/>
              </w:rPr>
              <w:t>http://127.0.0.1:8090/docs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Página «Swagger UI» con las rutas de la API</w:t>
            </w:r>
          </w:p>
        </w:tc>
      </w:tr>
      <w:tr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Inicio de sesión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 xml:space="preserve">Entrar con </w:t>
            </w:r>
            <w:r>
              <w:rPr>
                <w:rFonts w:ascii="Consolas" w:hAnsi="Consolas"/>
                <w:color w:val="002E45"/>
                <w:sz w:val="19"/>
              </w:rPr>
              <w:t>acad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Aparece el área de consulta con «Academia · ACADÉMICO» arriba a la derecha</w:t>
            </w:r>
          </w:p>
        </w:tc>
      </w:tr>
      <w:tr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Conexión a la base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Seguir el </w:t>
            </w:r>
            <w:r>
              <w:rPr>
                <w:sz w:val="19"/>
              </w:rPr>
              <w:t>Manual de usuario, sección 3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«Conexión establecida con localhost,1433» y 4 bases detectadas</w:t>
            </w:r>
          </w:p>
        </w:tc>
      </w:tr>
      <w:tr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Panel de riesgo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 xml:space="preserve">Elegir </w:t>
            </w:r>
            <w:r>
              <w:rPr>
                <w:rFonts w:ascii="Consolas" w:hAnsi="Consolas"/>
                <w:color w:val="002E45"/>
                <w:sz w:val="19"/>
              </w:rPr>
              <w:t>UNEMI_PRUEBAS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Indicadores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Tarjeta «Riesgo de abandono estudiantil» con alumnos ALTO, MEDIO y BAJO</w:t>
            </w:r>
          </w:p>
        </w:tc>
      </w:tr>
      <w:tr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Segunda institución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Elegir </w:t>
            </w:r>
            <w:r>
              <w:rPr>
                <w:rFonts w:ascii="Consolas" w:hAnsi="Consolas"/>
                <w:color w:val="002E45"/>
                <w:sz w:val="19"/>
              </w:rPr>
              <w:t>OULAD_PRUEBAS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Indicadores</w:t>
            </w:r>
          </w:p>
        </w:tc>
        <w:tc>
          <w:tcPr>
            <w:tcW w:type="dxa" w:w="2351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El mismo panel con estudiantes «Estudiante OU …»</w:t>
            </w:r>
          </w:p>
        </w:tc>
      </w:tr>
      <w:tr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Chat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Preguntar «¿Cuántos alumnos hay en cada nivel de riesgo de abandono?»</w:t>
            </w:r>
          </w:p>
        </w:tc>
        <w:tc>
          <w:tcPr>
            <w:tcW w:type="dxa" w:w="2351"/>
          </w:tcPr>
          <w:p>
            <w:pPr>
              <w:spacing w:after="0"/>
            </w:pPr>
            <w:r/>
            <w:r>
              <w:rPr>
                <w:sz w:val="19"/>
              </w:rPr>
              <w:t>Tabla con ALTO, MEDIO, BAJO y el total</w:t>
            </w:r>
          </w:p>
        </w:tc>
      </w:tr>
    </w:tbl>
    <w:p>
      <w:pPr>
        <w:spacing w:after="40"/>
      </w:pPr>
    </w:p>
    <w:p>
      <w:r>
        <w:rPr/>
        <w:t xml:space="preserve">La </w:t>
      </w:r>
      <w:r>
        <w:rPr/>
        <w:t>Guía de pruebas de aceptación</w:t>
      </w:r>
      <w:r>
        <w:rPr/>
        <w:t xml:space="preserve"> amplía esta verificación con todos los casos de prueba.</w:t>
      </w:r>
    </w:p>
    <w:p>
      <w:pPr>
        <w:pStyle w:val="Heading2"/>
      </w:pPr>
      <w:r>
        <w:t>9. Pruebas automáticas</w:t>
      </w:r>
    </w:p>
    <w:p>
      <w:pPr>
        <w:shd w:val="clear" w:color="auto" w:fill="F2F4F6"/>
        <w:ind w:left="170"/>
      </w:pPr>
      <w:r>
        <w:rPr>
          <w:rFonts w:ascii="Consolas" w:hAnsi="Consolas"/>
          <w:sz w:val="17"/>
        </w:rPr>
        <w:t>cd codigo_fuente\backend</w:t>
        <w:br/>
        <w:t>venv\Scripts\python.exe -m pytest                       # backend: unitarias e integración</w:t>
        <w:br/>
        <w:t>venv\Scripts\python.exe -m eval.evaluar_nl2sql          # 40 preguntas de referencia (usa cuota de IA)</w:t>
        <w:br/>
        <w:br/>
        <w:t>cd ..\frontend</w:t>
        <w:br/>
        <w:t>npm test                                                # frontend (vitest)</w:t>
        <w:br/>
        <w:t>npm run build                                           # compilación de producción</w:t>
      </w:r>
    </w:p>
    <w:p>
      <w:r>
        <w:rPr/>
        <w:t xml:space="preserve">Resultado esperado del backend: todas las pruebas en verde; las de integración se omiten si SQL Server no está disponible. En GitHub las mismas pruebas corren solas con cada cambio (insignia </w:t>
      </w:r>
      <w:r>
        <w:rPr>
          <w:b/>
        </w:rPr>
        <w:t>CI</w:t>
      </w:r>
      <w:r>
        <w:rPr/>
        <w:t xml:space="preserve"> del README).</w:t>
      </w:r>
    </w:p>
    <w:p>
      <w:pPr>
        <w:pStyle w:val="Heading2"/>
      </w:pPr>
      <w:r>
        <w:t>10. Respaldo y restauración de la base</w:t>
      </w:r>
    </w:p>
    <w:p>
      <w:r>
        <w:rPr/>
        <w:t>Respaldo del contenedor completo (bases, usuarios y modelos cargados):</w:t>
      </w:r>
    </w:p>
    <w:p>
      <w:pPr>
        <w:shd w:val="clear" w:color="auto" w:fill="F2F4F6"/>
        <w:ind w:left="170"/>
      </w:pPr>
      <w:r>
        <w:rPr>
          <w:rFonts w:ascii="Consolas" w:hAnsi="Consolas"/>
          <w:sz w:val="17"/>
        </w:rPr>
        <w:t>docker commit vicmar-sqlserver vicmar-sqlserver-respaldo:AAAA-MM-DD</w:t>
        <w:br/>
        <w:t>docker save -o vicmar-respaldo-AAAA-MM-DD.tar vicmar-sqlserver-respaldo:AAAA-MM-DD</w:t>
      </w:r>
    </w:p>
    <w:p>
      <w:r>
        <w:rPr/>
        <w:t xml:space="preserve">Restauración: igual que la </w:t>
      </w:r>
      <w:r>
        <w:rPr/>
        <w:t>opción B del paso 5</w:t>
      </w:r>
      <w:r>
        <w:rPr/>
        <w:t xml:space="preserve">, con el archivo </w:t>
      </w:r>
      <w:r>
        <w:rPr>
          <w:rFonts w:ascii="Consolas" w:hAnsi="Consolas"/>
          <w:color w:val="002E45"/>
          <w:sz w:val="19"/>
        </w:rPr>
        <w:t>.tar</w:t>
      </w:r>
      <w:r>
        <w:rPr/>
        <w:t xml:space="preserve"> del respaldo.</w:t>
      </w:r>
    </w:p>
    <w:p>
      <w:pPr>
        <w:pStyle w:val="Heading2"/>
      </w:pPr>
      <w:r>
        <w:t>11. Solución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Problema</w:t>
            </w:r>
          </w:p>
        </w:tc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Causa probable</w:t>
            </w:r>
          </w:p>
        </w:tc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Solución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 xml:space="preserve">Error de </w:t>
            </w:r>
            <w:r>
              <w:rPr>
                <w:rFonts w:ascii="Consolas" w:hAnsi="Consolas"/>
                <w:color w:val="002E45"/>
                <w:sz w:val="19"/>
              </w:rPr>
              <w:t>pyodbc</w:t>
            </w:r>
            <w:r>
              <w:rPr>
                <w:sz w:val="19"/>
              </w:rPr>
              <w:t xml:space="preserve"> u «ODBC Driver» al iniciar el backend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Falta el ODBC Driver 18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Instalarlo (requisito 4) y abrir una terminal nueva</w:t>
            </w:r>
          </w:p>
        </w:tc>
      </w:tr>
      <w:tr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«Conexión rechazada» o «Tiempo de espera agotado» al conectar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El contenedor está apagado o la contraseña no coincide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docker ps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/>
                <w:color w:val="002E45"/>
                <w:sz w:val="19"/>
              </w:rPr>
              <w:t>docker start vicmar-sqlserver</w:t>
            </w:r>
            <w:r>
              <w:rPr>
                <w:sz w:val="19"/>
              </w:rPr>
              <w:t xml:space="preserve">; revisar </w:t>
            </w:r>
            <w:r>
              <w:rPr>
                <w:rFonts w:ascii="Consolas" w:hAnsi="Consolas"/>
                <w:color w:val="002E45"/>
                <w:sz w:val="19"/>
              </w:rPr>
              <w:t>DB_PASSWORD</w:t>
            </w:r>
            <w:r>
              <w:rPr>
                <w:sz w:val="19"/>
              </w:rPr>
              <w:t xml:space="preserve"> en </w:t>
            </w:r>
            <w:r>
              <w:rPr>
                <w:rFonts w:ascii="Consolas" w:hAnsi="Consolas"/>
                <w:color w:val="002E45"/>
                <w:sz w:val="19"/>
              </w:rPr>
              <w:t>.env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El contenedor se detiene al crearlo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 xml:space="preserve">La contraseña de </w:t>
            </w:r>
            <w:r>
              <w:rPr>
                <w:rFonts w:ascii="Consolas" w:hAnsi="Consolas"/>
                <w:color w:val="002E45"/>
                <w:sz w:val="19"/>
              </w:rPr>
              <w:t>sa</w:t>
            </w:r>
            <w:r>
              <w:rPr>
                <w:sz w:val="19"/>
              </w:rPr>
              <w:t xml:space="preserve"> no cumple la política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Volver a crearlo con una contraseña más fuerte</w:t>
            </w:r>
          </w:p>
        </w:tc>
      </w:tr>
      <w:tr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Docker Desktop no arranca y habla de </w:t>
            </w:r>
            <w:r>
              <w:rPr>
                <w:rFonts w:ascii="Consolas" w:hAnsi="Consolas"/>
                <w:color w:val="002E45"/>
                <w:sz w:val="19"/>
              </w:rPr>
              <w:t>dockerInference</w:t>
            </w:r>
            <w:r>
              <w:rPr>
                <w:sz w:val="19"/>
              </w:rPr>
              <w:t xml:space="preserve"> o </w:t>
            </w:r>
            <w:r>
              <w:rPr>
                <w:rFonts w:ascii="Consolas" w:hAnsi="Consolas"/>
                <w:color w:val="002E45"/>
                <w:sz w:val="19"/>
              </w:rPr>
              <w:t>engine.sock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Archivos de comunicación dañados tras un apagado brusco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Cerrar Docker Desktop y </w:t>
            </w:r>
            <w:r>
              <w:rPr>
                <w:b/>
                <w:sz w:val="19"/>
              </w:rPr>
              <w:t>renombrar</w:t>
            </w:r>
            <w:r>
              <w:rPr>
                <w:sz w:val="19"/>
              </w:rPr>
              <w:t xml:space="preserve"> (no borrar) las carpetas </w:t>
            </w:r>
            <w:r>
              <w:rPr>
                <w:rFonts w:ascii="Consolas" w:hAnsi="Consolas"/>
                <w:color w:val="002E45"/>
                <w:sz w:val="19"/>
              </w:rPr>
              <w:t>%LOCALAPPDATA%\Docker\run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color w:val="002E45"/>
                <w:sz w:val="19"/>
              </w:rPr>
              <w:t>%LOCALAPPDATA%\docker-secrets-engine</w:t>
            </w:r>
            <w:r>
              <w:rPr>
                <w:sz w:val="19"/>
              </w:rPr>
              <w:t xml:space="preserve">; volver a abrirlo. </w:t>
            </w:r>
            <w:r>
              <w:rPr>
                <w:b/>
                <w:sz w:val="19"/>
              </w:rPr>
              <w:t>Nunca</w:t>
            </w:r>
            <w:r>
              <w:rPr>
                <w:sz w:val="19"/>
              </w:rPr>
              <w:t xml:space="preserve"> usar «Reset to factory defaults»: borra el contenedor con todas las bases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 xml:space="preserve">Puerto </w:t>
            </w:r>
            <w:r>
              <w:rPr>
                <w:rFonts w:ascii="Consolas" w:hAnsi="Consolas"/>
                <w:color w:val="002E45"/>
                <w:sz w:val="19"/>
              </w:rPr>
              <w:t>8080</w:t>
            </w:r>
            <w:r>
              <w:rPr>
                <w:sz w:val="19"/>
              </w:rPr>
              <w:t xml:space="preserve"> ocupado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Otro programa lo usa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 xml:space="preserve">Este sistema usa el </w:t>
            </w:r>
            <w:r>
              <w:rPr>
                <w:rFonts w:ascii="Consolas" w:hAnsi="Consolas"/>
                <w:color w:val="002E45"/>
                <w:sz w:val="19"/>
              </w:rPr>
              <w:t>8090</w:t>
            </w:r>
            <w:r>
              <w:rPr>
                <w:sz w:val="19"/>
              </w:rPr>
              <w:t xml:space="preserve"> para el backend; no cambie ese valor salvo que también esté ocupado</w:t>
            </w:r>
          </w:p>
        </w:tc>
      </w:tr>
      <w:tr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Puerto </w:t>
            </w:r>
            <w:r>
              <w:rPr>
                <w:rFonts w:ascii="Consolas" w:hAnsi="Consolas"/>
                <w:color w:val="002E45"/>
                <w:sz w:val="19"/>
              </w:rPr>
              <w:t>1433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002E45"/>
                <w:sz w:val="19"/>
              </w:rPr>
              <w:t>3000</w:t>
            </w:r>
            <w:r>
              <w:rPr>
                <w:sz w:val="19"/>
              </w:rPr>
              <w:t xml:space="preserve"> u </w:t>
            </w:r>
            <w:r>
              <w:rPr>
                <w:rFonts w:ascii="Consolas" w:hAnsi="Consolas"/>
                <w:color w:val="002E45"/>
                <w:sz w:val="19"/>
              </w:rPr>
              <w:t>8090</w:t>
            </w:r>
            <w:r>
              <w:rPr>
                <w:sz w:val="19"/>
              </w:rPr>
              <w:t xml:space="preserve"> ocupado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Otro programa usa el puerto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Cambiar el mapeo de Docker (</w:t>
            </w:r>
            <w:r>
              <w:rPr>
                <w:rFonts w:ascii="Consolas" w:hAnsi="Consolas"/>
                <w:color w:val="002E45"/>
                <w:sz w:val="19"/>
              </w:rPr>
              <w:t>-p 14330:1433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color w:val="002E45"/>
                <w:sz w:val="19"/>
              </w:rPr>
              <w:t>DB_HOST=localhost,14330</w:t>
            </w:r>
            <w:r>
              <w:rPr>
                <w:sz w:val="19"/>
              </w:rPr>
              <w:t xml:space="preserve">), el puerto de </w:t>
            </w:r>
            <w:r>
              <w:rPr>
                <w:rFonts w:ascii="Consolas" w:hAnsi="Consolas"/>
                <w:color w:val="002E45"/>
                <w:sz w:val="19"/>
              </w:rPr>
              <w:t>vite.config.ts</w:t>
            </w:r>
            <w:r>
              <w:rPr>
                <w:sz w:val="19"/>
              </w:rPr>
              <w:t xml:space="preserve"> o el </w:t>
            </w:r>
            <w:r>
              <w:rPr>
                <w:rFonts w:ascii="Consolas" w:hAnsi="Consolas"/>
                <w:color w:val="002E45"/>
                <w:sz w:val="19"/>
              </w:rPr>
              <w:t>--port</w:t>
            </w:r>
            <w:r>
              <w:rPr>
                <w:sz w:val="19"/>
              </w:rPr>
              <w:t xml:space="preserve"> de </w:t>
            </w:r>
            <w:r>
              <w:rPr>
                <w:rFonts w:ascii="Consolas" w:hAnsi="Consolas"/>
                <w:color w:val="002E45"/>
                <w:sz w:val="19"/>
              </w:rPr>
              <w:t>dev:backend</w:t>
            </w:r>
            <w:r>
              <w:rPr>
                <w:sz w:val="19"/>
              </w:rPr>
              <w:t xml:space="preserve"> junto con </w:t>
            </w:r>
            <w:r>
              <w:rPr>
                <w:rFonts w:ascii="Consolas" w:hAnsi="Consolas"/>
                <w:color w:val="002E45"/>
                <w:sz w:val="19"/>
              </w:rPr>
              <w:t>VITE_BACKEND_URL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El chat responde con un aviso de que ningún proveedor de IA está disponible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Sin claves o cuota agotada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 xml:space="preserve">Agregar otra clave gratuita en </w:t>
            </w:r>
            <w:r>
              <w:rPr>
                <w:rFonts w:ascii="Consolas" w:hAnsi="Consolas"/>
                <w:color w:val="002E45"/>
                <w:sz w:val="19"/>
              </w:rPr>
              <w:t>.env</w:t>
            </w:r>
            <w:r>
              <w:rPr>
                <w:sz w:val="19"/>
              </w:rPr>
              <w:t xml:space="preserve"> o esperar a que se renueve la cuota del día</w:t>
            </w:r>
          </w:p>
        </w:tc>
      </w:tr>
      <w:tr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El panel de riesgo no aparece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El usuario no tiene el rol ACADÉMICO o ADMINISTRADOR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Entrar con </w:t>
            </w:r>
            <w:r>
              <w:rPr>
                <w:rFonts w:ascii="Consolas" w:hAnsi="Consolas"/>
                <w:color w:val="002E45"/>
                <w:sz w:val="19"/>
              </w:rPr>
              <w:t>acad</w:t>
            </w:r>
            <w:r>
              <w:rPr>
                <w:sz w:val="19"/>
              </w:rPr>
              <w:t xml:space="preserve"> o con un administrador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ModuleNotFoundError</w:t>
            </w:r>
            <w:r>
              <w:rPr>
                <w:sz w:val="19"/>
              </w:rPr>
              <w:t xml:space="preserve"> al ejecutar un script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Se usó el Python del sistema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 xml:space="preserve">Usar </w:t>
            </w:r>
            <w:r>
              <w:rPr>
                <w:rFonts w:ascii="Consolas" w:hAnsi="Consolas"/>
                <w:color w:val="002E45"/>
                <w:sz w:val="19"/>
              </w:rPr>
              <w:t>codigo_fuente\backend\venv\Scripts\python.exe</w:t>
            </w:r>
          </w:p>
        </w:tc>
      </w:tr>
      <w:tr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El pipeline se detiene en OULAD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Faltan los CSV en </w:t>
            </w:r>
            <w:r>
              <w:rPr>
                <w:rFonts w:ascii="Consolas" w:hAnsi="Consolas"/>
                <w:color w:val="002E45"/>
                <w:sz w:val="19"/>
              </w:rPr>
              <w:t>datos\externos\oulad\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Descargarlos (ver </w:t>
            </w:r>
            <w:r>
              <w:rPr>
                <w:rFonts w:ascii="Consolas" w:hAnsi="Consolas"/>
                <w:color w:val="002E45"/>
                <w:sz w:val="19"/>
              </w:rPr>
              <w:t>datos/README.md</w:t>
            </w:r>
            <w:r>
              <w:rPr>
                <w:sz w:val="19"/>
              </w:rPr>
              <w:t>)</w:t>
            </w:r>
          </w:p>
        </w:tc>
      </w:tr>
    </w:tbl>
    <w:p>
      <w:pPr>
        <w:spacing w:after="40"/>
      </w:pPr>
    </w:p>
    <w:p>
      <w:pPr>
        <w:pStyle w:val="Heading2"/>
      </w:pPr>
      <w:r>
        <w:t>12. Seguridad y privacidad</w:t>
      </w:r>
    </w:p>
    <w:p>
      <w:pPr>
        <w:pStyle w:val="ListBullet"/>
      </w:pPr>
      <w:r>
        <w:rPr>
          <w:b/>
        </w:rPr>
        <w:t>Credenciales:</w:t>
      </w:r>
      <w:r>
        <w:rPr/>
        <w:t xml:space="preserve"> </w:t>
      </w:r>
      <w:r>
        <w:rPr>
          <w:rFonts w:ascii="Consolas" w:hAnsi="Consolas"/>
          <w:color w:val="002E45"/>
          <w:sz w:val="19"/>
        </w:rPr>
        <w:t>.env</w:t>
      </w:r>
      <w:r>
        <w:rPr/>
        <w:t xml:space="preserve">, </w:t>
      </w:r>
      <w:r>
        <w:rPr>
          <w:rFonts w:ascii="Consolas" w:hAnsi="Consolas"/>
          <w:color w:val="002E45"/>
          <w:sz w:val="19"/>
        </w:rPr>
        <w:t>security_config.json</w:t>
      </w:r>
      <w:r>
        <w:rPr/>
        <w:t xml:space="preserve"> y </w:t>
      </w:r>
      <w:r>
        <w:rPr>
          <w:rFonts w:ascii="Consolas" w:hAnsi="Consolas"/>
          <w:color w:val="002E45"/>
          <w:sz w:val="19"/>
        </w:rPr>
        <w:t>usuarios_prueba.local.json</w:t>
      </w:r>
      <w:r>
        <w:rPr/>
        <w:t xml:space="preserve"> nunca se suben al repositorio. Cambie las contraseñas de </w:t>
      </w:r>
      <w:r>
        <w:rPr>
          <w:rFonts w:ascii="Consolas" w:hAnsi="Consolas"/>
          <w:color w:val="002E45"/>
          <w:sz w:val="19"/>
        </w:rPr>
        <w:t>sa</w:t>
      </w:r>
      <w:r>
        <w:rPr/>
        <w:t xml:space="preserve">, </w:t>
      </w:r>
      <w:r>
        <w:rPr>
          <w:rFonts w:ascii="Consolas" w:hAnsi="Consolas"/>
          <w:color w:val="002E45"/>
          <w:sz w:val="19"/>
        </w:rPr>
        <w:t>chat_reader</w:t>
      </w:r>
      <w:r>
        <w:rPr/>
        <w:t xml:space="preserve"> y de los usuarios antes de usar el sistema con datos reales.</w:t>
      </w:r>
    </w:p>
    <w:p>
      <w:pPr>
        <w:pStyle w:val="ListBullet"/>
      </w:pPr>
      <w:r>
        <w:rPr>
          <w:b/>
        </w:rPr>
        <w:t>Solo lectura para la IA:</w:t>
      </w:r>
      <w:r>
        <w:rPr/>
        <w:t xml:space="preserve"> el SQL que genera la IA se ejecuta con </w:t>
      </w:r>
      <w:r>
        <w:rPr>
          <w:rFonts w:ascii="Consolas" w:hAnsi="Consolas"/>
          <w:color w:val="002E45"/>
          <w:sz w:val="19"/>
        </w:rPr>
        <w:t>chat_reader</w:t>
      </w:r>
      <w:r>
        <w:rPr/>
        <w:t xml:space="preserve">, que solo puede leer las vistas </w:t>
      </w:r>
      <w:r>
        <w:rPr>
          <w:rFonts w:ascii="Consolas" w:hAnsi="Consolas"/>
          <w:color w:val="002E45"/>
          <w:sz w:val="19"/>
        </w:rPr>
        <w:t>VIS_*</w:t>
      </w:r>
      <w:r>
        <w:rPr/>
        <w:t>. Cada vista se filtra por la institución de la sesión; sin institución no devuelve nada.</w:t>
      </w:r>
    </w:p>
    <w:p>
      <w:pPr>
        <w:pStyle w:val="ListBullet"/>
      </w:pPr>
      <w:r>
        <w:rPr>
          <w:b/>
        </w:rPr>
        <w:t>Datos de prueba:</w:t>
      </w:r>
      <w:r>
        <w:rPr/>
        <w:t xml:space="preserve"> </w:t>
      </w:r>
      <w:r>
        <w:rPr>
          <w:rFonts w:ascii="Consolas" w:hAnsi="Consolas"/>
          <w:color w:val="002E45"/>
          <w:sz w:val="19"/>
        </w:rPr>
        <w:t>UNEMI_PRUEBAS</w:t>
      </w:r>
      <w:r>
        <w:rPr/>
        <w:t xml:space="preserve"> es sintético y anonimizado (nombres ficticios; cédulas con el código de provincia «00», que el Registro Civil no asigna). OULAD es público y anónimo (CC BY 4.0).</w:t>
      </w:r>
    </w:p>
    <w:p>
      <w:pPr>
        <w:pStyle w:val="ListBullet"/>
      </w:pPr>
      <w:r>
        <w:rPr>
          <w:b/>
        </w:rPr>
        <w:t>Datos personales:</w:t>
      </w:r>
      <w:r>
        <w:rPr/>
        <w:t xml:space="preserve"> antes de enviar resultados a un proveedor externo de IA, el sistema reemplaza cédulas y nombres por seudónimos; en pantalla la cédula siempre aparece enmascarada.</w:t>
      </w:r>
    </w:p>
    <w:p>
      <w:pPr>
        <w:pStyle w:val="ListBullet"/>
      </w:pPr>
      <w:r>
        <w:rPr>
          <w:b/>
        </w:rPr>
        <w:t>Sesiones:</w:t>
      </w:r>
      <w:r>
        <w:rPr/>
        <w:t xml:space="preserve"> se cierran solas tras 30 minutos sin actividad.</w:t>
      </w:r>
    </w:p>
    <w:p>
      <w:pPr>
        <w:pStyle w:val="Heading2"/>
      </w:pPr>
      <w:r>
        <w:t>13. Referencia rápida</w:t>
      </w:r>
    </w:p>
    <w:p>
      <w:pPr>
        <w:shd w:val="clear" w:color="auto" w:fill="F2F4F6"/>
        <w:ind w:left="170"/>
      </w:pPr>
      <w:r>
        <w:rPr>
          <w:rFonts w:ascii="Consolas" w:hAnsi="Consolas"/>
          <w:sz w:val="17"/>
        </w:rPr>
        <w:t>docker start vicmar-sqlserver                      # encender la base de datos</w:t>
        <w:br/>
        <w:t>cd codigo_fuente\frontend; npm run dev:backend     # backend (terminal 1)</w:t>
        <w:br/>
        <w:t>cd codigo_fuente\frontend; npm run dev             # frontend (terminal 2)</w:t>
        <w:br/>
        <w:t>docker stop vicmar-sqlserver                       # apagar la base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type="dxa" w:w="4703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Dirección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Aplicación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http://localhost:3000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Salud del backend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http://127.0.0.1:8090/api/health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Documentación de la API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http://127.0.0.1:8090/docs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SQL Server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rFonts w:ascii="Consolas" w:hAnsi="Consolas"/>
                <w:color w:val="002E45"/>
                <w:sz w:val="19"/>
              </w:rPr>
              <w:t>localhost,1433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0"/>
      <w:footerReference w:type="default" r:id="rId11"/>
      <w:pgSz w:w="12240" w:h="15840"/>
      <w:pgMar w:top="1417" w:right="1417" w:bottom="124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7385"/>
        <w:sz w:val="17"/>
      </w:rPr>
      <w:t xml:space="preserve">Universidad Estatal de Milagro · Página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B7385"/>
        <w:sz w:val="17"/>
      </w:rPr>
      <w:t>VicMar Data AI · Manual técnico de instalación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2E4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2E4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FF69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de instalación — VicMar Data AI</dc:title>
  <dc:subject>Proyecto de titulación · Universidad Estatal de Milagro</dc:subject>
  <dc:creator>Marlon David Pérez Almachi; Víctor Manuel Lluilema Pisco</dc:creator>
  <cp:keywords/>
  <dc:description>generated by python-docx</dc:description>
  <cp:lastModifiedBy>Marlon David Pérez Almachi</cp:lastModifiedBy>
  <cp:revision>1</cp:revision>
  <dcterms:created xsi:type="dcterms:W3CDTF">2013-12-23T23:15:00Z</dcterms:created>
  <dcterms:modified xsi:type="dcterms:W3CDTF">2013-12-23T23:15:00Z</dcterms:modified>
  <cp:category/>
</cp:coreProperties>
</file>