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que este documento reflita 100% da arquitetura real e blindada que estruturamos na nossa conversa, a equipe de desenvolvimento precisa de alterações profundas em </w:t>
      </w:r>
      <w:r w:rsidDel="00000000" w:rsidR="00000000" w:rsidRPr="00000000">
        <w:rPr>
          <w:b w:val="1"/>
          <w:bCs w:val="1"/>
          <w:rtl w:val="0"/>
        </w:rPr>
        <w:t xml:space="preserve">quatro seções estratégicas</w:t>
      </w:r>
      <w:r w:rsidDel="00000000" w:rsidR="00000000" w:rsidRPr="00000000">
        <w:rPr>
          <w:rtl w:val="0"/>
        </w:rPr>
        <w:t xml:space="preserve"> (Fases 3, 5, 6 e 7).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jeito que o PDF original está escrito, ele assume um modelo Web3 puro e direto (onde o token nasce direto na Stellar, o usuário interage pagando taxas e o dinheiro flutua sem lastro nacional). Precisamos "aterrar" esse documento na realidade de </w:t>
      </w:r>
      <w:r w:rsidDel="00000000" w:rsidR="00000000" w:rsidRPr="00000000">
        <w:rPr>
          <w:b w:val="1"/>
          <w:bCs w:val="1"/>
          <w:rtl w:val="0"/>
        </w:rPr>
        <w:t xml:space="preserve">baixo custo de XLM, uso da Etherfuse/Tesouro Direto, desvio do yield social e abstração de conta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Aqui estão as modificações exatas que você deve pedir para a equipe atualizar no documento: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Modificação 1: Seção 3.3 (Fase 3: Tokenização na Blockchain Stellar)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 está hoje:</w:t>
      </w:r>
      <w:r w:rsidDel="00000000" w:rsidR="00000000" w:rsidRPr="00000000">
        <w:rPr>
          <w:rtl w:val="0"/>
        </w:rPr>
        <w:t xml:space="preserve"> O texto diz apenas que o Smart Contract Soroban faz o mint de tokens no estado "BLOQUEADO". </w:t>
      </w:r>
      <w:r w:rsidDel="00000000" w:rsidR="00000000" w:rsidRPr="00000000">
        <w:rPr>
          <w:b w:val="1"/>
          <w:bCs w:val="1"/>
          <w:rtl w:val="0"/>
        </w:rPr>
        <w:t xml:space="preserve">O que precisa ajustar:</w:t>
      </w:r>
      <w:r w:rsidDel="00000000" w:rsidR="00000000" w:rsidRPr="00000000">
        <w:rPr>
          <w:rtl w:val="0"/>
        </w:rPr>
        <w:t xml:space="preserve"> Adicionar a </w:t>
      </w:r>
      <w:r w:rsidDel="00000000" w:rsidR="00000000" w:rsidRPr="00000000">
        <w:rPr>
          <w:b w:val="1"/>
          <w:bCs w:val="1"/>
          <w:rtl w:val="0"/>
        </w:rPr>
        <w:t xml:space="preserve">Camada de Infraestrutura Financeira e o Modelo de Contas Otimizado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Inserir Subitem - Arquitetura de Contas Patrocinadas (Sponsored Reserves):</w:t>
      </w:r>
      <w:r w:rsidDel="00000000" w:rsidR="00000000" w:rsidRPr="00000000">
        <w:rPr>
          <w:rtl w:val="0"/>
        </w:rPr>
        <w:t xml:space="preserve"> Explicar que a criação da sub-conta do Produtor e as respectivas </w:t>
      </w:r>
      <w:r w:rsidDel="00000000" w:rsidR="00000000" w:rsidRPr="00000000">
        <w:rPr>
          <w:i w:val="1"/>
          <w:iCs w:val="1"/>
          <w:rtl w:val="0"/>
        </w:rPr>
        <w:t xml:space="preserve">Trustlines</w:t>
      </w:r>
      <w:r w:rsidDel="00000000" w:rsidR="00000000" w:rsidRPr="00000000">
        <w:rPr>
          <w:rtl w:val="0"/>
        </w:rPr>
        <w:t xml:space="preserve"> do token na rede Stellar serão feitas via transação estruturada de patrocínio (BeginSponsoringFutureReserves), garantindo que o SINARCA custeie e retenha a propriedade dos XLMs de reserva mínima, impedindo o gasto desnecessário de capital de giro da plataforma.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Inserir Subitem - Registro de Lastro Financeiro:</w:t>
      </w:r>
      <w:r w:rsidDel="00000000" w:rsidR="00000000" w:rsidRPr="00000000">
        <w:rPr>
          <w:rtl w:val="0"/>
        </w:rPr>
        <w:t xml:space="preserve"> Deixar claro que o </w:t>
      </w:r>
      <w:r w:rsidDel="00000000" w:rsidR="00000000" w:rsidRPr="00000000">
        <w:rPr>
          <w:i w:val="1"/>
          <w:iCs w:val="1"/>
          <w:rtl w:val="0"/>
        </w:rPr>
        <w:t xml:space="preserve">Mint</w:t>
      </w:r>
      <w:r w:rsidDel="00000000" w:rsidR="00000000" w:rsidRPr="00000000">
        <w:rPr>
          <w:rtl w:val="0"/>
        </w:rPr>
        <w:t xml:space="preserve"> dos tokens em estado bloqueado na blockchain Stellar é disparado apenas após a API da </w:t>
      </w:r>
      <w:r w:rsidDel="00000000" w:rsidR="00000000" w:rsidRPr="00000000">
        <w:rPr>
          <w:b w:val="1"/>
          <w:bCs w:val="1"/>
          <w:rtl w:val="0"/>
        </w:rPr>
        <w:t xml:space="preserve">Etherfuse</w:t>
      </w:r>
      <w:r w:rsidDel="00000000" w:rsidR="00000000" w:rsidRPr="00000000">
        <w:rPr>
          <w:rtl w:val="0"/>
        </w:rPr>
        <w:t xml:space="preserve"> confirmar o recebimento do aporte em Reais (via PIX) e a trava equivalente em Letras do Tesouro Nacional (Títulos Públicos/Tesouro Direto).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Modificação 2: Seção 3.5 (Fase 5: Desbloqueio e Disponibilização de Créditos)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 está hoje:</w:t>
      </w:r>
      <w:r w:rsidDel="00000000" w:rsidR="00000000" w:rsidRPr="00000000">
        <w:rPr>
          <w:rtl w:val="0"/>
        </w:rPr>
        <w:t xml:space="preserve"> O token muda para "DISPONÍVEL" e vai direto para um marketplace aberto. </w:t>
      </w:r>
      <w:r w:rsidDel="00000000" w:rsidR="00000000" w:rsidRPr="00000000">
        <w:rPr>
          <w:b w:val="1"/>
          <w:bCs w:val="1"/>
          <w:rtl w:val="0"/>
        </w:rPr>
        <w:t xml:space="preserve">O que precisa ajustar:</w:t>
      </w:r>
      <w:r w:rsidDel="00000000" w:rsidR="00000000" w:rsidRPr="00000000">
        <w:rPr>
          <w:rtl w:val="0"/>
        </w:rPr>
        <w:t xml:space="preserve"> Desacoplamento da camada de liquidez com o </w:t>
      </w:r>
      <w:r w:rsidDel="00000000" w:rsidR="00000000" w:rsidRPr="00000000">
        <w:rPr>
          <w:b w:val="1"/>
          <w:bCs w:val="1"/>
          <w:rtl w:val="0"/>
        </w:rPr>
        <w:t xml:space="preserve">Pattern Adapter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Inserir Subitem - Abstração da Camada de Liquidez (ISinarcaLiquidity):</w:t>
      </w:r>
      <w:r w:rsidDel="00000000" w:rsidR="00000000" w:rsidRPr="00000000">
        <w:rPr>
          <w:rtl w:val="0"/>
        </w:rPr>
        <w:t xml:space="preserve"> Adicionar a especificação técnica de que o contrato de liberação de fundos herda uma interface agnóstica. No cenário atual do MVP, documentar que a chamada de liquidação é operada pelo EtherfuseAdapter (RWA). Adicionar a nota de engenharia informando que o sistema está preparado para portabilidade futura via Proxy para o TransferoAdapter, sem necessidade de migração dos tokens ambientais dos usuários.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Modificação 3: Seção 3.6 (Fase 6: Compra de Créditos) e Inclusão de Nova Seção de Tesouraria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 está hoje:</w:t>
      </w:r>
      <w:r w:rsidDel="00000000" w:rsidR="00000000" w:rsidRPr="00000000">
        <w:rPr>
          <w:rtl w:val="0"/>
        </w:rPr>
        <w:t xml:space="preserve"> O comprador realiza o pagamento e os tokens vão para a conta dele (exigindo que ele tenha uma wallet e gerencie chaves/gas). </w:t>
      </w:r>
      <w:r w:rsidDel="00000000" w:rsidR="00000000" w:rsidRPr="00000000">
        <w:rPr>
          <w:b w:val="1"/>
          <w:bCs w:val="1"/>
          <w:rtl w:val="0"/>
        </w:rPr>
        <w:t xml:space="preserve">O que precisa ajustar:</w:t>
      </w:r>
      <w:r w:rsidDel="00000000" w:rsidR="00000000" w:rsidRPr="00000000">
        <w:rPr>
          <w:rtl w:val="0"/>
        </w:rPr>
        <w:t xml:space="preserve"> Adicionar a </w:t>
      </w:r>
      <w:r w:rsidDel="00000000" w:rsidR="00000000" w:rsidRPr="00000000">
        <w:rPr>
          <w:b w:val="1"/>
          <w:bCs w:val="1"/>
          <w:rtl w:val="0"/>
        </w:rPr>
        <w:t xml:space="preserve">Abstração Web2.5 (Ledger Único)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Mecânica do Impacto Social (Co-benefício)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Ajustar o Fluxo de Custódia do Comprador:</w:t>
      </w:r>
      <w:r w:rsidDel="00000000" w:rsidR="00000000" w:rsidRPr="00000000">
        <w:rPr>
          <w:rtl w:val="0"/>
        </w:rPr>
        <w:t xml:space="preserve"> Para empresas e cidadãos comuns, os tokens comprados não são enviados para carteiras externas nativas. Eles permanecem armazenados em uma </w:t>
      </w:r>
      <w:r w:rsidDel="00000000" w:rsidR="00000000" w:rsidRPr="00000000">
        <w:rPr>
          <w:b w:val="1"/>
          <w:bCs w:val="1"/>
          <w:rtl w:val="0"/>
        </w:rPr>
        <w:t xml:space="preserve">Conta Omnichannel / Ledger Único</w:t>
      </w:r>
      <w:r w:rsidDel="00000000" w:rsidR="00000000" w:rsidRPr="00000000">
        <w:rPr>
          <w:rtl w:val="0"/>
        </w:rPr>
        <w:t xml:space="preserve"> gerenciada de forma centralizada pelo SINARCA. A transferência de propriedade para o usuário final ocorre de forma instantânea off-chain no banco de dados da plataforma, reduzindo o custo de transações na Stellar a quase zero.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Inserir Seção Nova - "3.8 Gestão de Tesouraria e Co-Benefício Social (Yield)":</w:t>
      </w:r>
      <w:r w:rsidDel="00000000" w:rsidR="00000000" w:rsidRPr="00000000">
        <w:rPr>
          <w:i w:val="1"/>
          <w:iCs w:val="1"/>
          <w:rtl w:val="0"/>
        </w:rPr>
        <w:t xml:space="preserve">Especificação:</w:t>
      </w:r>
      <w:r w:rsidDel="00000000" w:rsidR="00000000" w:rsidRPr="00000000">
        <w:rPr>
          <w:rtl w:val="0"/>
        </w:rPr>
        <w:t xml:space="preserve"> O colateral financeiro em Reais mantido sob custódia em Tesouro Direto gera rendimentos diários baseados na taxa Selic. Mensalmente, a plataforma executa a função automatizada de colheita (harvestAndDistributeYield). </w:t>
      </w:r>
      <w:r w:rsidDel="00000000" w:rsidR="00000000" w:rsidRPr="00000000">
        <w:rPr>
          <w:i w:val="1"/>
          <w:iCs w:val="1"/>
          <w:rtl w:val="0"/>
        </w:rPr>
        <w:t xml:space="preserve">Divisão Automática: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do rendimento gerado é direcionado para a carteira operacional do SINARCA (para subsidiar chamadas de API, processamento de IA e custos de satélite);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do rendimento é enviado compulsoriamente para o SocialImpactVault (Carteira de Impacto Social), revertendo o ganho financeiro em melhorias estruturais para a própria comunidade local de onde o crédito foi originado.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Modificação 4: Inclusão de Nova Seção de Interoperabilidade (Fase 8: Projetos Cross-Chain Externos)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 está hoje:</w:t>
      </w:r>
      <w:r w:rsidDel="00000000" w:rsidR="00000000" w:rsidRPr="00000000">
        <w:rPr>
          <w:rtl w:val="0"/>
        </w:rPr>
        <w:t xml:space="preserve"> O documento assume que 100% dos projetos nascem e morrem dentro do SINARCA/Stellar. </w:t>
      </w:r>
      <w:r w:rsidDel="00000000" w:rsidR="00000000" w:rsidRPr="00000000">
        <w:rPr>
          <w:b w:val="1"/>
          <w:bCs w:val="1"/>
          <w:rtl w:val="0"/>
        </w:rPr>
        <w:t xml:space="preserve">O que precisa ajustar:</w:t>
      </w:r>
      <w:r w:rsidDel="00000000" w:rsidR="00000000" w:rsidRPr="00000000">
        <w:rPr>
          <w:rtl w:val="0"/>
        </w:rPr>
        <w:t xml:space="preserve"> Adicionar o modelo para capturar projetos de fora (ex: </w:t>
      </w:r>
      <w:r w:rsidDel="00000000" w:rsidR="00000000" w:rsidRPr="00000000">
        <w:rPr>
          <w:b w:val="1"/>
          <w:bCs w:val="1"/>
          <w:rtl w:val="0"/>
        </w:rPr>
        <w:t xml:space="preserve">Polygon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Inserir Seção Nova - "7.2 Hub de Interoperabilidade Multi-Chain (Lock-and-Mint)":</w:t>
      </w:r>
      <w:r w:rsidDel="00000000" w:rsidR="00000000" w:rsidRPr="00000000">
        <w:rPr>
          <w:i w:val="1"/>
          <w:iCs w:val="1"/>
          <w:rtl w:val="0"/>
        </w:rPr>
        <w:t xml:space="preserve">Especificação:</w:t>
      </w:r>
      <w:r w:rsidDel="00000000" w:rsidR="00000000" w:rsidRPr="00000000">
        <w:rPr>
          <w:rtl w:val="0"/>
        </w:rPr>
        <w:t xml:space="preserve"> Caso uma certificadora parceira possua créditos ambientais já tokenizados em redes EVM (ex: Polygon via padrão ERC-20), a plataforma disponibiliza um fluxo de integração eficiente. </w:t>
      </w:r>
      <w:r w:rsidDel="00000000" w:rsidR="00000000" w:rsidRPr="00000000">
        <w:rPr>
          <w:i w:val="1"/>
          <w:i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A certificadora deposita e trava os ativos em um Smart Contract de cofre (</w:t>
      </w:r>
      <w:r w:rsidDel="00000000" w:rsidR="00000000" w:rsidRPr="00000000">
        <w:rPr>
          <w:i w:val="1"/>
          <w:iCs w:val="1"/>
          <w:rtl w:val="0"/>
        </w:rPr>
        <w:t xml:space="preserve">Vault</w:t>
      </w:r>
      <w:r w:rsidDel="00000000" w:rsidR="00000000" w:rsidRPr="00000000">
        <w:rPr>
          <w:rtl w:val="0"/>
        </w:rPr>
        <w:t xml:space="preserve">) na rede Polygon. O backend do SINARCA captura o evento, valida a autenticidade e emite um token espelho/embrulhado (</w:t>
      </w:r>
      <w:r w:rsidDel="00000000" w:rsidR="00000000" w:rsidRPr="00000000">
        <w:rPr>
          <w:i w:val="1"/>
          <w:iCs w:val="1"/>
          <w:rtl w:val="0"/>
        </w:rPr>
        <w:t xml:space="preserve">Wrapped Token</w:t>
      </w:r>
      <w:r w:rsidDel="00000000" w:rsidR="00000000" w:rsidRPr="00000000">
        <w:rPr>
          <w:rtl w:val="0"/>
        </w:rPr>
        <w:t xml:space="preserve">) na rede Stellar para ser comercializado de forma barata e sem taxas de gas para o usuário final no mercado nacional.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Resumo para passar para o time de desenvolvimento: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"Equipe, precisamos atualizar o PDF operacional. O fluxo de validação via Chip e Satélite continua igual, mas a arquitetura de tokens e financeira agora usa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Contas Patrocinadas na Stellar</w:t>
      </w:r>
      <w:r w:rsidDel="00000000" w:rsidR="00000000" w:rsidRPr="00000000">
        <w:rPr>
          <w:i w:val="1"/>
          <w:iCs w:val="1"/>
          <w:rtl w:val="0"/>
        </w:rPr>
        <w:t xml:space="preserve"> para economizar XLM, as transações de varejo serão 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Ledger Único (Off-chain)</w:t>
      </w:r>
      <w:r w:rsidDel="00000000" w:rsidR="00000000" w:rsidRPr="00000000">
        <w:rPr>
          <w:i w:val="1"/>
          <w:iCs w:val="1"/>
          <w:rtl w:val="0"/>
        </w:rPr>
        <w:t xml:space="preserve">, a liquidação financeira inicial será via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Etherfuse ligada ao Tesouro Direto</w:t>
      </w:r>
      <w:r w:rsidDel="00000000" w:rsidR="00000000" w:rsidRPr="00000000">
        <w:rPr>
          <w:i w:val="1"/>
          <w:iCs w:val="1"/>
          <w:rtl w:val="0"/>
        </w:rPr>
        <w:t xml:space="preserve"> usando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Adapter Pattern</w:t>
      </w:r>
      <w:r w:rsidDel="00000000" w:rsidR="00000000" w:rsidRPr="00000000">
        <w:rPr>
          <w:i w:val="1"/>
          <w:iCs w:val="1"/>
          <w:rtl w:val="0"/>
        </w:rPr>
        <w:t xml:space="preserve"> (pensando em Transfero no futuro), e 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10% do yield do Tesouro</w:t>
      </w:r>
      <w:r w:rsidDel="00000000" w:rsidR="00000000" w:rsidRPr="00000000">
        <w:rPr>
          <w:i w:val="1"/>
          <w:iCs w:val="1"/>
          <w:rtl w:val="0"/>
        </w:rPr>
        <w:t xml:space="preserve"> vão financiar as comunidades do projeto. Além disso, adicionem a especificação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Lock-and-Mint</w:t>
      </w:r>
      <w:r w:rsidDel="00000000" w:rsidR="00000000" w:rsidRPr="00000000">
        <w:rPr>
          <w:i w:val="1"/>
          <w:iCs w:val="1"/>
          <w:rtl w:val="0"/>
        </w:rPr>
        <w:t xml:space="preserve"> para podermos puxar projetos da Polygon se necessário."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