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2517"/>
        <w:gridCol w:w="4107"/>
        <w:gridCol w:w="377"/>
        <w:gridCol w:w="434"/>
        <w:gridCol w:w="393"/>
        <w:gridCol w:w="353"/>
        <w:gridCol w:w="390"/>
        <w:gridCol w:w="576"/>
        <w:gridCol w:w="429"/>
      </w:tblGrid>
      <w:tr w:rsidR="006B5A1D" w:rsidRPr="00BB214B" w:rsidTr="006B5A1D">
        <w:trPr>
          <w:trHeight w:val="620"/>
        </w:trPr>
        <w:tc>
          <w:tcPr>
            <w:tcW w:w="2538" w:type="dxa"/>
            <w:tcBorders>
              <w:right w:val="single" w:sz="4" w:space="0" w:color="auto"/>
            </w:tcBorders>
          </w:tcPr>
          <w:p w:rsidR="006B5A1D" w:rsidRPr="00BB214B" w:rsidRDefault="006B5A1D" w:rsidP="0047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Version-202</w:t>
            </w:r>
            <w:r w:rsidR="00380B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5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0120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</w:t>
            </w:r>
          </w:p>
          <w:p w:rsidR="00012035" w:rsidRPr="00BB214B" w:rsidRDefault="00C76C13" w:rsidP="00012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Psychology </w:t>
            </w:r>
            <w:r w:rsidR="003575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</w:t>
            </w:r>
            <w:r w:rsidR="00357533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Learners</w:t>
            </w:r>
          </w:p>
          <w:p w:rsidR="00012035" w:rsidRPr="00BB214B" w:rsidRDefault="00012035" w:rsidP="000120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35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</w:t>
            </w:r>
          </w:p>
        </w:tc>
        <w:tc>
          <w:tcPr>
            <w:tcW w:w="433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5A1D" w:rsidRPr="00BB214B" w:rsidTr="00CD4D5A">
        <w:tc>
          <w:tcPr>
            <w:tcW w:w="2538" w:type="dxa"/>
            <w:tcBorders>
              <w:right w:val="single" w:sz="4" w:space="0" w:color="auto"/>
            </w:tcBorders>
          </w:tcPr>
          <w:p w:rsidR="006B5A1D" w:rsidRPr="00BB214B" w:rsidRDefault="006B5A1D" w:rsidP="0047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 CODE- 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012035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A6A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EDO-4</w:t>
            </w:r>
            <w:r w:rsidR="00A726D8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155" w:type="dxa"/>
            <w:tcBorders>
              <w:right w:val="single" w:sz="4" w:space="0" w:color="auto"/>
            </w:tcBorders>
          </w:tcPr>
          <w:p w:rsidR="006B5A1D" w:rsidRPr="00BB214B" w:rsidRDefault="00473A6A" w:rsidP="00473A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OPEN ELECTIVE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6B5A1D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6B5A1D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5A1D" w:rsidRPr="00BB214B" w:rsidTr="006B5A1D">
        <w:trPr>
          <w:gridAfter w:val="1"/>
          <w:wAfter w:w="433" w:type="dxa"/>
        </w:trPr>
        <w:tc>
          <w:tcPr>
            <w:tcW w:w="2538" w:type="dxa"/>
          </w:tcPr>
          <w:p w:rsidR="006B5A1D" w:rsidRPr="00BB214B" w:rsidRDefault="006B5A1D" w:rsidP="006B5A1D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B214B">
              <w:rPr>
                <w:rFonts w:ascii="Times New Roman" w:hAnsi="Times New Roman" w:cs="Times New Roman"/>
                <w:b/>
              </w:rPr>
              <w:t xml:space="preserve">Pre-requisites/ Exposure </w:t>
            </w:r>
          </w:p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23" w:type="dxa"/>
            <w:gridSpan w:val="7"/>
            <w:tcBorders>
              <w:right w:val="single" w:sz="4" w:space="0" w:color="auto"/>
            </w:tcBorders>
          </w:tcPr>
          <w:p w:rsidR="006B5A1D" w:rsidRPr="00BB214B" w:rsidRDefault="006B5A1D" w:rsidP="00012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Students must have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basic knowledge of education </w:t>
            </w: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and 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Psychology</w:t>
            </w: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B5A1D" w:rsidRPr="00BB214B" w:rsidTr="006B5A1D">
        <w:trPr>
          <w:gridAfter w:val="1"/>
          <w:wAfter w:w="433" w:type="dxa"/>
        </w:trPr>
        <w:tc>
          <w:tcPr>
            <w:tcW w:w="2538" w:type="dxa"/>
          </w:tcPr>
          <w:p w:rsidR="006B5A1D" w:rsidRPr="00BB214B" w:rsidRDefault="006B5A1D" w:rsidP="006B5A1D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B214B">
              <w:rPr>
                <w:rFonts w:ascii="Times New Roman" w:hAnsi="Times New Roman" w:cs="Times New Roman"/>
                <w:b/>
              </w:rPr>
              <w:t xml:space="preserve">Co-requisites </w:t>
            </w:r>
          </w:p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23" w:type="dxa"/>
            <w:gridSpan w:val="7"/>
            <w:tcBorders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73883" w:rsidRPr="00BB214B" w:rsidRDefault="00012035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UNDERSTANDING LEARNER</w:t>
      </w: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00E4E" w:rsidRPr="00BB214B" w:rsidRDefault="00D00E4E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COURSE OBJECTIVES </w:t>
      </w:r>
    </w:p>
    <w:p w:rsidR="00012035" w:rsidRPr="00BB214B" w:rsidRDefault="00012035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2035" w:rsidRPr="00BB214B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Understand the learner and his abilities</w:t>
      </w:r>
    </w:p>
    <w:p w:rsidR="00012035" w:rsidRPr="00BB214B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Analyze the characteristics and problems of individuals</w:t>
      </w:r>
    </w:p>
    <w:p w:rsidR="00012035" w:rsidRPr="00A726D8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Familiarize with administration and interpretation of psychological tests.</w:t>
      </w:r>
    </w:p>
    <w:p w:rsidR="00A726D8" w:rsidRPr="00BB214B" w:rsidRDefault="00A726D8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</w:t>
      </w:r>
      <w:r>
        <w:rPr>
          <w:rFonts w:ascii="Times New Roman" w:hAnsi="Times New Roman" w:cs="Times New Roman"/>
          <w:sz w:val="24"/>
          <w:szCs w:val="24"/>
        </w:rPr>
        <w:t xml:space="preserve"> to identify</w:t>
      </w:r>
      <w:r w:rsidRPr="00BB214B">
        <w:rPr>
          <w:rFonts w:ascii="Times New Roman" w:hAnsi="Times New Roman" w:cs="Times New Roman"/>
          <w:sz w:val="24"/>
          <w:szCs w:val="24"/>
        </w:rPr>
        <w:t xml:space="preserve"> </w:t>
      </w:r>
      <w:r w:rsidRPr="00A726D8">
        <w:rPr>
          <w:rFonts w:ascii="Times New Roman" w:hAnsi="Times New Roman" w:cs="Times New Roman"/>
          <w:bCs/>
          <w:sz w:val="24"/>
          <w:szCs w:val="24"/>
        </w:rPr>
        <w:t>Learner with special needs</w:t>
      </w:r>
    </w:p>
    <w:p w:rsidR="00012035" w:rsidRPr="00BB214B" w:rsidRDefault="00012035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sz w:val="24"/>
          <w:szCs w:val="24"/>
        </w:rPr>
        <w:t xml:space="preserve">COURSE OUTCOMES </w:t>
      </w: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 xml:space="preserve">On completion of this course, the students are expected to learn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0"/>
      </w:tblGrid>
      <w:tr w:rsidR="00012035" w:rsidRPr="00BB214B" w:rsidTr="00012035">
        <w:trPr>
          <w:trHeight w:val="45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Understand the learner and his abilities</w:t>
            </w:r>
          </w:p>
        </w:tc>
      </w:tr>
      <w:tr w:rsidR="00012035" w:rsidRPr="00BB214B" w:rsidTr="00012035">
        <w:trPr>
          <w:trHeight w:val="36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Understand the process of human development.</w:t>
            </w:r>
          </w:p>
        </w:tc>
      </w:tr>
      <w:tr w:rsidR="00012035" w:rsidRPr="00BB214B" w:rsidTr="00012035">
        <w:trPr>
          <w:trHeight w:val="72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Analyze the characteristics and problems of Individuals.</w:t>
            </w:r>
          </w:p>
        </w:tc>
      </w:tr>
      <w:tr w:rsidR="00B4543D" w:rsidRPr="00BB214B" w:rsidTr="006720A0">
        <w:trPr>
          <w:trHeight w:val="135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246" w:rsidRPr="00BB214B" w:rsidRDefault="00234246" w:rsidP="0023424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8E8" w:rsidRPr="00BB214B" w:rsidRDefault="00C128E8" w:rsidP="00C128E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DESCRIPTION </w:t>
            </w:r>
          </w:p>
          <w:p w:rsidR="00012035" w:rsidRPr="00BB214B" w:rsidRDefault="00012035" w:rsidP="00C128E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28E8" w:rsidRDefault="000256A8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course begins with </w:t>
            </w:r>
            <w:r w:rsidR="00911252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the understanding</w:t>
            </w:r>
            <w:r w:rsidR="00C128E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concept of educational 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psychology 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well as how we can use </w:t>
            </w:r>
            <w:r w:rsidR="00911252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psychology to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make our teaching learning process effective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which has great impact on our education </w:t>
            </w:r>
            <w:r w:rsidR="00911252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system.</w:t>
            </w:r>
            <w:r w:rsidR="00740EA6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This is widely utilized in all educational </w:t>
            </w:r>
            <w:r w:rsidR="00911252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spheres. The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students are 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also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introduced 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with different </w:t>
            </w:r>
            <w:r w:rsidR="00740EA6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concepts 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like Individual Difference, </w:t>
            </w:r>
            <w:r w:rsidR="00911252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Personality, learning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motivation as well as exceptional children’s</w:t>
            </w:r>
          </w:p>
          <w:p w:rsidR="00BB214B" w:rsidRDefault="00BB214B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BB214B" w:rsidRDefault="00BB214B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D42CAF" w:rsidRDefault="00D42CAF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D42CAF" w:rsidRDefault="00D42CAF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D42CAF" w:rsidRDefault="00D42CAF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D42CAF" w:rsidRDefault="00D42CAF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D42CAF" w:rsidRPr="00BB214B" w:rsidRDefault="00D42CAF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BB214B" w:rsidRPr="00BB214B" w:rsidRDefault="00BB214B" w:rsidP="00BB21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COURSE CONTENT </w:t>
            </w:r>
          </w:p>
          <w:p w:rsidR="00BB214B" w:rsidRPr="00BB214B" w:rsidRDefault="00BB214B" w:rsidP="00BB214B">
            <w:pPr>
              <w:pStyle w:val="Heading5"/>
              <w:spacing w:before="0" w:beforeAutospacing="0" w:after="0" w:afterAutospacing="0"/>
              <w:jc w:val="center"/>
              <w:rPr>
                <w:color w:val="262626"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-1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- concept, nature, scope and importance. Importance of psychology for the teachers.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Growth and development: meaning, difference, principles, Influence of heredity and environment.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Adolescence: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the concept and its meaning in various perspectives namely physiological,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cognitive,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sociological and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chronological.</w:t>
            </w:r>
          </w:p>
          <w:p w:rsidR="00BB214B" w:rsidRPr="00BB214B" w:rsidRDefault="00BB214B" w:rsidP="00BB21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-2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process and factors affecting learning of an individual, Trial and error theory, classical conditioning theory and insightful learning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Transfer of Learning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Types and Theories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Intelligence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: Nature and characteristics, Theories of intelligence, Spearman’s two factor theory, Thorndike’s Theory, Thurstone’s Primary Mental Abilities. </w:t>
            </w: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-3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Motivation: </w:t>
            </w:r>
            <w:r w:rsidRPr="00BB21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Meaning, Types and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techniques of enhancing learner’s motivation. Maslow’s theory of motivation</w:t>
            </w: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Personality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Concept, dimensions, features and development of personality; type and trait theories of personality</w:t>
            </w: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 with special needs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types: gifted, delinquents, creative, and their educational programmers.</w:t>
            </w:r>
          </w:p>
          <w:p w:rsidR="00012035" w:rsidRPr="00BB214B" w:rsidRDefault="00012035" w:rsidP="00C128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  <w:r w:rsidRPr="00BB214B">
              <w:rPr>
                <w:color w:val="262626"/>
                <w:sz w:val="24"/>
                <w:szCs w:val="24"/>
              </w:rPr>
              <w:t>TEXT BOOKS</w:t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</w:p>
          <w:p w:rsidR="006720A0" w:rsidRPr="00BB214B" w:rsidRDefault="006720A0" w:rsidP="006720A0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T- 1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- Mangal, S.K., &amp;Mangal, Uma (2010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). Essentials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of Educational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New Ltd.</w:t>
            </w:r>
          </w:p>
          <w:p w:rsidR="006720A0" w:rsidRPr="00BB214B" w:rsidRDefault="006720A0" w:rsidP="006720A0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</w:t>
            </w:r>
            <w:r w:rsidR="00911252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Mehra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, V. (2004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). Educational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>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 New Delhi: S.S. Publishers.</w:t>
            </w:r>
          </w:p>
          <w:p w:rsidR="006720A0" w:rsidRPr="00BB214B" w:rsidRDefault="006720A0" w:rsidP="000120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</w:t>
            </w:r>
            <w:r w:rsidR="00911252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 Aggarwal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J.C. (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2010) Essentials of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Educational Psychology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(Innovations in Teaching- Learning), Vikas Publishing Housing PVT LTD:</w:t>
            </w:r>
            <w:r w:rsidR="0091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New Delhi, Page No. 1-10.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T-4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Hall, C.S., Gardener, L. and John, B.C. (2010) Theories of Personality. Delhi: Aggarwal Printing Press. 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T-5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Anastasi, A. and Susana U. (2010) Psychological Testing. New Delhi: PHI Learning Pvt. Ltd.</w:t>
            </w:r>
          </w:p>
          <w:p w:rsidR="00355FE5" w:rsidRPr="00BB214B" w:rsidRDefault="00355FE5" w:rsidP="00355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5FE5" w:rsidRPr="00BB214B" w:rsidRDefault="00355FE5" w:rsidP="000120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tabs>
                <w:tab w:val="left" w:pos="265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rStyle w:val="Strong"/>
                <w:rFonts w:eastAsiaTheme="majorEastAsia"/>
                <w:b/>
                <w:bCs/>
                <w:color w:val="262626"/>
                <w:sz w:val="24"/>
                <w:szCs w:val="24"/>
              </w:rPr>
            </w:pPr>
            <w:r w:rsidRPr="00BB214B">
              <w:rPr>
                <w:rStyle w:val="Strong"/>
                <w:rFonts w:eastAsiaTheme="majorEastAsia"/>
                <w:b/>
                <w:color w:val="262626"/>
                <w:sz w:val="24"/>
                <w:szCs w:val="24"/>
              </w:rPr>
              <w:t>REFERENCE BOOKS</w:t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</w:p>
          <w:p w:rsidR="006720A0" w:rsidRPr="00BB214B" w:rsidRDefault="006720A0" w:rsidP="006720A0">
            <w:pPr>
              <w:numPr>
                <w:ilvl w:val="0"/>
                <w:numId w:val="2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R-1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Abbott, C. (2001).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>Educational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 UK: Psychology Press.</w:t>
            </w:r>
          </w:p>
          <w:p w:rsidR="006720A0" w:rsidRPr="00BB214B" w:rsidRDefault="006720A0" w:rsidP="006720A0">
            <w:pPr>
              <w:numPr>
                <w:ilvl w:val="0"/>
                <w:numId w:val="2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R-2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Huang, R., and Kinshuk, Jon K.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Price (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2014). ICT in Education in Global Context: Heidelberg: Springer.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R-3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Chauhan, S.S. (2002). Advanced Educational Psychology. New Delhi: Vikas Publishing.  </w:t>
            </w:r>
          </w:p>
          <w:p w:rsidR="00C128E8" w:rsidRPr="00BB214B" w:rsidRDefault="00355FE5" w:rsidP="00BB21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R-4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Gore,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M.S. (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1984). Education and Modernization in </w:t>
            </w:r>
            <w:r w:rsidR="00911252" w:rsidRPr="00BB214B">
              <w:rPr>
                <w:rFonts w:ascii="Times New Roman" w:hAnsi="Times New Roman" w:cs="Times New Roman"/>
                <w:sz w:val="24"/>
                <w:szCs w:val="24"/>
              </w:rPr>
              <w:t>India. Jaipur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112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Rawat Publishers.</w:t>
            </w:r>
          </w:p>
        </w:tc>
      </w:tr>
      <w:tr w:rsidR="00B4543D" w:rsidRPr="00BB214B" w:rsidTr="006720A0">
        <w:trPr>
          <w:trHeight w:val="8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543D" w:rsidRPr="00BB214B" w:rsidRDefault="00B4543D" w:rsidP="00234246">
            <w:pPr>
              <w:pStyle w:val="Default"/>
              <w:spacing w:after="27"/>
              <w:rPr>
                <w:rFonts w:ascii="Times New Roman" w:hAnsi="Times New Roman" w:cs="Times New Roman"/>
              </w:rPr>
            </w:pPr>
          </w:p>
        </w:tc>
      </w:tr>
    </w:tbl>
    <w:p w:rsidR="00012035" w:rsidRPr="00BB214B" w:rsidRDefault="00911252" w:rsidP="000120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B214B">
        <w:rPr>
          <w:rFonts w:ascii="Times New Roman" w:hAnsi="Times New Roman" w:cs="Times New Roman"/>
          <w:sz w:val="24"/>
          <w:szCs w:val="24"/>
        </w:rPr>
        <w:t xml:space="preserve"> Administration</w:t>
      </w:r>
      <w:r w:rsidR="00012035" w:rsidRPr="00BB214B">
        <w:rPr>
          <w:rFonts w:ascii="Times New Roman" w:hAnsi="Times New Roman" w:cs="Times New Roman"/>
          <w:sz w:val="24"/>
          <w:szCs w:val="24"/>
        </w:rPr>
        <w:t xml:space="preserve"> and interpretation of any one psychological test (</w:t>
      </w:r>
      <w:r w:rsidR="00012035" w:rsidRPr="00BB214B">
        <w:rPr>
          <w:rFonts w:ascii="Times New Roman" w:hAnsi="Times New Roman" w:cs="Times New Roman"/>
          <w:b/>
          <w:bCs/>
          <w:sz w:val="24"/>
          <w:szCs w:val="24"/>
        </w:rPr>
        <w:t xml:space="preserve">Intelligence/ motivation/ creativity). </w:t>
      </w:r>
    </w:p>
    <w:p w:rsidR="00012035" w:rsidRPr="00BB214B" w:rsidRDefault="00012035" w:rsidP="000120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Visit to a school and write a report on problems being faced by the students</w:t>
      </w:r>
    </w:p>
    <w:p w:rsidR="00173883" w:rsidRPr="00BB214B" w:rsidRDefault="00173883" w:rsidP="0017388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3883" w:rsidRPr="00BB214B" w:rsidRDefault="00173883" w:rsidP="00173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Mode of Evaluation: The performance of students is evaluated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84" w:type="dxa"/>
            <w:gridSpan w:val="2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Theory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Components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Continuous Internal </w:t>
            </w:r>
            <w:r w:rsidR="00911252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Assessment (CAE</w:t>
            </w: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Semester End Examination (SEE)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40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60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100</w:t>
            </w:r>
          </w:p>
        </w:tc>
      </w:tr>
    </w:tbl>
    <w:p w:rsidR="00173883" w:rsidRPr="00BB214B" w:rsidRDefault="00173883" w:rsidP="001738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BE8" w:rsidRPr="00BB214B" w:rsidRDefault="00511BE8" w:rsidP="00511BE8">
      <w:pPr>
        <w:ind w:left="214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sz w:val="24"/>
          <w:szCs w:val="24"/>
        </w:rPr>
        <w:t>Relationship between the Course Outcomes (COs) and Program Outcomes (POs)</w:t>
      </w:r>
    </w:p>
    <w:tbl>
      <w:tblPr>
        <w:tblW w:w="954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683"/>
        <w:gridCol w:w="3154"/>
      </w:tblGrid>
      <w:tr w:rsidR="00511BE8" w:rsidRPr="00BB214B" w:rsidTr="0000636F">
        <w:trPr>
          <w:trHeight w:val="333"/>
        </w:trPr>
        <w:tc>
          <w:tcPr>
            <w:tcW w:w="9540" w:type="dxa"/>
            <w:gridSpan w:val="3"/>
          </w:tcPr>
          <w:p w:rsidR="00511BE8" w:rsidRPr="00BB214B" w:rsidRDefault="00511BE8" w:rsidP="0045315C">
            <w:pPr>
              <w:pStyle w:val="TableParagraph"/>
              <w:spacing w:before="37"/>
              <w:ind w:left="3152" w:right="3229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Mapping Between COs and POs</w:t>
            </w:r>
          </w:p>
        </w:tc>
      </w:tr>
      <w:tr w:rsidR="00511BE8" w:rsidRPr="00BB214B" w:rsidTr="0000636F">
        <w:trPr>
          <w:trHeight w:val="585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7"/>
              <w:ind w:left="149" w:right="222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5683" w:type="dxa"/>
          </w:tcPr>
          <w:p w:rsidR="00511BE8" w:rsidRPr="00BB214B" w:rsidRDefault="00511BE8" w:rsidP="0045315C">
            <w:pPr>
              <w:pStyle w:val="TableParagraph"/>
              <w:spacing w:before="37"/>
              <w:ind w:left="2017" w:right="2088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Course Outcome (CO)</w:t>
            </w:r>
          </w:p>
        </w:tc>
        <w:tc>
          <w:tcPr>
            <w:tcW w:w="3154" w:type="dxa"/>
          </w:tcPr>
          <w:p w:rsidR="00511BE8" w:rsidRPr="00BB214B" w:rsidRDefault="00511BE8" w:rsidP="0000636F">
            <w:pPr>
              <w:pStyle w:val="TableParagraph"/>
              <w:spacing w:before="39"/>
              <w:ind w:left="518" w:right="281" w:hanging="301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Mapped</w:t>
            </w:r>
            <w:r w:rsidR="00911252">
              <w:rPr>
                <w:b/>
                <w:sz w:val="24"/>
                <w:szCs w:val="24"/>
              </w:rPr>
              <w:t xml:space="preserve"> P</w:t>
            </w:r>
            <w:r w:rsidR="00911252" w:rsidRPr="00BB214B">
              <w:rPr>
                <w:b/>
                <w:sz w:val="24"/>
                <w:szCs w:val="24"/>
              </w:rPr>
              <w:t>rogram</w:t>
            </w:r>
            <w:r w:rsidRPr="00BB214B">
              <w:rPr>
                <w:b/>
                <w:sz w:val="24"/>
                <w:szCs w:val="24"/>
              </w:rPr>
              <w:t xml:space="preserve"> Outcome (PO)</w:t>
            </w:r>
          </w:p>
        </w:tc>
      </w:tr>
      <w:tr w:rsidR="00511BE8" w:rsidRPr="00BB214B" w:rsidTr="0000636F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4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1</w:t>
            </w:r>
          </w:p>
        </w:tc>
        <w:tc>
          <w:tcPr>
            <w:tcW w:w="5683" w:type="dxa"/>
          </w:tcPr>
          <w:p w:rsidR="00511BE8" w:rsidRPr="00BB214B" w:rsidRDefault="00012035" w:rsidP="0000636F">
            <w:pPr>
              <w:pStyle w:val="NoSpacing"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The students will be able to understand the concept, nature and scope of Education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8D79B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Psychology</w:t>
            </w:r>
            <w:r w:rsidR="0000636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54" w:type="dxa"/>
          </w:tcPr>
          <w:p w:rsidR="00511BE8" w:rsidRPr="00BB214B" w:rsidRDefault="00511BE8" w:rsidP="0045315C">
            <w:pPr>
              <w:pStyle w:val="TableParagraph"/>
              <w:spacing w:before="34"/>
              <w:ind w:left="904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5</w:t>
            </w:r>
          </w:p>
        </w:tc>
      </w:tr>
      <w:tr w:rsidR="00511BE8" w:rsidRPr="00BB214B" w:rsidTr="0000636F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2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2</w:t>
            </w:r>
          </w:p>
        </w:tc>
        <w:tc>
          <w:tcPr>
            <w:tcW w:w="5683" w:type="dxa"/>
          </w:tcPr>
          <w:p w:rsidR="00511BE8" w:rsidRPr="00BB214B" w:rsidRDefault="00511BE8" w:rsidP="0000636F">
            <w:pPr>
              <w:pStyle w:val="TableParagraph"/>
              <w:spacing w:before="22" w:after="240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 xml:space="preserve">The students will be able to comprehend different </w:t>
            </w:r>
            <w:r w:rsidR="008D79B8" w:rsidRPr="00BB214B">
              <w:rPr>
                <w:sz w:val="24"/>
                <w:szCs w:val="24"/>
              </w:rPr>
              <w:t xml:space="preserve">process of human development </w:t>
            </w:r>
          </w:p>
        </w:tc>
        <w:tc>
          <w:tcPr>
            <w:tcW w:w="3154" w:type="dxa"/>
          </w:tcPr>
          <w:p w:rsidR="00511BE8" w:rsidRPr="00BB214B" w:rsidRDefault="00511BE8" w:rsidP="0045315C">
            <w:pPr>
              <w:pStyle w:val="TableParagraph"/>
              <w:spacing w:before="32"/>
              <w:ind w:left="904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2,5</w:t>
            </w:r>
          </w:p>
        </w:tc>
      </w:tr>
      <w:tr w:rsidR="00511BE8" w:rsidRPr="00BB214B" w:rsidTr="0000636F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2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3</w:t>
            </w:r>
          </w:p>
        </w:tc>
        <w:tc>
          <w:tcPr>
            <w:tcW w:w="5683" w:type="dxa"/>
          </w:tcPr>
          <w:p w:rsidR="00511BE8" w:rsidRPr="00BB214B" w:rsidRDefault="008D79B8" w:rsidP="0045315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Analyze the characteristics and problems of Individuals</w:t>
            </w:r>
            <w:r w:rsidRPr="00BB214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</w:tcPr>
          <w:p w:rsidR="00511BE8" w:rsidRPr="00BB214B" w:rsidRDefault="00511BE8" w:rsidP="0045315C">
            <w:pPr>
              <w:pStyle w:val="TableParagraph"/>
              <w:spacing w:before="32"/>
              <w:ind w:left="909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5,6,7</w:t>
            </w:r>
          </w:p>
        </w:tc>
      </w:tr>
    </w:tbl>
    <w:p w:rsidR="00173883" w:rsidRPr="00BB214B" w:rsidRDefault="00173883" w:rsidP="001738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94" w:rsidRPr="00BB214B" w:rsidRDefault="00450F94" w:rsidP="00F50B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9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118"/>
        <w:gridCol w:w="425"/>
        <w:gridCol w:w="425"/>
        <w:gridCol w:w="427"/>
        <w:gridCol w:w="425"/>
        <w:gridCol w:w="425"/>
        <w:gridCol w:w="425"/>
        <w:gridCol w:w="426"/>
        <w:gridCol w:w="428"/>
        <w:gridCol w:w="426"/>
        <w:gridCol w:w="426"/>
        <w:gridCol w:w="426"/>
        <w:gridCol w:w="505"/>
      </w:tblGrid>
      <w:tr w:rsidR="00511BE8" w:rsidRPr="00BB214B" w:rsidTr="0045315C">
        <w:trPr>
          <w:trHeight w:val="4024"/>
        </w:trPr>
        <w:tc>
          <w:tcPr>
            <w:tcW w:w="1272" w:type="dxa"/>
          </w:tcPr>
          <w:p w:rsidR="00511BE8" w:rsidRPr="00BB214B" w:rsidRDefault="00511BE8" w:rsidP="0045315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511BE8" w:rsidRPr="00BB214B" w:rsidRDefault="00511BE8" w:rsidP="0045315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Modern tool usage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Ethics</w:t>
            </w:r>
          </w:p>
        </w:tc>
        <w:tc>
          <w:tcPr>
            <w:tcW w:w="427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2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Individual and team-work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Communication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Diverse professional skills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Role-player in education system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Modernization</w:t>
            </w:r>
          </w:p>
        </w:tc>
        <w:tc>
          <w:tcPr>
            <w:tcW w:w="428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9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Social coherence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8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Placement options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7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Excellence in pedagogical skills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6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New options in the areas of research</w:t>
            </w:r>
            <w:r w:rsidRPr="00BB214B">
              <w:rPr>
                <w:sz w:val="24"/>
                <w:szCs w:val="24"/>
              </w:rPr>
              <w:t>:</w:t>
            </w:r>
          </w:p>
        </w:tc>
        <w:tc>
          <w:tcPr>
            <w:tcW w:w="505" w:type="dxa"/>
            <w:textDirection w:val="btLr"/>
          </w:tcPr>
          <w:p w:rsidR="00511BE8" w:rsidRPr="00BB214B" w:rsidRDefault="00911252" w:rsidP="0045315C">
            <w:pPr>
              <w:pStyle w:val="TableParagraph"/>
              <w:spacing w:before="136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Eligibility</w:t>
            </w:r>
            <w:r w:rsidR="00511BE8" w:rsidRPr="00BB214B">
              <w:rPr>
                <w:b/>
                <w:sz w:val="24"/>
                <w:szCs w:val="24"/>
              </w:rPr>
              <w:t xml:space="preserve"> for teaching job</w:t>
            </w:r>
          </w:p>
        </w:tc>
      </w:tr>
    </w:tbl>
    <w:p w:rsidR="00F50B1A" w:rsidRPr="00BB214B" w:rsidRDefault="00F50B1A" w:rsidP="00F50B1A">
      <w:pPr>
        <w:rPr>
          <w:rFonts w:ascii="Times New Roman" w:hAnsi="Times New Roman" w:cs="Times New Roman"/>
          <w:sz w:val="24"/>
          <w:szCs w:val="24"/>
        </w:rPr>
      </w:pPr>
    </w:p>
    <w:sectPr w:rsidR="00F50B1A" w:rsidRPr="00BB214B" w:rsidSect="00B5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3AB7" w:rsidRDefault="00B53AB7" w:rsidP="005B3D19">
      <w:pPr>
        <w:spacing w:after="0" w:line="240" w:lineRule="auto"/>
      </w:pPr>
      <w:r>
        <w:separator/>
      </w:r>
    </w:p>
  </w:endnote>
  <w:endnote w:type="continuationSeparator" w:id="0">
    <w:p w:rsidR="00B53AB7" w:rsidRDefault="00B53AB7" w:rsidP="005B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3AB7" w:rsidRDefault="00B53AB7" w:rsidP="005B3D19">
      <w:pPr>
        <w:spacing w:after="0" w:line="240" w:lineRule="auto"/>
      </w:pPr>
      <w:r>
        <w:separator/>
      </w:r>
    </w:p>
  </w:footnote>
  <w:footnote w:type="continuationSeparator" w:id="0">
    <w:p w:rsidR="00B53AB7" w:rsidRDefault="00B53AB7" w:rsidP="005B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9E3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4A30F8"/>
    <w:multiLevelType w:val="hybridMultilevel"/>
    <w:tmpl w:val="B9D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5B8"/>
    <w:multiLevelType w:val="hybridMultilevel"/>
    <w:tmpl w:val="B8FC4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8ED"/>
    <w:multiLevelType w:val="hybridMultilevel"/>
    <w:tmpl w:val="2506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C0824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94F0C"/>
    <w:multiLevelType w:val="hybridMultilevel"/>
    <w:tmpl w:val="9BD2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3F63"/>
    <w:multiLevelType w:val="hybridMultilevel"/>
    <w:tmpl w:val="D3D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A3A4F"/>
    <w:multiLevelType w:val="hybridMultilevel"/>
    <w:tmpl w:val="5BF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3EB6"/>
    <w:multiLevelType w:val="multilevel"/>
    <w:tmpl w:val="16B6B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E10B7"/>
    <w:multiLevelType w:val="hybridMultilevel"/>
    <w:tmpl w:val="E4D8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A3C4F"/>
    <w:multiLevelType w:val="hybridMultilevel"/>
    <w:tmpl w:val="B00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E13AC"/>
    <w:multiLevelType w:val="hybridMultilevel"/>
    <w:tmpl w:val="6A1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5EA1"/>
    <w:multiLevelType w:val="multilevel"/>
    <w:tmpl w:val="16088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9D40F1"/>
    <w:multiLevelType w:val="hybridMultilevel"/>
    <w:tmpl w:val="06DA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21AEA"/>
    <w:multiLevelType w:val="hybridMultilevel"/>
    <w:tmpl w:val="908A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C06DD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60011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F6469"/>
    <w:multiLevelType w:val="multilevel"/>
    <w:tmpl w:val="F05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F019B"/>
    <w:multiLevelType w:val="hybridMultilevel"/>
    <w:tmpl w:val="AB5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D214B"/>
    <w:multiLevelType w:val="hybridMultilevel"/>
    <w:tmpl w:val="E854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D6DFA"/>
    <w:multiLevelType w:val="hybridMultilevel"/>
    <w:tmpl w:val="B1C0B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35163"/>
    <w:multiLevelType w:val="multilevel"/>
    <w:tmpl w:val="EDD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E69EE"/>
    <w:multiLevelType w:val="hybridMultilevel"/>
    <w:tmpl w:val="955E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7E51B8"/>
    <w:multiLevelType w:val="hybridMultilevel"/>
    <w:tmpl w:val="6BA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E7C45"/>
    <w:multiLevelType w:val="hybridMultilevel"/>
    <w:tmpl w:val="824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A58B5"/>
    <w:multiLevelType w:val="hybridMultilevel"/>
    <w:tmpl w:val="9E6A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F728A"/>
    <w:multiLevelType w:val="hybridMultilevel"/>
    <w:tmpl w:val="CAB8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A1B85"/>
    <w:multiLevelType w:val="hybridMultilevel"/>
    <w:tmpl w:val="B45CC81E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8" w15:restartNumberingAfterBreak="0">
    <w:nsid w:val="71E64E00"/>
    <w:multiLevelType w:val="hybridMultilevel"/>
    <w:tmpl w:val="1E94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D6454"/>
    <w:multiLevelType w:val="hybridMultilevel"/>
    <w:tmpl w:val="50EE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651870"/>
    <w:multiLevelType w:val="multilevel"/>
    <w:tmpl w:val="61F8C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7334266">
    <w:abstractNumId w:val="11"/>
  </w:num>
  <w:num w:numId="2" w16cid:durableId="273900588">
    <w:abstractNumId w:val="9"/>
  </w:num>
  <w:num w:numId="3" w16cid:durableId="1391995497">
    <w:abstractNumId w:val="7"/>
  </w:num>
  <w:num w:numId="4" w16cid:durableId="684987468">
    <w:abstractNumId w:val="12"/>
  </w:num>
  <w:num w:numId="5" w16cid:durableId="967472653">
    <w:abstractNumId w:val="8"/>
  </w:num>
  <w:num w:numId="6" w16cid:durableId="730076656">
    <w:abstractNumId w:val="30"/>
  </w:num>
  <w:num w:numId="7" w16cid:durableId="1549033158">
    <w:abstractNumId w:val="22"/>
  </w:num>
  <w:num w:numId="8" w16cid:durableId="610093388">
    <w:abstractNumId w:val="29"/>
  </w:num>
  <w:num w:numId="9" w16cid:durableId="1771851476">
    <w:abstractNumId w:val="14"/>
  </w:num>
  <w:num w:numId="10" w16cid:durableId="895699409">
    <w:abstractNumId w:val="25"/>
  </w:num>
  <w:num w:numId="11" w16cid:durableId="1933203552">
    <w:abstractNumId w:val="18"/>
  </w:num>
  <w:num w:numId="12" w16cid:durableId="340398061">
    <w:abstractNumId w:val="27"/>
  </w:num>
  <w:num w:numId="13" w16cid:durableId="235013513">
    <w:abstractNumId w:val="10"/>
  </w:num>
  <w:num w:numId="14" w16cid:durableId="1742679931">
    <w:abstractNumId w:val="3"/>
  </w:num>
  <w:num w:numId="15" w16cid:durableId="1977102592">
    <w:abstractNumId w:val="5"/>
  </w:num>
  <w:num w:numId="16" w16cid:durableId="822280798">
    <w:abstractNumId w:val="26"/>
  </w:num>
  <w:num w:numId="17" w16cid:durableId="461463439">
    <w:abstractNumId w:val="0"/>
  </w:num>
  <w:num w:numId="18" w16cid:durableId="1836728293">
    <w:abstractNumId w:val="28"/>
  </w:num>
  <w:num w:numId="19" w16cid:durableId="1119303121">
    <w:abstractNumId w:val="2"/>
  </w:num>
  <w:num w:numId="20" w16cid:durableId="903293097">
    <w:abstractNumId w:val="20"/>
  </w:num>
  <w:num w:numId="21" w16cid:durableId="536115835">
    <w:abstractNumId w:val="17"/>
  </w:num>
  <w:num w:numId="22" w16cid:durableId="1974170998">
    <w:abstractNumId w:val="21"/>
  </w:num>
  <w:num w:numId="23" w16cid:durableId="1687365245">
    <w:abstractNumId w:val="16"/>
  </w:num>
  <w:num w:numId="24" w16cid:durableId="2079548386">
    <w:abstractNumId w:val="15"/>
  </w:num>
  <w:num w:numId="25" w16cid:durableId="820081067">
    <w:abstractNumId w:val="4"/>
  </w:num>
  <w:num w:numId="26" w16cid:durableId="692847890">
    <w:abstractNumId w:val="24"/>
  </w:num>
  <w:num w:numId="27" w16cid:durableId="1963227574">
    <w:abstractNumId w:val="6"/>
  </w:num>
  <w:num w:numId="28" w16cid:durableId="1025015410">
    <w:abstractNumId w:val="1"/>
  </w:num>
  <w:num w:numId="29" w16cid:durableId="741295990">
    <w:abstractNumId w:val="23"/>
  </w:num>
  <w:num w:numId="30" w16cid:durableId="805659031">
    <w:abstractNumId w:val="13"/>
  </w:num>
  <w:num w:numId="31" w16cid:durableId="17109539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83"/>
    <w:rsid w:val="0000636F"/>
    <w:rsid w:val="00012035"/>
    <w:rsid w:val="000256A8"/>
    <w:rsid w:val="00051461"/>
    <w:rsid w:val="000670ED"/>
    <w:rsid w:val="0010339E"/>
    <w:rsid w:val="00113190"/>
    <w:rsid w:val="00147977"/>
    <w:rsid w:val="00150885"/>
    <w:rsid w:val="00164939"/>
    <w:rsid w:val="001677C5"/>
    <w:rsid w:val="00173883"/>
    <w:rsid w:val="00195A91"/>
    <w:rsid w:val="001C277C"/>
    <w:rsid w:val="00203BFB"/>
    <w:rsid w:val="00222CD5"/>
    <w:rsid w:val="002236BC"/>
    <w:rsid w:val="00224774"/>
    <w:rsid w:val="00234246"/>
    <w:rsid w:val="0024102D"/>
    <w:rsid w:val="00257390"/>
    <w:rsid w:val="002A54E5"/>
    <w:rsid w:val="002B6B4B"/>
    <w:rsid w:val="002C2FCB"/>
    <w:rsid w:val="002E6E7C"/>
    <w:rsid w:val="002F5D64"/>
    <w:rsid w:val="00315D54"/>
    <w:rsid w:val="00355FE5"/>
    <w:rsid w:val="00357533"/>
    <w:rsid w:val="00380B82"/>
    <w:rsid w:val="0038648E"/>
    <w:rsid w:val="00433393"/>
    <w:rsid w:val="00445541"/>
    <w:rsid w:val="00450F94"/>
    <w:rsid w:val="00473A6A"/>
    <w:rsid w:val="00493EE6"/>
    <w:rsid w:val="004D38DB"/>
    <w:rsid w:val="0051144C"/>
    <w:rsid w:val="00511BE8"/>
    <w:rsid w:val="00542949"/>
    <w:rsid w:val="00551AF9"/>
    <w:rsid w:val="005708B3"/>
    <w:rsid w:val="005A655A"/>
    <w:rsid w:val="005B3D19"/>
    <w:rsid w:val="00600C5C"/>
    <w:rsid w:val="00621855"/>
    <w:rsid w:val="006615A1"/>
    <w:rsid w:val="0066661A"/>
    <w:rsid w:val="006720A0"/>
    <w:rsid w:val="00684650"/>
    <w:rsid w:val="006A132A"/>
    <w:rsid w:val="006A6362"/>
    <w:rsid w:val="006B5A1D"/>
    <w:rsid w:val="007117A6"/>
    <w:rsid w:val="00737230"/>
    <w:rsid w:val="00740EA6"/>
    <w:rsid w:val="007E6D0E"/>
    <w:rsid w:val="00846D98"/>
    <w:rsid w:val="008D79B8"/>
    <w:rsid w:val="008E63A1"/>
    <w:rsid w:val="00911252"/>
    <w:rsid w:val="00977F12"/>
    <w:rsid w:val="00996219"/>
    <w:rsid w:val="009D6A07"/>
    <w:rsid w:val="00A22A48"/>
    <w:rsid w:val="00A35874"/>
    <w:rsid w:val="00A45862"/>
    <w:rsid w:val="00A462CC"/>
    <w:rsid w:val="00A726D8"/>
    <w:rsid w:val="00AE5DD0"/>
    <w:rsid w:val="00AF61F7"/>
    <w:rsid w:val="00B35B21"/>
    <w:rsid w:val="00B4543D"/>
    <w:rsid w:val="00B47B76"/>
    <w:rsid w:val="00B53AB7"/>
    <w:rsid w:val="00B90E6F"/>
    <w:rsid w:val="00BA1AF1"/>
    <w:rsid w:val="00BB214B"/>
    <w:rsid w:val="00BB5BDE"/>
    <w:rsid w:val="00BC0634"/>
    <w:rsid w:val="00BC2336"/>
    <w:rsid w:val="00BE22C1"/>
    <w:rsid w:val="00C06758"/>
    <w:rsid w:val="00C128E8"/>
    <w:rsid w:val="00C16E50"/>
    <w:rsid w:val="00C76C13"/>
    <w:rsid w:val="00C962D1"/>
    <w:rsid w:val="00CC4175"/>
    <w:rsid w:val="00D00E4E"/>
    <w:rsid w:val="00D42CAF"/>
    <w:rsid w:val="00D67B9C"/>
    <w:rsid w:val="00DB29D0"/>
    <w:rsid w:val="00DD1CF7"/>
    <w:rsid w:val="00DD303D"/>
    <w:rsid w:val="00E41A5D"/>
    <w:rsid w:val="00E61FB0"/>
    <w:rsid w:val="00E86233"/>
    <w:rsid w:val="00EF602F"/>
    <w:rsid w:val="00F20D60"/>
    <w:rsid w:val="00F41E95"/>
    <w:rsid w:val="00F50B1A"/>
    <w:rsid w:val="00F80002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0FB"/>
  <w15:docId w15:val="{DC5E2985-0671-446B-97EC-E55BE3A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83"/>
  </w:style>
  <w:style w:type="paragraph" w:styleId="Heading5">
    <w:name w:val="heading 5"/>
    <w:basedOn w:val="Normal"/>
    <w:link w:val="Heading5Char"/>
    <w:uiPriority w:val="9"/>
    <w:qFormat/>
    <w:rsid w:val="006720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8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38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738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88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47B7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7B76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5B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D19"/>
  </w:style>
  <w:style w:type="character" w:customStyle="1" w:styleId="Heading5Char">
    <w:name w:val="Heading 5 Char"/>
    <w:basedOn w:val="DefaultParagraphFont"/>
    <w:link w:val="Heading5"/>
    <w:uiPriority w:val="9"/>
    <w:rsid w:val="006720A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720A0"/>
    <w:rPr>
      <w:b/>
      <w:bCs/>
    </w:rPr>
  </w:style>
  <w:style w:type="paragraph" w:styleId="NormalWeb">
    <w:name w:val="Normal (Web)"/>
    <w:basedOn w:val="Normal"/>
    <w:uiPriority w:val="99"/>
    <w:unhideWhenUsed/>
    <w:rsid w:val="0067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11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15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CE7BC-8B05-4A62-B827-BAFA0E19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VIVEK KUMAR</cp:lastModifiedBy>
  <cp:revision>13</cp:revision>
  <dcterms:created xsi:type="dcterms:W3CDTF">2023-02-04T13:27:00Z</dcterms:created>
  <dcterms:modified xsi:type="dcterms:W3CDTF">2024-04-30T08:56:00Z</dcterms:modified>
</cp:coreProperties>
</file>