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Scrum y próximos avances de Easy Office</w:t>
      </w:r>
    </w:p>
    <w:p>
      <w:pPr>
        <w:pStyle w:val="Subtitle"/>
      </w:pPr>
      <w:r>
        <w:t>Plan quincenal de integración y seguimiento</w:t>
      </w:r>
    </w:p>
    <w:p>
      <w:r>
        <w:t>El próximo incremento propuesto permite a un cliente crear una solicitud e informar una transferencia, y a Finanzas revisarla desde el portal. La demostración termina con el trámite habilitado para redacción y los datos conservados después de reiniciar la API.</w:t>
      </w:r>
    </w:p>
    <w:p>
      <w:r>
        <w:t>Esta planificación comienza desde el código recibido el 10 de octubre de 2026. S1 identifica el próximo sprint de trabajo de este plan; no reconstruye sprints pasados. Fechas, estimaciones y responsables deben completarse con el equipo antes de fijar el compromiso.</w:t>
      </w:r>
    </w:p>
    <w:p>
      <w:pPr>
        <w:pStyle w:val="Heading2"/>
      </w:pPr>
      <w:r>
        <w:t>Cómo se utilizará Scrum</w:t>
      </w:r>
    </w:p>
    <w:p>
      <w:r>
        <w:t>El Product Owner ordena el Product Backlog; los Developers seleccionan el trabajo del Sprint Backlog y construyen un incremento que cumpla la definición de terminado. El Scrum Master facilita el marco y la eliminación de impedimentos. La revisión inspecciona el incremento con los interesados y la retrospectiva acuerda mejoras de trabajo. El tablero Kanban será una ayuda visual dentro de Scrum. [1]</w:t>
      </w:r>
    </w:p>
    <w:tbl>
      <w:tblPr>
        <w:tblW w:type="auto" w:w="0"/>
        <w:tblLayout w:type="fixed"/>
        <w:tblLook w:firstColumn="1" w:firstRow="1" w:lastColumn="0" w:lastRow="0" w:noHBand="0" w:noVBand="1" w:val="04A0"/>
      </w:tblPr>
      <w:tblGrid>
        <w:gridCol w:w="2160"/>
        <w:gridCol w:w="7560"/>
      </w:tblGrid>
      <w:tr>
        <w:trPr>
          <w:cantSplit/>
          <w:tblHeader/>
        </w:trPr>
        <w:tc>
          <w:tcPr>
            <w:tcW w:type="dxa" w:w="2160"/>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Responsabilidad</w:t>
            </w:r>
          </w:p>
        </w:tc>
        <w:tc>
          <w:tcPr>
            <w:tcW w:type="dxa" w:w="7560"/>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Designación pendiente</w:t>
            </w:r>
          </w:p>
        </w:tc>
      </w:tr>
      <w:tr>
        <w:trPr>
          <w:cantSplit/>
        </w:trPr>
        <w:tc>
          <w:tcPr>
            <w:tcW w:type="dxa" w:w="21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Product Owner</w:t>
            </w:r>
          </w:p>
        </w:tc>
        <w:tc>
          <w:tcPr>
            <w:tcW w:type="dxa" w:w="75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Elegir una persona responsable de ordenar el backlog y acordar prioridades con Easy Office. No asignado en los archivos.</w:t>
            </w:r>
          </w:p>
        </w:tc>
      </w:tr>
      <w:tr>
        <w:trPr>
          <w:cantSplit/>
        </w:trPr>
        <w:tc>
          <w:tcPr>
            <w:tcW w:type="dxa" w:w="21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Scrum Master</w:t>
            </w:r>
          </w:p>
        </w:tc>
        <w:tc>
          <w:tcPr>
            <w:tcW w:type="dxa" w:w="75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Elegir una persona para facilitar eventos y seguimiento de impedimentos. No asignado en los archivos.</w:t>
            </w:r>
          </w:p>
        </w:tc>
      </w:tr>
      <w:tr>
        <w:trPr>
          <w:cantSplit/>
        </w:trPr>
        <w:tc>
          <w:tcPr>
            <w:tcW w:type="dxa" w:w="21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Developers</w:t>
            </w:r>
          </w:p>
        </w:tc>
        <w:tc>
          <w:tcPr>
            <w:tcW w:type="dxa" w:w="75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El equipo distribuirá desarrollo, pruebas y documentación según disponibilidad. Cada tarea tendrá un responsable.</w:t>
            </w:r>
          </w:p>
        </w:tc>
      </w:tr>
      <w:tr>
        <w:trPr>
          <w:cantSplit/>
        </w:trPr>
        <w:tc>
          <w:tcPr>
            <w:tcW w:type="dxa" w:w="21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Interesados</w:t>
            </w:r>
          </w:p>
        </w:tc>
        <w:tc>
          <w:tcPr>
            <w:tcW w:type="dxa" w:w="75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Representante de Easy Office y docente: validar necesidades, revisar avances y aportar retroalimentación.</w:t>
            </w:r>
          </w:p>
        </w:tc>
      </w:tr>
    </w:tbl>
    <w:p/>
    <w:p>
      <w:pPr>
        <w:pStyle w:val="Heading2"/>
      </w:pPr>
      <w:r>
        <w:t>Cadencia propuesta para dos semanas</w:t>
      </w:r>
    </w:p>
    <w:tbl>
      <w:tblPr>
        <w:tblW w:type="auto" w:w="0"/>
        <w:tblLayout w:type="fixed"/>
        <w:tblLook w:firstColumn="1" w:firstRow="1" w:lastColumn="0" w:lastRow="0" w:noHBand="0" w:noVBand="1" w:val="04A0"/>
      </w:tblPr>
      <w:tblGrid>
        <w:gridCol w:w="2160"/>
        <w:gridCol w:w="7560"/>
      </w:tblGrid>
      <w:tr>
        <w:trPr>
          <w:cantSplit/>
          <w:tblHeader/>
        </w:trPr>
        <w:tc>
          <w:tcPr>
            <w:tcW w:type="dxa" w:w="2160"/>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Momento</w:t>
            </w:r>
          </w:p>
        </w:tc>
        <w:tc>
          <w:tcPr>
            <w:tcW w:type="dxa" w:w="7560"/>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Actividad y registro</w:t>
            </w:r>
          </w:p>
        </w:tc>
      </w:tr>
      <w:tr>
        <w:trPr>
          <w:cantSplit/>
        </w:trPr>
        <w:tc>
          <w:tcPr>
            <w:tcW w:type="dxa" w:w="21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Inicio</w:t>
            </w:r>
          </w:p>
        </w:tc>
        <w:tc>
          <w:tcPr>
            <w:tcW w:type="dxa" w:w="75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Planning de 60 a 90 minutos: objetivo, alcance seleccionado, capacidad y dependencias.</w:t>
            </w:r>
          </w:p>
        </w:tc>
      </w:tr>
      <w:tr>
        <w:trPr>
          <w:cantSplit/>
        </w:trPr>
        <w:tc>
          <w:tcPr>
            <w:tcW w:type="dxa" w:w="21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Cada día de trabajo</w:t>
            </w:r>
          </w:p>
        </w:tc>
        <w:tc>
          <w:tcPr>
            <w:tcW w:type="dxa" w:w="75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Daily Scrum de 15 minutos: ajustar plan hacia el objetivo y visibilizar bloqueos.</w:t>
            </w:r>
          </w:p>
        </w:tc>
      </w:tr>
      <w:tr>
        <w:trPr>
          <w:cantSplit/>
        </w:trPr>
        <w:tc>
          <w:tcPr>
            <w:tcW w:type="dxa" w:w="21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Mitad del sprint</w:t>
            </w:r>
          </w:p>
        </w:tc>
        <w:tc>
          <w:tcPr>
            <w:tcW w:type="dxa" w:w="756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Refinamiento propuesto de 30 minutos para revisar alcance futuro y dudas.</w:t>
            </w:r>
          </w:p>
        </w:tc>
      </w:tr>
      <w:tr>
        <w:trPr>
          <w:cantSplit/>
        </w:trPr>
        <w:tc>
          <w:tcPr>
            <w:tcW w:type="dxa" w:w="21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Cierre</w:t>
            </w:r>
          </w:p>
        </w:tc>
        <w:tc>
          <w:tcPr>
            <w:tcW w:type="dxa" w:w="756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Review propuesta de 45 minutos con demo y feedback; retrospectiva de 30 minutos con una mejora verificable.</w:t>
            </w:r>
          </w:p>
        </w:tc>
      </w:tr>
    </w:tbl>
    <w:p/>
    <w:p>
      <w:r>
        <w:t>[1] Schwaber y Sutherland, La Guía de Scrum, noviembre de 2020. https://scrumguides.org/docs/scrumguide/v2020/2020-Scrum-Guide-Spanish-Latin-South-American.pdf. Los tiempos propuestos de Planning, Review, refinamiento y retrospectiva son acuerdos sugeridos para este equipo.</w:t>
      </w:r>
    </w:p>
    <w:p>
      <w:r>
        <w:br w:type="page"/>
      </w:r>
    </w:p>
    <w:p>
      <w:pPr>
        <w:pStyle w:val="Heading1"/>
      </w:pPr>
      <w:r>
        <w:t>1 Objetivos y alcance de los sprints</w:t>
      </w:r>
    </w:p>
    <w:tbl>
      <w:tblPr>
        <w:tblW w:type="auto" w:w="0"/>
        <w:tblLayout w:type="fixed"/>
        <w:tblLook w:firstColumn="1" w:firstRow="1" w:lastColumn="0" w:lastRow="0" w:noHBand="0" w:noVBand="1" w:val="04A0"/>
      </w:tblPr>
      <w:tblGrid>
        <w:gridCol w:w="936"/>
        <w:gridCol w:w="4680"/>
        <w:gridCol w:w="4104"/>
      </w:tblGrid>
      <w:tr>
        <w:trPr>
          <w:cantSplit/>
          <w:tblHeader/>
        </w:trPr>
        <w:tc>
          <w:tcPr>
            <w:tcW w:type="dxa" w:w="936"/>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Sprint</w:t>
            </w:r>
          </w:p>
        </w:tc>
        <w:tc>
          <w:tcPr>
            <w:tcW w:type="dxa" w:w="4680"/>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Objetivo e incremento</w:t>
            </w:r>
          </w:p>
        </w:tc>
        <w:tc>
          <w:tcPr>
            <w:tcW w:type="dxa" w:w="4104"/>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Condición de salida</w:t>
            </w:r>
          </w:p>
        </w:tc>
      </w:tr>
      <w:tr>
        <w:trPr>
          <w:cantSplit/>
        </w:trPr>
        <w:tc>
          <w:tcPr>
            <w:tcW w:type="dxa" w:w="936"/>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S1</w:t>
            </w:r>
          </w:p>
        </w:tc>
        <w:tc>
          <w:tcPr>
            <w:tcW w:type="dxa" w:w="468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Acceso, solicitud y transferencia revisada desde Angular. HU-01 a HU-03; T-01 a T-09.</w:t>
            </w:r>
          </w:p>
        </w:tc>
        <w:tc>
          <w:tcPr>
            <w:tcW w:type="dxa" w:w="410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Demo cliente y Finanzas; datos persistentes; permisos y duplicados probados.</w:t>
            </w:r>
          </w:p>
        </w:tc>
      </w:tr>
      <w:tr>
        <w:trPr>
          <w:cantSplit/>
        </w:trPr>
        <w:tc>
          <w:tcPr>
            <w:tcW w:type="dxa" w:w="9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S2</w:t>
            </w:r>
          </w:p>
        </w:tc>
        <w:tc>
          <w:tcPr>
            <w:tcW w:type="dxa" w:w="468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Documento corregible y revisable. HU-04 a HU-08; T-10 a T-15.</w:t>
            </w:r>
          </w:p>
        </w:tc>
        <w:tc>
          <w:tcPr>
            <w:tcW w:type="dxa" w:w="41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Asignación, borrador versionado, adjuntos y ciclo de revisión funcional sin FEA.</w:t>
            </w:r>
          </w:p>
        </w:tc>
      </w:tr>
      <w:tr>
        <w:trPr>
          <w:cantSplit/>
        </w:trPr>
        <w:tc>
          <w:tcPr>
            <w:tcW w:type="dxa" w:w="936"/>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S3</w:t>
            </w:r>
          </w:p>
        </w:tc>
        <w:tc>
          <w:tcPr>
            <w:tcW w:type="dxa" w:w="4680"/>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Seguimiento administrativo y operación. HU-09 a HU-12; T-16 a T-20.</w:t>
            </w:r>
          </w:p>
        </w:tc>
        <w:tc>
          <w:tcPr>
            <w:tcW w:type="dxa" w:w="410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Reportes y auditoría reales; respaldo restaurado; usabilidad y rendimiento medidos.</w:t>
            </w:r>
          </w:p>
        </w:tc>
      </w:tr>
      <w:tr>
        <w:trPr>
          <w:cantSplit/>
        </w:trPr>
        <w:tc>
          <w:tcPr>
            <w:tcW w:type="dxa" w:w="9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Futuro</w:t>
            </w:r>
          </w:p>
        </w:tc>
        <w:tc>
          <w:tcPr>
            <w:tcW w:type="dxa" w:w="468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Integraciones condicionadas. HU-13 a HU-16; T-21 a T-24.</w:t>
            </w:r>
          </w:p>
        </w:tc>
        <w:tc>
          <w:tcPr>
            <w:tcW w:type="dxa" w:w="41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Alcance aprobado, recursos externos disponibles y criterios específicos refinados.</w:t>
            </w:r>
          </w:p>
        </w:tc>
      </w:tr>
    </w:tbl>
    <w:p/>
    <w:p>
      <w:r>
        <w:t>S1 a S3 son una secuencia propuesta, no una promesa de finalizar todo en seis semanas. El equipo debe estimar historias, comprobar horas disponibles y reducir alcance si es necesario. No se asignaron puntos ficticios ni se dedujo velocidad desde cantidad de archivos.</w:t>
      </w:r>
    </w:p>
    <w:p>
      <w:pPr>
        <w:pStyle w:val="Heading2"/>
      </w:pPr>
      <w:r>
        <w:t>Orden de integración para S1</w:t>
      </w:r>
    </w:p>
    <w:p>
      <w:pPr>
        <w:pStyle w:val="ListNumber"/>
      </w:pPr>
      <w:r>
        <w:t>Preparar entorno y cuentas demo separadas. Confirmar servicio sin firma y base aislada; no usar información real en la demostración.</w:t>
      </w:r>
    </w:p>
    <w:p>
      <w:pPr>
        <w:pStyle w:val="ListNumber"/>
      </w:pPr>
      <w:r>
        <w:t>Registrar provideHttpClient, centralizar URL y verificar CORS. Completar login, navegación por rol, manejo de 401 y logout que llame a la API.</w:t>
      </w:r>
    </w:p>
    <w:p>
      <w:pPr>
        <w:pStyle w:val="ListNumber"/>
      </w:pPr>
      <w:r>
        <w:t>Crear formulario de catálogo y solicitud; conservar id del trámite en los modelos. Conectar listado y detalle con carga, vacíos y errores.</w:t>
      </w:r>
    </w:p>
    <w:p>
      <w:pPr>
        <w:pStyle w:val="ListNumber"/>
      </w:pPr>
      <w:r>
        <w:t>Informar referencia de transferencia; conectar lista de pagos y acciones de aprobar o rechazar con motivo en Finanzas.</w:t>
      </w:r>
    </w:p>
    <w:p>
      <w:pPr>
        <w:pStyle w:val="ListNumber"/>
      </w:pPr>
      <w:r>
        <w:t>Ejecutar pruebas del recorrido y de acceso ajeno; reiniciar API para verificar persistencia. Registrar commit y evidencias de review.</w:t>
      </w:r>
    </w:p>
    <w:p>
      <w:pPr>
        <w:pStyle w:val="Heading2"/>
      </w:pPr>
      <w:r>
        <w:t>Qué no debe prometer esta demostración</w:t>
      </w:r>
    </w:p>
    <w:p>
      <w:r>
        <w:t>No se presentará un cobro automático, una firma real ni un documento final emitido. La pantalla deberá retirar o deshabilitar mensajes de Webpay y FEA según /capabilities. “Transferencia informada” será distinta de “pago aprobado”. El cierre interno futuro tampoco debe rotularse como documento firmado o entregado.</w:t>
      </w:r>
    </w:p>
    <w:p>
      <w:r>
        <w:br w:type="page"/>
      </w:r>
    </w:p>
    <w:p>
      <w:pPr>
        <w:pStyle w:val="Heading1"/>
      </w:pPr>
      <w:r>
        <w:t>2 Backlog y tablero Kanban</w:t>
      </w:r>
    </w:p>
    <w:p>
      <w:r>
        <w:t>La planilla contiene el Product Backlog en Historias y la descomposición en Tareas. Kanban muestra las mismas tareas mediante fórmulas. Para mover una tarjeta se cambia Estado en Tareas; no se edita la tarjeta calculada. Los requisitos y casos de prueba se enlazan por sus IDs.</w:t>
      </w:r>
    </w:p>
    <w:tbl>
      <w:tblPr>
        <w:tblW w:type="auto" w:w="0"/>
        <w:tblLayout w:type="fixed"/>
        <w:tblLook w:firstColumn="1" w:firstRow="1" w:lastColumn="0" w:lastRow="0" w:noHBand="0" w:noVBand="1" w:val="04A0"/>
      </w:tblPr>
      <w:tblGrid>
        <w:gridCol w:w="1872"/>
        <w:gridCol w:w="7848"/>
      </w:tblGrid>
      <w:tr>
        <w:trPr>
          <w:cantSplit/>
          <w:tblHeader/>
        </w:trPr>
        <w:tc>
          <w:tcPr>
            <w:tcW w:type="dxa" w:w="1872"/>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Columna</w:t>
            </w:r>
          </w:p>
        </w:tc>
        <w:tc>
          <w:tcPr>
            <w:tcW w:type="dxa" w:w="7848"/>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Regla de entrada o salida</w:t>
            </w:r>
          </w:p>
        </w:tc>
      </w:tr>
      <w:tr>
        <w:trPr>
          <w:cantSplit/>
        </w:trPr>
        <w:tc>
          <w:tcPr>
            <w:tcW w:type="dxa" w:w="187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Backlog</w:t>
            </w:r>
          </w:p>
        </w:tc>
        <w:tc>
          <w:tcPr>
            <w:tcW w:type="dxa" w:w="7848"/>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Trabajo futuro ordenado, aún no seleccionado para el sprint.</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Por hacer</w:t>
            </w:r>
          </w:p>
        </w:tc>
        <w:tc>
          <w:tcPr>
            <w:tcW w:type="dxa" w:w="78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Trabajo propuesto para el sprint; revisar dependencia y criterio de salida antes de iniciarlo.</w:t>
            </w:r>
          </w:p>
        </w:tc>
      </w:tr>
      <w:tr>
        <w:trPr>
          <w:cantSplit/>
        </w:trPr>
        <w:tc>
          <w:tcPr>
            <w:tcW w:type="dxa" w:w="187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En curso</w:t>
            </w:r>
          </w:p>
        </w:tc>
        <w:tc>
          <w:tcPr>
            <w:tcW w:type="dxa" w:w="7848"/>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Responsable inicia ejecución. Límite propuesto: una tarea activa por persona.</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En revisión</w:t>
            </w:r>
          </w:p>
        </w:tc>
        <w:tc>
          <w:tcPr>
            <w:tcW w:type="dxa" w:w="78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Implementación disponible y evidencia lista para revisión o prueba. Límite propuesto: dos tareas para todo el equipo.</w:t>
            </w:r>
          </w:p>
        </w:tc>
      </w:tr>
      <w:tr>
        <w:trPr>
          <w:cantSplit/>
        </w:trPr>
        <w:tc>
          <w:tcPr>
            <w:tcW w:type="dxa" w:w="187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Hecho</w:t>
            </w:r>
          </w:p>
        </w:tc>
        <w:tc>
          <w:tcPr>
            <w:tcW w:type="dxa" w:w="7848"/>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Criterio de salida cumplido, pruebas aprobadas, evidencia y revisión registradas.</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Bloqueado</w:t>
            </w:r>
          </w:p>
        </w:tc>
        <w:tc>
          <w:tcPr>
            <w:tcW w:type="dxa" w:w="78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No puede avanzar por un impedimento concreto; registrar motivo, responsable de desbloqueo y siguiente acción.</w:t>
            </w:r>
          </w:p>
        </w:tc>
      </w:tr>
    </w:tbl>
    <w:p/>
    <w:p>
      <w:pPr>
        <w:pStyle w:val="Heading2"/>
      </w:pPr>
      <w:r>
        <w:t>Políticas de trabajo</w:t>
      </w:r>
    </w:p>
    <w:p>
      <w:pPr>
        <w:pStyle w:val="ListBullet"/>
      </w:pPr>
      <w:r>
        <w:t>El tablero parte con tareas por hacer, backlog y bloqueos externos. No se inventaron tareas realizadas, horas consumidas ni actas de reuniones.</w:t>
      </w:r>
    </w:p>
    <w:p>
      <w:pPr>
        <w:pStyle w:val="ListBullet"/>
      </w:pPr>
      <w:r>
        <w:t>Cada tarea conserva ID, HU, RF/RNF, dependencia, responsable, estado, criterio de salida y evidencia. Las estimaciones se completan en horas para tareas y puntos relativos para historias, si el equipo decide usarlos.</w:t>
      </w:r>
    </w:p>
    <w:p>
      <w:pPr>
        <w:pStyle w:val="ListBullet"/>
      </w:pPr>
      <w:r>
        <w:t>Los límites de trabajo en curso son acuerdos propuestos. Si se supera el límite, terminar o ayudar a revisar antes de iniciar otra tarea.</w:t>
      </w:r>
    </w:p>
    <w:p>
      <w:pPr>
        <w:pStyle w:val="ListBullet"/>
      </w:pPr>
      <w:r>
        <w:t>Una tarea bloqueada conserva su sprint; anotar decisión y siguiente paso. Si cambia el alcance durante el sprint, registrar el acuerdo y su efecto sobre el objetivo.</w:t>
      </w:r>
    </w:p>
    <w:p>
      <w:pPr>
        <w:pStyle w:val="ListBullet"/>
      </w:pPr>
      <w:r>
        <w:t>El tablero dispone de 200 filas de tareas. Usar IDs únicos y estados del desplegable. Para crecer más allá, extender rangos, fórmulas y validación indicados en la planilla.</w:t>
      </w:r>
    </w:p>
    <w:p>
      <w:pPr>
        <w:pStyle w:val="Heading2"/>
      </w:pPr>
      <w:r>
        <w:t>Relación entre documentación y avance</w:t>
      </w:r>
    </w:p>
    <w:p>
      <w:r>
        <w:t>La actualización del ERS y de las pruebas forma parte del trabajo de cada historia. Un documento redactado puede constituir evidencia documental, pero no convierte una función pendiente en software terminado. El porcentaje del tablero mide tareas del plan marcadas Hecho, no el porcentaje total del producto ni su nivel TRL.</w:t>
      </w:r>
    </w:p>
    <w:p>
      <w:r>
        <w:br w:type="page"/>
      </w:r>
    </w:p>
    <w:p>
      <w:pPr>
        <w:pStyle w:val="Heading1"/>
      </w:pPr>
      <w:r>
        <w:t>3 Criterios de inicio terminado y prueba</w:t>
      </w:r>
    </w:p>
    <w:p>
      <w:pPr>
        <w:pStyle w:val="Heading2"/>
      </w:pPr>
      <w:r>
        <w:t>Condiciones propuestas para comenzar una historia</w:t>
      </w:r>
    </w:p>
    <w:p>
      <w:r>
        <w:t>Antes de iniciar, la historia debe tener actor y necesidad definidos, RF/RNF relacionados, criterios de aceptación comprobables y dependencias identificadas. El equipo debe contar con datos de prueba y una estimación revisada. Esta condición de preparación es una política del equipo, no un artefacto obligatorio adicional de Scrum.</w:t>
      </w:r>
    </w:p>
    <w:p>
      <w:pPr>
        <w:pStyle w:val="Heading2"/>
      </w:pPr>
      <w:r>
        <w:t>Definición de terminado propuesta</w:t>
      </w:r>
    </w:p>
    <w:p>
      <w:pPr>
        <w:pStyle w:val="ListBullet"/>
      </w:pPr>
      <w:r>
        <w:t>La funcionalidad satisface los criterios acordados y funciona desde la interfaz con la API y persistencia reales del entorno de prueba.</w:t>
      </w:r>
    </w:p>
    <w:p>
      <w:pPr>
        <w:pStyle w:val="ListBullet"/>
      </w:pPr>
      <w:r>
        <w:t>La autorización se comprueba en servidor; se prueban rutas felices, rechazo de datos inválidos y acceso de otros roles o propietarios.</w:t>
      </w:r>
    </w:p>
    <w:p>
      <w:pPr>
        <w:pStyle w:val="ListBullet"/>
      </w:pPr>
      <w:r>
        <w:t>El código está revisado e identificado por commit; la compilación y las pruebas pertinentes terminan correctamente y descubren casos reales.</w:t>
      </w:r>
    </w:p>
    <w:p>
      <w:pPr>
        <w:pStyle w:val="ListBullet"/>
      </w:pPr>
      <w:r>
        <w:t>Los mensajes de interfaz distinguen error, carga, vacío y operación completada. No quedan datos estáticos presentados como resultados reales del módulo entregado.</w:t>
      </w:r>
    </w:p>
    <w:p>
      <w:pPr>
        <w:pStyle w:val="ListBullet"/>
      </w:pPr>
      <w:r>
        <w:t>La evidencia contiene entorno, pasos, resultado observado y responsable. API, ERS y matriz se actualizan si cambió el contrato o el alcance.</w:t>
      </w:r>
    </w:p>
    <w:p>
      <w:pPr>
        <w:pStyle w:val="ListBullet"/>
      </w:pPr>
      <w:r>
        <w:t>No quedan defectos críticos que impidan el objetivo o permitan acceso indebido. Cualquier limitación restante queda documentada y priorizada.</w:t>
      </w:r>
    </w:p>
    <w:p>
      <w:pPr>
        <w:pStyle w:val="Heading2"/>
      </w:pPr>
      <w:r>
        <w:t>Plan de prueba para la próxima review</w:t>
      </w:r>
    </w:p>
    <w:tbl>
      <w:tblPr>
        <w:tblW w:type="auto" w:w="0"/>
        <w:tblLayout w:type="fixed"/>
        <w:tblLook w:firstColumn="1" w:firstRow="1" w:lastColumn="0" w:lastRow="0" w:noHBand="0" w:noVBand="1" w:val="04A0"/>
      </w:tblPr>
      <w:tblGrid>
        <w:gridCol w:w="2448"/>
        <w:gridCol w:w="7272"/>
      </w:tblGrid>
      <w:tr>
        <w:trPr>
          <w:cantSplit/>
          <w:tblHeader/>
        </w:trPr>
        <w:tc>
          <w:tcPr>
            <w:tcW w:type="dxa" w:w="2448"/>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Cobertura</w:t>
            </w:r>
          </w:p>
        </w:tc>
        <w:tc>
          <w:tcPr>
            <w:tcW w:type="dxa" w:w="7272"/>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Casos y evidencia</w:t>
            </w:r>
          </w:p>
        </w:tc>
      </w:tr>
      <w:tr>
        <w:trPr>
          <w:cantSplit/>
        </w:trPr>
        <w:tc>
          <w:tcPr>
            <w:tcW w:type="dxa" w:w="2448"/>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Acceso</w:t>
            </w:r>
          </w:p>
        </w:tc>
        <w:tc>
          <w:tcPr>
            <w:tcW w:type="dxa" w:w="727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CP-02: cuatro roles, credenciales inválidas, logout y token revocado.</w:t>
            </w:r>
          </w:p>
        </w:tc>
      </w:tr>
      <w:tr>
        <w:trPr>
          <w:cantSplit/>
        </w:trPr>
        <w:tc>
          <w:tcPr>
            <w:tcW w:type="dxa" w:w="24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Solicitud y aislamiento</w:t>
            </w:r>
          </w:p>
        </w:tc>
        <w:tc>
          <w:tcPr>
            <w:tcW w:type="dxa" w:w="72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CP-03 y CP-04: creación, precio y propietario controlados en servidor, paginación y acceso ajeno.</w:t>
            </w:r>
          </w:p>
        </w:tc>
      </w:tr>
      <w:tr>
        <w:trPr>
          <w:cantSplit/>
        </w:trPr>
        <w:tc>
          <w:tcPr>
            <w:tcW w:type="dxa" w:w="2448"/>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Pago manual</w:t>
            </w:r>
          </w:p>
        </w:tc>
        <w:tc>
          <w:tcPr>
            <w:tcW w:type="dxa" w:w="727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CP-05 y CP-06: referencia única, revisión, rechazo, autoaprobación y repetición.</w:t>
            </w:r>
          </w:p>
        </w:tc>
      </w:tr>
      <w:tr>
        <w:trPr>
          <w:cantSplit/>
        </w:trPr>
        <w:tc>
          <w:tcPr>
            <w:tcW w:type="dxa" w:w="24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Controles técnicos</w:t>
            </w:r>
          </w:p>
        </w:tc>
        <w:tc>
          <w:tcPr>
            <w:tcW w:type="dxa" w:w="72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CP-11 y CP-12: límites, CORS, arranque reproducible y persistencia tras reinicio.</w:t>
            </w:r>
          </w:p>
        </w:tc>
      </w:tr>
    </w:tbl>
    <w:p/>
    <w:p>
      <w:r>
        <w:t>Registrar resultado “No ejecutado”, “Aprobado”, “Fallido” o “Bloqueado” por caso. Adjuntar captura o registro con valores de prueba, sin tokens ni claves. Para un fallo, abrir defecto con pasos, esperado, observado y tarea de corrección. Una prueba aprobada hoy debe conservar fecha y versión probada.</w:t>
      </w:r>
    </w:p>
    <w:p>
      <w:r>
        <w:br w:type="page"/>
      </w:r>
    </w:p>
    <w:p>
      <w:pPr>
        <w:pStyle w:val="Heading1"/>
      </w:pPr>
      <w:r>
        <w:t>4 Guion y registro del avance quincenal</w:t>
      </w:r>
    </w:p>
    <w:p>
      <w:pPr>
        <w:pStyle w:val="Heading2"/>
      </w:pPr>
      <w:r>
        <w:t>Demostración propuesta de diez minutos</w:t>
      </w:r>
    </w:p>
    <w:tbl>
      <w:tblPr>
        <w:tblW w:type="auto" w:w="0"/>
        <w:tblLayout w:type="fixed"/>
        <w:tblLook w:firstColumn="1" w:firstRow="1" w:lastColumn="0" w:lastRow="0" w:noHBand="0" w:noVBand="1" w:val="04A0"/>
      </w:tblPr>
      <w:tblGrid>
        <w:gridCol w:w="1224"/>
        <w:gridCol w:w="4464"/>
        <w:gridCol w:w="4032"/>
      </w:tblGrid>
      <w:tr>
        <w:trPr>
          <w:cantSplit/>
          <w:tblHeader/>
        </w:trPr>
        <w:tc>
          <w:tcPr>
            <w:tcW w:type="dxa" w:w="1224"/>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Tiempo</w:t>
            </w:r>
          </w:p>
        </w:tc>
        <w:tc>
          <w:tcPr>
            <w:tcW w:type="dxa" w:w="4464"/>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Acción</w:t>
            </w:r>
          </w:p>
        </w:tc>
        <w:tc>
          <w:tcPr>
            <w:tcW w:type="dxa" w:w="4032"/>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Evidencia visible</w:t>
            </w:r>
          </w:p>
        </w:tc>
      </w:tr>
      <w:tr>
        <w:trPr>
          <w:cantSplit/>
        </w:trPr>
        <w:tc>
          <w:tcPr>
            <w:tcW w:type="dxa" w:w="122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0 a 1 min</w:t>
            </w:r>
          </w:p>
        </w:tc>
        <w:tc>
          <w:tcPr>
            <w:tcW w:type="dxa" w:w="446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Presentar objetivo y alcance S1</w:t>
            </w:r>
          </w:p>
        </w:tc>
        <w:tc>
          <w:tcPr>
            <w:tcW w:type="dxa" w:w="403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HU seleccionadas y commit de la demo</w:t>
            </w:r>
          </w:p>
        </w:tc>
      </w:tr>
      <w:tr>
        <w:trPr>
          <w:cantSplit/>
        </w:trPr>
        <w:tc>
          <w:tcPr>
            <w:tcW w:type="dxa" w:w="122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1 a 3 min</w:t>
            </w:r>
          </w:p>
        </w:tc>
        <w:tc>
          <w:tcPr>
            <w:tcW w:type="dxa" w:w="446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Cliente inicia sesión, consulta catálogo y crea trámite</w:t>
            </w:r>
          </w:p>
        </w:tc>
        <w:tc>
          <w:tcPr>
            <w:tcW w:type="dxa" w:w="40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Folio, precio del servidor y pendiente_pago</w:t>
            </w:r>
          </w:p>
        </w:tc>
      </w:tr>
      <w:tr>
        <w:trPr>
          <w:cantSplit/>
        </w:trPr>
        <w:tc>
          <w:tcPr>
            <w:tcW w:type="dxa" w:w="122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3 a 5 min</w:t>
            </w:r>
          </w:p>
        </w:tc>
        <w:tc>
          <w:tcPr>
            <w:tcW w:type="dxa" w:w="446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Cliente informa transferencia; Finanzas inicia otra sesión y revisa</w:t>
            </w:r>
          </w:p>
        </w:tc>
        <w:tc>
          <w:tcPr>
            <w:tcW w:type="dxa" w:w="403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Pago pendiente antes de revisión y aprobación con motivo</w:t>
            </w:r>
          </w:p>
        </w:tc>
      </w:tr>
      <w:tr>
        <w:trPr>
          <w:cantSplit/>
        </w:trPr>
        <w:tc>
          <w:tcPr>
            <w:tcW w:type="dxa" w:w="122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5 a 7 min</w:t>
            </w:r>
          </w:p>
        </w:tc>
        <w:tc>
          <w:tcPr>
            <w:tcW w:type="dxa" w:w="446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Cliente vuelve a consultar; se demuestra persistencia</w:t>
            </w:r>
          </w:p>
        </w:tc>
        <w:tc>
          <w:tcPr>
            <w:tcW w:type="dxa" w:w="40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Estado en_redaccion y mismo folio tras reinicio de API</w:t>
            </w:r>
          </w:p>
        </w:tc>
      </w:tr>
      <w:tr>
        <w:trPr>
          <w:cantSplit/>
        </w:trPr>
        <w:tc>
          <w:tcPr>
            <w:tcW w:type="dxa" w:w="122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7 a 8 min</w:t>
            </w:r>
          </w:p>
        </w:tc>
        <w:tc>
          <w:tcPr>
            <w:tcW w:type="dxa" w:w="446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Intentar acceder con otro cliente y repetir revisión</w:t>
            </w:r>
          </w:p>
        </w:tc>
        <w:tc>
          <w:tcPr>
            <w:tcW w:type="dxa" w:w="4032"/>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Acceso rechazado y ausencia de pago duplicado</w:t>
            </w:r>
          </w:p>
        </w:tc>
      </w:tr>
      <w:tr>
        <w:trPr>
          <w:cantSplit/>
        </w:trPr>
        <w:tc>
          <w:tcPr>
            <w:tcW w:type="dxa" w:w="122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8 a 10 min</w:t>
            </w:r>
          </w:p>
        </w:tc>
        <w:tc>
          <w:tcPr>
            <w:tcW w:type="dxa" w:w="446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Mostrar pruebas, pendientes y siguiente objetivo</w:t>
            </w:r>
          </w:p>
        </w:tc>
        <w:tc>
          <w:tcPr>
            <w:tcW w:type="dxa" w:w="40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Resultados reales, decisiones y propuestas S2</w:t>
            </w:r>
          </w:p>
        </w:tc>
      </w:tr>
    </w:tbl>
    <w:p/>
    <w:p>
      <w:pPr>
        <w:pStyle w:val="Heading2"/>
      </w:pPr>
      <w:r>
        <w:t>Registro para completar en cada review</w:t>
      </w:r>
    </w:p>
    <w:tbl>
      <w:tblPr>
        <w:tblW w:type="auto" w:w="0"/>
        <w:tblLayout w:type="fixed"/>
        <w:tblLook w:firstColumn="1" w:firstRow="1" w:lastColumn="0" w:lastRow="0" w:noHBand="0" w:noVBand="1" w:val="04A0"/>
      </w:tblPr>
      <w:tblGrid>
        <w:gridCol w:w="2376"/>
        <w:gridCol w:w="7344"/>
      </w:tblGrid>
      <w:tr>
        <w:trPr>
          <w:cantSplit/>
          <w:tblHeader/>
        </w:trPr>
        <w:tc>
          <w:tcPr>
            <w:tcW w:type="dxa" w:w="2376"/>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Campo</w:t>
            </w:r>
          </w:p>
        </w:tc>
        <w:tc>
          <w:tcPr>
            <w:tcW w:type="dxa" w:w="7344"/>
            <w:shd w:fill="2436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Contenido a registrar</w:t>
            </w:r>
          </w:p>
        </w:tc>
      </w:tr>
      <w:tr>
        <w:trPr>
          <w:cantSplit/>
        </w:trPr>
        <w:tc>
          <w:tcPr>
            <w:tcW w:type="dxa" w:w="2376"/>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Sprint y fechas</w:t>
            </w:r>
          </w:p>
        </w:tc>
        <w:tc>
          <w:tcPr>
            <w:tcW w:type="dxa" w:w="734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Inicio, cierre y fecha de review reales.</w:t>
            </w:r>
          </w:p>
        </w:tc>
      </w:tr>
      <w:tr>
        <w:trPr>
          <w:cantSplit/>
        </w:trPr>
        <w:tc>
          <w:tcPr>
            <w:tcW w:type="dxa" w:w="23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Objetivo y versión</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Objetivo acordado, commit y entorno utilizado.</w:t>
            </w:r>
          </w:p>
        </w:tc>
      </w:tr>
      <w:tr>
        <w:trPr>
          <w:cantSplit/>
        </w:trPr>
        <w:tc>
          <w:tcPr>
            <w:tcW w:type="dxa" w:w="2376"/>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Resultados</w:t>
            </w:r>
          </w:p>
        </w:tc>
        <w:tc>
          <w:tcPr>
            <w:tcW w:type="dxa" w:w="734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Historias terminadas y evidencia; pendientes con causa.</w:t>
            </w:r>
          </w:p>
        </w:tc>
      </w:tr>
      <w:tr>
        <w:trPr>
          <w:cantSplit/>
        </w:trPr>
        <w:tc>
          <w:tcPr>
            <w:tcW w:type="dxa" w:w="23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Pruebas</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Casos aprobados, fallidos, bloqueados y no ejecutados.</w:t>
            </w:r>
          </w:p>
        </w:tc>
      </w:tr>
      <w:tr>
        <w:trPr>
          <w:cantSplit/>
        </w:trPr>
        <w:tc>
          <w:tcPr>
            <w:tcW w:type="dxa" w:w="2376"/>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Retroalimentación</w:t>
            </w:r>
          </w:p>
        </w:tc>
        <w:tc>
          <w:tcPr>
            <w:tcW w:type="dxa" w:w="7344"/>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Observación literal o síntesis, persona que la aporta y decisión adoptada.</w:t>
            </w:r>
          </w:p>
        </w:tc>
      </w:tr>
      <w:tr>
        <w:trPr>
          <w:cantSplit/>
        </w:trPr>
        <w:tc>
          <w:tcPr>
            <w:tcW w:type="dxa" w:w="23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Próxima acción</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Tarea, responsable y fecha de seguimiento.</w:t>
            </w:r>
          </w:p>
        </w:tc>
      </w:tr>
    </w:tbl>
    <w:p/>
    <w:p>
      <w:pPr>
        <w:pStyle w:val="Heading2"/>
      </w:pPr>
      <w:r>
        <w:t>Retrospectiva y métricas</w:t>
      </w:r>
    </w:p>
    <w:p>
      <w:r>
        <w:t>Registrar qué ayudó, qué dificultó y una mejora concreta para el siguiente sprint con responsable y fecha. Contar tareas terminadas y pruebas ejecutadas; medir velocidad solo con puntos estimados y criterios estables. Sin una línea base operativa, no afirmar reducción de tiempos o errores del negocio.</w:t>
      </w:r>
    </w:p>
    <w:p>
      <w:r>
        <w:t>Antes de la próxima entrega deben confirmarse la fecha de revisión, el calendario del sprint, la capacidad del equipo y las decisiones D-01, D-02, D-03, D-07 y D-10. El libro permite dejar las fechas vacías hasta tener ese acuerdo, sin simular atraso ni cumplimiento.</w:t>
      </w:r>
    </w:p>
    <w:sectPr w:rsidR="00FC693F" w:rsidRPr="0006063C" w:rsidSect="00034616">
      <w:headerReference w:type="default" r:id="rId9"/>
      <w:footerReference w:type="default" r:id="rId10"/>
      <w:pgSz w:w="11952" w:h="1684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Versión 0.1  ·  10 octubre 2026  ·  Borrador para validación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EASY OFFICE  /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Scrum y próximos avances de Easy Office</dc:title>
  <dc:subject/>
  <dc:creator>Equipo Easy Office</dc:creator>
  <cp:keywords/>
  <dc:description>generated by python-docx</dc:description>
  <cp:lastModifiedBy/>
  <cp:revision>1</cp:revision>
  <dcterms:created xsi:type="dcterms:W3CDTF">2013-12-23T23:15:00Z</dcterms:created>
  <dcterms:modified xsi:type="dcterms:W3CDTF">2013-12-23T23:15:00Z</dcterms:modified>
  <cp:category/>
</cp:coreProperties>
</file>