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C7C7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промышленности и торговли Тверской области</w:t>
      </w:r>
    </w:p>
    <w:p w14:paraId="493EDE1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Государственное бюджетное профессиональное </w:t>
      </w:r>
    </w:p>
    <w:p w14:paraId="0BDB909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образовательное учреждение</w:t>
      </w:r>
    </w:p>
    <w:p w14:paraId="0146E87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«Тверской промышленно-экономический колледж»</w:t>
      </w:r>
    </w:p>
    <w:p w14:paraId="18500CFF">
      <w:pPr>
        <w:jc w:val="center"/>
        <w:rPr>
          <w:b/>
          <w:sz w:val="28"/>
          <w:szCs w:val="28"/>
        </w:rPr>
      </w:pPr>
    </w:p>
    <w:p w14:paraId="520F533A">
      <w:pPr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«Информационные системы и программирование»</w:t>
      </w:r>
    </w:p>
    <w:p w14:paraId="30F8AD14">
      <w:pPr>
        <w:jc w:val="both"/>
        <w:rPr>
          <w:sz w:val="28"/>
          <w:szCs w:val="28"/>
        </w:rPr>
      </w:pPr>
    </w:p>
    <w:p w14:paraId="4F14A1B2">
      <w:pPr>
        <w:jc w:val="both"/>
        <w:rPr>
          <w:sz w:val="28"/>
          <w:szCs w:val="28"/>
        </w:rPr>
      </w:pPr>
    </w:p>
    <w:p w14:paraId="658C03CD">
      <w:pPr>
        <w:jc w:val="center"/>
        <w:rPr>
          <w:b/>
          <w:sz w:val="28"/>
          <w:szCs w:val="28"/>
        </w:rPr>
      </w:pPr>
    </w:p>
    <w:p w14:paraId="477ABD05">
      <w:pPr>
        <w:jc w:val="center"/>
        <w:rPr>
          <w:b/>
          <w:sz w:val="28"/>
          <w:szCs w:val="28"/>
        </w:rPr>
      </w:pPr>
    </w:p>
    <w:p w14:paraId="312A55EF">
      <w:pPr>
        <w:jc w:val="center"/>
        <w:rPr>
          <w:rFonts w:hint="default"/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Отчёт</w:t>
      </w:r>
      <w:r>
        <w:rPr>
          <w:rFonts w:hint="default"/>
          <w:b/>
          <w:sz w:val="28"/>
          <w:szCs w:val="28"/>
          <w:lang w:val="ru-RU"/>
        </w:rPr>
        <w:t xml:space="preserve"> по практике</w:t>
      </w:r>
    </w:p>
    <w:p w14:paraId="6746249F">
      <w:pPr>
        <w:jc w:val="center"/>
        <w:rPr>
          <w:rFonts w:hint="default"/>
          <w:b/>
          <w:sz w:val="28"/>
          <w:szCs w:val="28"/>
          <w:lang w:val="ru-RU"/>
        </w:rPr>
      </w:pPr>
    </w:p>
    <w:p w14:paraId="402F6F7E">
      <w:pPr>
        <w:suppressAutoHyphens w:val="0"/>
        <w:jc w:val="center"/>
        <w:rPr>
          <w:sz w:val="28"/>
          <w:szCs w:val="28"/>
          <w:lang w:eastAsia="ru-RU"/>
        </w:rPr>
      </w:pPr>
      <w:bookmarkStart w:id="0" w:name="_Hlk166620670"/>
      <w:r>
        <w:rPr>
          <w:sz w:val="28"/>
          <w:szCs w:val="28"/>
        </w:rPr>
        <w:t>Разработка информационной системы «</w:t>
      </w:r>
      <w:r>
        <w:rPr>
          <w:sz w:val="28"/>
          <w:szCs w:val="28"/>
          <w:lang w:eastAsia="ru-RU"/>
        </w:rPr>
        <w:t xml:space="preserve">Учет технического обслуживание транспорта на предприятии АО </w:t>
      </w:r>
      <w:r>
        <w:fldChar w:fldCharType="begin"/>
      </w:r>
      <w:r>
        <w:instrText xml:space="preserve"> HYPERLINK "https://www.cps.tver.ru/" \t "_blank" </w:instrText>
      </w:r>
      <w:r>
        <w:fldChar w:fldCharType="separate"/>
      </w:r>
      <w:r>
        <w:rPr>
          <w:rStyle w:val="7"/>
          <w:color w:val="auto"/>
          <w:sz w:val="28"/>
          <w:szCs w:val="28"/>
          <w:u w:val="none"/>
          <w:shd w:val="clear" w:color="auto" w:fill="FFFFFF"/>
        </w:rPr>
        <w:t>НИИ "Центрпрограммсистем"</w:t>
      </w:r>
      <w:r>
        <w:rPr>
          <w:rStyle w:val="7"/>
          <w:color w:val="auto"/>
          <w:sz w:val="28"/>
          <w:szCs w:val="28"/>
          <w:u w:val="none"/>
          <w:shd w:val="clear" w:color="auto" w:fill="FFFFFF"/>
        </w:rPr>
        <w:fldChar w:fldCharType="end"/>
      </w:r>
      <w:r>
        <w:rPr>
          <w:sz w:val="28"/>
          <w:szCs w:val="28"/>
        </w:rPr>
        <w:t>»</w:t>
      </w:r>
    </w:p>
    <w:bookmarkEnd w:id="0"/>
    <w:p w14:paraId="76D4FB0E">
      <w:pPr>
        <w:ind w:left="4248"/>
        <w:jc w:val="both"/>
        <w:rPr>
          <w:sz w:val="28"/>
          <w:szCs w:val="28"/>
        </w:rPr>
      </w:pPr>
    </w:p>
    <w:p w14:paraId="63B03076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Выполнил студент группы 4-09ПС-1</w:t>
      </w:r>
    </w:p>
    <w:p w14:paraId="793FF9C1">
      <w:pPr>
        <w:ind w:left="3261" w:right="560"/>
        <w:jc w:val="both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>Гришин Даниил Алексеевич</w:t>
      </w:r>
      <w:r>
        <w:rPr>
          <w:sz w:val="28"/>
          <w:szCs w:val="28"/>
        </w:rPr>
        <w:t xml:space="preserve">  </w:t>
      </w:r>
    </w:p>
    <w:p w14:paraId="265D479E">
      <w:pPr>
        <w:ind w:left="3261" w:right="560"/>
        <w:jc w:val="both"/>
        <w:rPr>
          <w:sz w:val="28"/>
          <w:szCs w:val="28"/>
        </w:rPr>
      </w:pPr>
    </w:p>
    <w:p w14:paraId="208AF4A3">
      <w:pPr>
        <w:ind w:left="3261" w:right="560"/>
        <w:jc w:val="both"/>
        <w:rPr>
          <w:sz w:val="28"/>
          <w:szCs w:val="28"/>
        </w:rPr>
      </w:pPr>
    </w:p>
    <w:p w14:paraId="0DD7C944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работы</w:t>
      </w:r>
    </w:p>
    <w:p w14:paraId="7C4AE42C">
      <w:pPr>
        <w:ind w:left="3261"/>
        <w:jc w:val="both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Преподаватель </w:t>
      </w:r>
      <w:r>
        <w:rPr>
          <w:rFonts w:hint="default"/>
          <w:sz w:val="28"/>
          <w:szCs w:val="28"/>
          <w:lang w:val="ru-RU"/>
        </w:rPr>
        <w:t xml:space="preserve"> Вечеслав Андреевич Антонов </w:t>
      </w:r>
    </w:p>
    <w:p w14:paraId="29DE7370">
      <w:pPr>
        <w:ind w:left="4248"/>
        <w:jc w:val="both"/>
        <w:rPr>
          <w:sz w:val="28"/>
          <w:szCs w:val="28"/>
        </w:rPr>
      </w:pPr>
    </w:p>
    <w:p w14:paraId="55FF68C7">
      <w:pPr>
        <w:ind w:left="4248"/>
        <w:jc w:val="both"/>
        <w:rPr>
          <w:sz w:val="28"/>
          <w:szCs w:val="28"/>
        </w:rPr>
      </w:pPr>
    </w:p>
    <w:p w14:paraId="42637302">
      <w:pPr>
        <w:jc w:val="both"/>
        <w:rPr>
          <w:sz w:val="28"/>
          <w:szCs w:val="28"/>
        </w:rPr>
      </w:pPr>
    </w:p>
    <w:p w14:paraId="28F0205D">
      <w:pPr>
        <w:jc w:val="both"/>
        <w:rPr>
          <w:sz w:val="28"/>
          <w:szCs w:val="28"/>
        </w:rPr>
      </w:pPr>
    </w:p>
    <w:p w14:paraId="67AE3D7E">
      <w:pPr>
        <w:jc w:val="both"/>
        <w:rPr>
          <w:sz w:val="28"/>
          <w:szCs w:val="28"/>
        </w:rPr>
      </w:pPr>
    </w:p>
    <w:p w14:paraId="6EA75047">
      <w:pPr>
        <w:jc w:val="both"/>
        <w:rPr>
          <w:sz w:val="28"/>
          <w:szCs w:val="28"/>
        </w:rPr>
      </w:pPr>
    </w:p>
    <w:p w14:paraId="089174B2">
      <w:pPr>
        <w:jc w:val="both"/>
        <w:rPr>
          <w:sz w:val="28"/>
          <w:szCs w:val="28"/>
        </w:rPr>
      </w:pPr>
    </w:p>
    <w:p w14:paraId="16D602AA">
      <w:pPr>
        <w:jc w:val="both"/>
        <w:rPr>
          <w:sz w:val="28"/>
          <w:szCs w:val="28"/>
        </w:rPr>
      </w:pPr>
    </w:p>
    <w:p w14:paraId="41AB0B41">
      <w:pPr>
        <w:jc w:val="both"/>
        <w:rPr>
          <w:sz w:val="28"/>
          <w:szCs w:val="28"/>
        </w:rPr>
      </w:pPr>
    </w:p>
    <w:p w14:paraId="56C8F350">
      <w:pPr>
        <w:jc w:val="both"/>
        <w:rPr>
          <w:sz w:val="28"/>
          <w:szCs w:val="28"/>
        </w:rPr>
      </w:pPr>
    </w:p>
    <w:p w14:paraId="13CE6A59"/>
    <w:p w14:paraId="5C6B0767"/>
    <w:p w14:paraId="536F5AB5"/>
    <w:p w14:paraId="6792A7D5"/>
    <w:p w14:paraId="7F7EA1D9"/>
    <w:p w14:paraId="3EAD5FE8"/>
    <w:p w14:paraId="6C3DA972"/>
    <w:p w14:paraId="45E4BB44"/>
    <w:p w14:paraId="106E0F2D"/>
    <w:p w14:paraId="44A86B3B"/>
    <w:p w14:paraId="6DD6717D">
      <w:pPr>
        <w:jc w:val="center"/>
      </w:pPr>
      <w:r>
        <w:rPr>
          <w:sz w:val="28"/>
          <w:szCs w:val="28"/>
        </w:rPr>
        <w:t>Тверь 202</w:t>
      </w:r>
      <w:r>
        <w:rPr>
          <w:rFonts w:hint="default"/>
          <w:sz w:val="28"/>
          <w:szCs w:val="28"/>
          <w:lang w:val="ru-RU"/>
        </w:rPr>
        <w:t>6</w:t>
      </w:r>
      <w:r>
        <w:rPr>
          <w:sz w:val="28"/>
          <w:szCs w:val="28"/>
        </w:rPr>
        <w:t xml:space="preserve"> г.</w:t>
      </w:r>
    </w:p>
    <w:p w14:paraId="3383C7E8"/>
    <w:p w14:paraId="3786615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F400341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7403865"/>
      <w:bookmarkStart w:id="2" w:name="_Toc3034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  <w:bookmarkEnd w:id="1"/>
      <w:bookmarkEnd w:id="2"/>
    </w:p>
    <w:p w14:paraId="45EC2AA7">
      <w:pPr>
        <w:spacing w:line="360" w:lineRule="auto"/>
      </w:pPr>
    </w:p>
    <w:p w14:paraId="3A647141">
      <w:pPr>
        <w:spacing w:line="360" w:lineRule="auto"/>
      </w:pPr>
    </w:p>
    <w:p w14:paraId="28F04CCF">
      <w:pPr>
        <w:pStyle w:val="1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Сфера управления техническим обслуживанием автомобилей на предприятии требует системного подхода к учёту, планированию и анализу эксплуатационных процессов. В условиях увеличения автопарков, усложнения конструкции транспортных средств, роста требований к надёжности и снижению простоев, а также увеличения объёмов обрабатываемой информации, автоматизация процессов учёта технического обслуживания становится ключевым фактором повышения эффективности деятельности предприятия.</w:t>
      </w:r>
    </w:p>
    <w:p w14:paraId="63371313">
      <w:pPr>
        <w:pStyle w:val="1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специализированных автоматизированных управляющих систем (АУС) позволяет обеспечить достоверность данных о состоянии транспортных средств, своевременность проведения технического обслуживания и ремонтов, а также прозрачность контроля затрат и ресурсов. Научно-исследовательские организации, такие как АО НИИ ЦПС, специализируются на разработке и внедрении автоматизированных управляющих систем для различных отраслей, включая сферу эксплуатации и технического обслуживания автотранспортных средств.</w:t>
      </w:r>
    </w:p>
    <w:p w14:paraId="7203DC28">
      <w:pPr>
        <w:pStyle w:val="1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этой связи актуальной является задача создания информационной системы, предназначенной для учёта технического обслуживания автомобилей на предприятии и ориентированной на использование в организациях автотранспортного профиля. Необходимость разработки такой информационной системы обусловлена процессами цифровизации, потребностью в централизованном управлении данными по автопарку, а также требованиями к повышению эффективности планирования и контроля технического обслуживания.</w:t>
      </w:r>
    </w:p>
    <w:p w14:paraId="1F7F6651">
      <w:pPr>
        <w:pStyle w:val="1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Объектом исследования в данной работе является процесс разработки автоматизированных управляющих систем для учёта технического обслуживания автомобилей на предприятии.</w:t>
      </w:r>
    </w:p>
    <w:p w14:paraId="6619D4D0">
      <w:pPr>
        <w:pStyle w:val="1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Предметом исследования являются методы и средства сбора, хранения и анализа информации о техническом состоянии автомобилей и выполненных работах по техническому обслуживанию.</w:t>
      </w:r>
    </w:p>
    <w:p w14:paraId="6100477E">
      <w:pPr>
        <w:pStyle w:val="1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 курсового проекта — разработка информационной системы учёта технического обслуживания автомобилей на предприятии в составе автоматизированной управляющей системы, разрабатываемой АО НИИ ЦПС.</w:t>
      </w:r>
    </w:p>
    <w:p w14:paraId="72DF773A">
      <w:pPr>
        <w:pStyle w:val="1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2521E46">
      <w:pPr>
        <w:pStyle w:val="12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Описание</w:t>
      </w:r>
      <w:r>
        <w:rPr>
          <w:rFonts w:hint="default"/>
          <w:b/>
          <w:bCs/>
          <w:sz w:val="28"/>
          <w:szCs w:val="28"/>
          <w:lang w:val="ru-RU"/>
        </w:rPr>
        <w:t xml:space="preserve"> предметной области</w:t>
      </w:r>
    </w:p>
    <w:p w14:paraId="42A0E827">
      <w:pPr>
        <w:pStyle w:val="12"/>
        <w:spacing w:before="0" w:beforeAutospacing="0" w:after="0" w:afterAutospacing="0" w:line="360" w:lineRule="auto"/>
        <w:jc w:val="both"/>
        <w:rPr>
          <w:rFonts w:hint="default"/>
          <w:b/>
          <w:bCs/>
          <w:sz w:val="28"/>
          <w:szCs w:val="28"/>
          <w:lang w:val="ru-RU"/>
        </w:rPr>
      </w:pPr>
      <w:bookmarkStart w:id="5" w:name="_GoBack"/>
      <w:bookmarkEnd w:id="5"/>
    </w:p>
    <w:p w14:paraId="42E7C652">
      <w:pPr>
        <w:spacing w:line="360" w:lineRule="auto"/>
        <w:ind w:firstLine="700" w:firstLineChars="25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Научно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-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исследовательский институт «Центрпрограммсистем» (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АО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НИИ ЦПС) является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одной из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г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лавных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организаций в сфере создания, развития и внедрения комплексных программных систем и решений для государственных органов и высокотехнологичных отраслей промышленности. АО НИИ ЦПС выполняет полный комплекс работ: НИР, ОКР, производство, поставка и внедрение готовых изделий и систем, опытная эксплуатация и сопровождение.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Ключевая миссия АО НИИ ЦПС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-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обеспечение технологического суверенитета и цифровой трансформации стратегически значимых областей через создание безопасного, масштабируемого и эффективного отечественного программного обеспечения.</w:t>
      </w:r>
    </w:p>
    <w:p w14:paraId="7B374434">
      <w:pPr>
        <w:spacing w:line="360" w:lineRule="auto"/>
        <w:ind w:firstLine="700" w:firstLineChars="25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Основные направления деятельности института:</w:t>
      </w:r>
    </w:p>
    <w:p w14:paraId="0E110452">
      <w:pPr>
        <w:numPr>
          <w:ilvl w:val="0"/>
          <w:numId w:val="2"/>
        </w:numPr>
        <w:spacing w:line="360" w:lineRule="auto"/>
        <w:ind w:left="665" w:leftChars="0" w:hanging="425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Научно-исследовательская и проектная деятельность</w:t>
      </w:r>
    </w:p>
    <w:p w14:paraId="4DB6BB8D">
      <w:pPr>
        <w:spacing w:line="360" w:lineRule="auto"/>
        <w:ind w:firstLine="700" w:firstLineChars="25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Институт проводит прикладные исследования в области системного анализа, архитектуры предприятий, больших данных, искусственного интеллекта и кибербезопасности. Результатом являются научно-технические заделы, прототипы и концептуальные проекты, формирующие основу для разработки комплексных программных систем. Работа вед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ё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тся в тесной кооперации с академическим сообществом и отраслевыми партн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ё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рами.</w:t>
      </w:r>
    </w:p>
    <w:p w14:paraId="409BC0BC">
      <w:pPr>
        <w:numPr>
          <w:ilvl w:val="0"/>
          <w:numId w:val="2"/>
        </w:numPr>
        <w:spacing w:line="360" w:lineRule="auto"/>
        <w:ind w:left="665" w:leftChars="0" w:hanging="425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Разработка комплексных программных систем и платформ</w:t>
      </w:r>
    </w:p>
    <w:p w14:paraId="2E58ADCC">
      <w:pPr>
        <w:spacing w:line="360" w:lineRule="auto"/>
        <w:ind w:firstLine="700" w:firstLineChars="25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АО НИИ ЦПС выступает как центр компетенций и интегратор по созданию специализированного программного обеспечения для государственного управления, оборонно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-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промышленного комплекса, научных организаций и предприятий с непрерывным циклом производства. Разрабатываемые системы включают:</w:t>
      </w:r>
    </w:p>
    <w:p w14:paraId="544FF975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Системы управления предприятиями  и ресурсами.</w:t>
      </w:r>
    </w:p>
    <w:p w14:paraId="2505F0A5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Системы автоматизированного проектирования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и управления инженерными данными.</w:t>
      </w:r>
    </w:p>
    <w:p w14:paraId="328D0775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Автоматизация управления техническим обеспечением;</w:t>
      </w:r>
    </w:p>
    <w:p w14:paraId="76A940C3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Автоматизация деятельности органов военного управления;.</w:t>
      </w:r>
    </w:p>
    <w:p w14:paraId="13C70D5E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Создание программного обеспечения для ситуационных центров.</w:t>
      </w:r>
    </w:p>
    <w:p w14:paraId="659174EC">
      <w:pPr>
        <w:numPr>
          <w:ilvl w:val="0"/>
          <w:numId w:val="2"/>
        </w:numPr>
        <w:spacing w:line="360" w:lineRule="auto"/>
        <w:ind w:left="665" w:leftChars="0" w:hanging="425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Внедрение, сопровождение и техническая поддержка</w:t>
      </w:r>
    </w:p>
    <w:p w14:paraId="49802A9B">
      <w:pPr>
        <w:spacing w:line="360" w:lineRule="auto"/>
        <w:ind w:firstLine="700" w:firstLineChars="25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Институт обеспечивает полный жизненный цикл создаваемых систем: от разв</w:t>
      </w:r>
      <w:r>
        <w:rPr>
          <w:rFonts w:hint="default"/>
          <w:b w:val="0"/>
          <w:bCs w:val="0"/>
          <w:sz w:val="28"/>
          <w:szCs w:val="28"/>
          <w:lang w:val="ru-RU"/>
        </w:rPr>
        <w:t>ё</w:t>
      </w:r>
      <w:r>
        <w:rPr>
          <w:rFonts w:hint="default"/>
          <w:b w:val="0"/>
          <w:bCs w:val="0"/>
          <w:sz w:val="28"/>
          <w:szCs w:val="28"/>
          <w:lang w:val="en-US"/>
        </w:rPr>
        <w:t>ртывания и адаптации под специфические бизнес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en-US"/>
        </w:rPr>
        <w:t>-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en-US"/>
        </w:rPr>
        <w:t>процессы заказчика до обучения персонала, технического сопровождения и постоянной модернизации. Формируется централизованная база знаний и лучших практик, что гарантирует над</w:t>
      </w:r>
      <w:r>
        <w:rPr>
          <w:rFonts w:hint="default"/>
          <w:b w:val="0"/>
          <w:bCs w:val="0"/>
          <w:sz w:val="28"/>
          <w:szCs w:val="28"/>
          <w:lang w:val="ru-RU"/>
        </w:rPr>
        <w:t>ё</w:t>
      </w:r>
      <w:r>
        <w:rPr>
          <w:rFonts w:hint="default"/>
          <w:b w:val="0"/>
          <w:bCs w:val="0"/>
          <w:sz w:val="28"/>
          <w:szCs w:val="28"/>
          <w:lang w:val="en-US"/>
        </w:rPr>
        <w:t>жность и устойчивую работу систем в реальных условиях эксплуатации.</w:t>
      </w:r>
    </w:p>
    <w:p w14:paraId="79C77EA3">
      <w:pPr>
        <w:numPr>
          <w:ilvl w:val="0"/>
          <w:numId w:val="2"/>
        </w:numPr>
        <w:spacing w:line="360" w:lineRule="auto"/>
        <w:ind w:left="665" w:leftChars="0" w:hanging="425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Образовательная деятельность</w:t>
      </w:r>
    </w:p>
    <w:p w14:paraId="4E9409E4">
      <w:pPr>
        <w:spacing w:line="360" w:lineRule="auto"/>
        <w:ind w:firstLine="700" w:firstLineChars="25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C 2008 года АО НИИ ЦПС реализует образовательную программу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en-US"/>
        </w:rPr>
        <w:t>школа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en-US"/>
        </w:rPr>
        <w:t>-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en-US"/>
        </w:rPr>
        <w:t>вуз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en-US"/>
        </w:rPr>
        <w:t>-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en-US"/>
        </w:rPr>
        <w:t>предприятие, сотрудничая со школами и вузами Твери и Тверской области. Проводит уроки, курсы примечания, производственные практики, стажировки для школьников и студентов. Также участвует в организации хакатонов и олимпиад по информатике.</w:t>
      </w:r>
    </w:p>
    <w:p w14:paraId="782E923C">
      <w:pPr>
        <w:spacing w:line="360" w:lineRule="auto"/>
        <w:ind w:firstLine="700" w:firstLineChars="25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Заключение</w:t>
      </w:r>
    </w:p>
    <w:p w14:paraId="51A87D28">
      <w:pPr>
        <w:spacing w:line="360" w:lineRule="auto"/>
        <w:ind w:firstLine="700" w:firstLineChars="25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АО НИИ ЦПС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en-US"/>
        </w:rPr>
        <w:t>«Центрпрограммсистем» позиционирует себя как системный интегратор и генератор высокотехнологичных программных решений, способствующих цифровизации государства и промышленности. Деятельность института носит междисциплинарный характер, сочетая глубокие научные исследования с практической разработкой и внедрением. Для поддержания высокой эффективности и бесперебойности всех процессов, включая критически важный процесс обслуживания собственной сложной технической базы, институт нуждается в современных инструментах внутренней автоматизации, таких как система управления ремонтами цифровой техники.</w:t>
      </w:r>
    </w:p>
    <w:p w14:paraId="45C2D836">
      <w:pPr>
        <w:spacing w:line="360" w:lineRule="auto"/>
        <w:ind w:firstLine="700" w:firstLineChars="250"/>
        <w:rPr>
          <w:rFonts w:hint="default"/>
          <w:b w:val="0"/>
          <w:bCs w:val="0"/>
          <w:sz w:val="28"/>
          <w:szCs w:val="28"/>
          <w:lang w:val="en-US"/>
        </w:rPr>
      </w:pPr>
    </w:p>
    <w:p w14:paraId="7679704F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Разработка приложения</w:t>
      </w:r>
    </w:p>
    <w:p w14:paraId="088BFCF5">
      <w:pPr>
        <w:pStyle w:val="13"/>
        <w:numPr>
          <w:ilvl w:val="1"/>
          <w:numId w:val="1"/>
        </w:numPr>
        <w:ind w:left="140" w:leftChars="0" w:firstLine="0" w:firstLineChars="0"/>
        <w:outlineLvl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3" w:name="_Toc9977"/>
      <w:r>
        <w:rPr>
          <w:rFonts w:hint="default" w:ascii="Times New Roman" w:hAnsi="Times New Roman" w:cs="Times New Roman"/>
          <w:b/>
          <w:bCs/>
          <w:sz w:val="28"/>
          <w:szCs w:val="28"/>
        </w:rPr>
        <w:t>Описание функционала</w:t>
      </w:r>
      <w:bookmarkEnd w:id="3"/>
    </w:p>
    <w:p w14:paraId="078D0019">
      <w:pPr>
        <w:pStyle w:val="13"/>
        <w:numPr>
          <w:numId w:val="0"/>
        </w:numPr>
        <w:ind w:left="140"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00001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  <w:rtl w:val="0"/>
        </w:rPr>
        <w:t>Разрабатываемая информационная система представляет собой специализированное программное решение, предназначенное для учёта и анализа опасных факторов при техническом обслуживании автомобилей и разрабатываемое в рамках автоматизированной управляющей системы (АУС). Система ориентирована на использование в организациях, осуществляющих эксплуатацию и техническое обслуживание автотранспортных средств, и создаётся НИИ ЦПС в рамках его деятельности по разработке и внедрению АУС для различных отраслей.</w:t>
      </w:r>
    </w:p>
    <w:p w14:paraId="00000002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>Ключевая задача системы заключается в обеспечении централизованного сбора, хранения и анализа информации об опасных и вредных факторах, а также в поддержке принятия управленческих решений в области охраны труда и промышленной безопасности. Использование автоматизированных средств позволяет повысить прозрачность процессов, снизить влияние человеческого фактора и обеспечить соответствие требованиям нормативных документов.</w:t>
      </w:r>
    </w:p>
    <w:p w14:paraId="00000003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>Ниже приведены основные этапы функционирования системы в рамках автоматизированного управления процессами охраны труда при техническом обслуживании автомобилей.</w:t>
      </w:r>
    </w:p>
    <w:p w14:paraId="00000004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>Основные этапы работы системы</w:t>
      </w:r>
    </w:p>
    <w:p w14:paraId="00000005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>1. Сбор и регистрация информации об опасных факторах</w:t>
      </w:r>
    </w:p>
    <w:p w14:paraId="00000006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>На данном этапе осуществляется ввод и фиксация данных об опасных и вредных производственных факторах, выявленных в процессе выполнения работ по техническому обслуживанию автомобилей. Информация поступает от персонала организации через пользовательский интерфейс системы и сохраняется в централизованной базе данных. Автоматизированный учёт обеспечивает полноту и достоверность первичных данных.</w:t>
      </w:r>
    </w:p>
    <w:p w14:paraId="00000007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>2. Структурирование и классификация данных</w:t>
      </w:r>
    </w:p>
    <w:p w14:paraId="00000008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>Зарегистрированные опасные факторы структурируются и классифицируются в соответствии с установленными нормативными требованиями (механические, химические, электрические, физические и др.). Система обеспечивает привязку факторов к конкретным видам работ, рабочим зонам и категориям персонала, а также поддерживает актуализацию данных при изменении условий эксплуатации.</w:t>
      </w:r>
    </w:p>
    <w:p w14:paraId="00000009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>3. Анализ и оценка рисков</w:t>
      </w:r>
    </w:p>
    <w:p w14:paraId="0000000A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>На этапе анализа осуществляется оценка уровня профессиональных рисков, связанных с выявленными опасными факторами. Система поддерживает использование методик оценки рисков, формирует аналитические отчёты и выявляет наиболее критичные зоны, требующие управленческого вмешательства. Результаты анализа используются для прогнозирования возможных инцидентов и определения приоритетных мер по снижению рисков.</w:t>
      </w:r>
    </w:p>
    <w:p w14:paraId="0000000B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>4. Формирование отчётности и поддержка управленческих решений</w:t>
      </w:r>
    </w:p>
    <w:p w14:paraId="0000000C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>На заключительном этапе система автоматически формирует отчёты по охране труда и безопасности, необходимые для внутреннего контроля и внешней отчётности. На основе аналитических данных принимаются управленческие решения, направленные на снижение уровня опасных факторов, корректировку регламентов и повышение безопасности при техническом обслуживании автомобилей. Разработанная информационная система интегрируется в состав АУС, создаваемой НИИ ЦПС, и может быть адаптирована под требования конкретной организации-заказчика.</w:t>
      </w:r>
    </w:p>
    <w:p w14:paraId="0000000D">
      <w:pPr>
        <w:spacing w:line="360" w:lineRule="auto"/>
        <w:ind w:firstLine="700"/>
        <w:jc w:val="both"/>
        <w:rPr>
          <w:b/>
          <w:bCs/>
          <w:sz w:val="28"/>
          <w:szCs w:val="28"/>
        </w:rPr>
      </w:pPr>
      <w:r>
        <w:rPr>
          <w:sz w:val="28"/>
          <w:szCs w:val="28"/>
          <w:rtl w:val="0"/>
        </w:rPr>
        <w:t>Исходя из анализа предметной области, целей и задач разрабатываемой информационной системы, а также выделенных этапов её функционирования, для формализации требований к системе и определения взаимодействия пользователей с программным продуктом была разработана диаграмма вариантов использования (Use Case)</w:t>
      </w:r>
      <w:r>
        <w:rPr>
          <w:b/>
          <w:bCs/>
          <w:sz w:val="28"/>
          <w:szCs w:val="28"/>
          <w:rtl w:val="0"/>
        </w:rPr>
        <w:t>.</w:t>
      </w:r>
    </w:p>
    <w:p w14:paraId="0000000E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114300" distB="114300" distL="114300" distR="114300">
            <wp:extent cx="4864100" cy="6197600"/>
            <wp:effectExtent l="0" t="0" r="12700" b="127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rtl w:val="0"/>
        </w:rPr>
        <w:t>Рисунок 1 - Диаграмма USE CASE</w:t>
      </w:r>
    </w:p>
    <w:p w14:paraId="00000010">
      <w:pPr>
        <w:spacing w:line="360" w:lineRule="auto"/>
      </w:pPr>
      <w:r>
        <w:rPr>
          <w:rtl w:val="0"/>
        </w:rPr>
        <w:t xml:space="preserve"> </w:t>
      </w:r>
    </w:p>
    <w:p w14:paraId="00000011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>В результате проведённого анализа были определены ключевые функции и задачи, реализуемые разрабатываемой информационной системой учёта и анализа опасных факторов. Также были выделены основные бизнес-процессы, подлежащие автоматизации с целью повышения эффективности управления охраной труда и промышленной безопасностью при техническом обслуживании автомобилей. К таким процессам относятся:</w:t>
      </w:r>
    </w:p>
    <w:p w14:paraId="00000012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sz w:val="28"/>
          <w:szCs w:val="28"/>
          <w:rtl w:val="0"/>
        </w:rPr>
        <w:t>Сбор и регистрация данных об опасных и вредных факторах, возникающих в процессе технического обслуживания автомобилей.</w:t>
      </w:r>
    </w:p>
    <w:p w14:paraId="00000013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sz w:val="28"/>
          <w:szCs w:val="28"/>
          <w:rtl w:val="0"/>
        </w:rPr>
        <w:t>Централизованное хранение и актуализация информации об опасных факторах, инструктажах и результатах проверок в единой базе данных.</w:t>
      </w:r>
    </w:p>
    <w:p w14:paraId="00000014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sz w:val="28"/>
          <w:szCs w:val="28"/>
          <w:rtl w:val="0"/>
        </w:rPr>
        <w:t>Классификация опасных факторов в соответствии с нормативными требованиями и привязка их к видам работ, рабочим зонам и категориям персонала.</w:t>
      </w:r>
    </w:p>
    <w:p w14:paraId="00000015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sz w:val="28"/>
          <w:szCs w:val="28"/>
          <w:rtl w:val="0"/>
        </w:rPr>
        <w:t>Анализ и оценка профессиональных рисков, а также выявление наиболее критичных факторов, влияющих на безопасность труда.</w:t>
      </w:r>
    </w:p>
    <w:p w14:paraId="00000016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sz w:val="28"/>
          <w:szCs w:val="28"/>
          <w:rtl w:val="0"/>
        </w:rPr>
        <w:t>Формирование аналитической и регламентированной отчётности для руководства и контролирующих органов.</w:t>
      </w:r>
    </w:p>
    <w:p w14:paraId="00000017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sz w:val="28"/>
          <w:szCs w:val="28"/>
          <w:rtl w:val="0"/>
        </w:rPr>
        <w:t>Поддержка принятия управленческих решений, направленных на снижение уровня рисков и повышение безопасности при выполнении технического обслуживания.</w:t>
      </w:r>
    </w:p>
    <w:p w14:paraId="00000018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  <w:rtl w:val="0"/>
        </w:rPr>
        <w:t>Для детализации бизнес-процессов была разработана диаграмма IDEF0, которая позволяет отобразить следующие элементы:</w:t>
      </w:r>
    </w:p>
    <w:p w14:paraId="00000019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sz w:val="28"/>
          <w:szCs w:val="28"/>
          <w:rtl w:val="0"/>
        </w:rPr>
        <w:t>Входные данные (информация об опасных факторах, результаты работы ТО);</w:t>
      </w:r>
    </w:p>
    <w:p w14:paraId="0000001A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sz w:val="28"/>
          <w:szCs w:val="28"/>
          <w:rtl w:val="0"/>
        </w:rPr>
        <w:t>Управление (требования охраны труда, инструкции по безопасности, нормативные документы);</w:t>
      </w:r>
    </w:p>
    <w:p w14:paraId="0000001B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sz w:val="28"/>
          <w:szCs w:val="28"/>
          <w:rtl w:val="0"/>
        </w:rPr>
        <w:t>Механизмы (механик, руководитель участка ТО, бумажные журналы);</w:t>
      </w:r>
    </w:p>
    <w:p w14:paraId="0000001C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sz w:val="28"/>
          <w:szCs w:val="28"/>
          <w:rtl w:val="0"/>
        </w:rPr>
        <w:t>Выходы (бумажные журналы и отчёты, отчёты по безопасности, управленческие решения).</w:t>
      </w:r>
    </w:p>
    <w:p w14:paraId="0781EA67">
      <w:pPr>
        <w:numPr>
          <w:numId w:val="0"/>
        </w:numPr>
        <w:spacing w:before="0" w:beforeAutospacing="0" w:after="240"/>
        <w:ind w:left="360" w:leftChars="0"/>
      </w:pPr>
    </w:p>
    <w:p w14:paraId="320904E5">
      <w:pPr>
        <w:rPr>
          <w:rFonts w:hint="default"/>
          <w:b/>
          <w:bCs/>
          <w:sz w:val="28"/>
          <w:szCs w:val="28"/>
          <w:rtl w:val="0"/>
          <w:lang w:val="en-US"/>
        </w:rPr>
      </w:pPr>
      <w:r>
        <w:rPr>
          <w:rFonts w:hint="default"/>
          <w:b/>
          <w:bCs/>
          <w:sz w:val="28"/>
          <w:szCs w:val="28"/>
          <w:rtl w:val="0"/>
          <w:lang w:val="en-US"/>
        </w:rPr>
        <w:br w:type="page"/>
      </w:r>
    </w:p>
    <w:p w14:paraId="069C1FDC">
      <w:pPr>
        <w:numPr>
          <w:ilvl w:val="1"/>
          <w:numId w:val="1"/>
        </w:numPr>
        <w:spacing w:before="0" w:beforeAutospacing="0" w:after="240"/>
        <w:ind w:left="140" w:leftChars="0" w:firstLine="0" w:firstLineChars="0"/>
        <w:outlineLvl w:val="0"/>
        <w:rPr>
          <w:rFonts w:hint="default"/>
          <w:b/>
          <w:bCs/>
          <w:sz w:val="28"/>
          <w:szCs w:val="28"/>
          <w:rtl w:val="0"/>
          <w:lang w:val="ru-RU"/>
        </w:rPr>
      </w:pPr>
      <w:bookmarkStart w:id="4" w:name="_Toc8293"/>
      <w:r>
        <w:rPr>
          <w:rFonts w:hint="default"/>
          <w:b/>
          <w:bCs/>
          <w:sz w:val="28"/>
          <w:szCs w:val="28"/>
          <w:rtl w:val="0"/>
          <w:lang w:val="ru-RU"/>
        </w:rPr>
        <w:t>Прототип</w:t>
      </w:r>
      <w:bookmarkEnd w:id="4"/>
    </w:p>
    <w:p w14:paraId="40688FDB">
      <w:pPr>
        <w:rPr>
          <w:rFonts w:hint="default" w:asciiTheme="majorAscii" w:hAnsiTheme="majorAscii"/>
          <w:sz w:val="28"/>
          <w:szCs w:val="28"/>
          <w:lang w:val="ru-RU"/>
        </w:rPr>
      </w:pPr>
      <w:r>
        <w:rPr>
          <w:rFonts w:hint="default" w:asciiTheme="majorAscii" w:hAnsiTheme="majorAscii"/>
          <w:sz w:val="28"/>
          <w:szCs w:val="28"/>
        </w:rPr>
        <w:drawing>
          <wp:inline distT="0" distB="0" distL="114300" distR="114300">
            <wp:extent cx="2458085" cy="5009515"/>
            <wp:effectExtent l="0" t="0" r="18415" b="6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500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ajorAscii" w:hAnsiTheme="majorAscii"/>
          <w:sz w:val="28"/>
          <w:szCs w:val="28"/>
        </w:rPr>
        <w:drawing>
          <wp:inline distT="0" distB="0" distL="114300" distR="114300">
            <wp:extent cx="2460625" cy="4955540"/>
            <wp:effectExtent l="0" t="0" r="15875" b="1651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495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77BB6">
      <w:pPr>
        <w:rPr>
          <w:rFonts w:hint="default" w:asciiTheme="majorAscii" w:hAnsiTheme="majorAscii"/>
          <w:sz w:val="28"/>
          <w:szCs w:val="28"/>
          <w:lang w:val="ru-RU"/>
        </w:rPr>
      </w:pPr>
    </w:p>
    <w:p w14:paraId="4B4535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eastAsia="Segoe UI Emoji" w:cs="Segoe UI Emoji" w:asciiTheme="majorAscii" w:hAnsiTheme="majorAsci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  <w:lang w:val="ru-RU"/>
        </w:rPr>
        <w:t xml:space="preserve">Пункт </w:t>
      </w:r>
      <w:r>
        <w:rPr>
          <w:rFonts w:hint="default" w:eastAsia="Segoe UI Emoji" w:cs="Segoe UI Emoji" w:asciiTheme="majorAscii" w:hAnsiTheme="majorAscii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Сбор и регистрация</w:t>
      </w:r>
    </w:p>
    <w:p w14:paraId="421D2B83">
      <w:pPr>
        <w:rPr>
          <w:rFonts w:hint="default" w:asciiTheme="majorAscii" w:hAnsiTheme="majorAscii"/>
          <w:sz w:val="28"/>
          <w:szCs w:val="28"/>
          <w:lang w:val="ru-RU"/>
        </w:rPr>
      </w:pPr>
    </w:p>
    <w:p w14:paraId="1BCFA7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outlineLvl w:val="9"/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drawing>
          <wp:inline distT="0" distB="0" distL="114300" distR="114300">
            <wp:extent cx="3810000" cy="5502275"/>
            <wp:effectExtent l="0" t="0" r="0" b="31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50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ACC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outlineLvl w:val="0"/>
        <w:rPr>
          <w:rFonts w:hint="default" w:eastAsia="Segoe UI Emoji" w:cs="Segoe UI Emoji" w:asciiTheme="majorAscii" w:hAnsiTheme="majorAsci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eastAsia="Segoe UI Emoji" w:cs="Segoe UI Emoji" w:asciiTheme="majorAscii" w:hAnsiTheme="majorAscii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Регистрация нового опасного фактора</w:t>
      </w:r>
    </w:p>
    <w:p w14:paraId="72FE7B18">
      <w:pPr>
        <w:rPr>
          <w:rFonts w:hint="default" w:asciiTheme="majorAscii" w:hAnsiTheme="majorAscii"/>
          <w:sz w:val="28"/>
          <w:szCs w:val="28"/>
        </w:rPr>
      </w:pPr>
    </w:p>
    <w:p w14:paraId="08FB7A21">
      <w:pPr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br w:type="page"/>
      </w:r>
    </w:p>
    <w:p w14:paraId="1D3738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eastAsia="Segoe UI Emoji" w:cs="Segoe UI Emoji" w:asciiTheme="majorAscii" w:hAnsiTheme="majorAsci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drawing>
          <wp:inline distT="0" distB="0" distL="114300" distR="114300">
            <wp:extent cx="2384425" cy="5117465"/>
            <wp:effectExtent l="0" t="0" r="15875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4425" cy="511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ajorAscii" w:hAnsiTheme="majorAscii"/>
          <w:sz w:val="28"/>
          <w:szCs w:val="28"/>
        </w:rPr>
        <w:drawing>
          <wp:inline distT="0" distB="0" distL="114300" distR="114300">
            <wp:extent cx="2742565" cy="5455920"/>
            <wp:effectExtent l="0" t="0" r="635" b="1143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Segoe UI Emoji" w:cs="Segoe UI Emoji" w:asciiTheme="majorAscii" w:hAnsiTheme="majorAscii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Структурирование и классификация данных</w:t>
      </w:r>
    </w:p>
    <w:p w14:paraId="06FDC1B0">
      <w:pPr>
        <w:rPr>
          <w:rFonts w:hint="default" w:asciiTheme="majorAscii" w:hAnsiTheme="majorAscii"/>
          <w:sz w:val="28"/>
          <w:szCs w:val="28"/>
        </w:rPr>
      </w:pPr>
    </w:p>
    <w:p w14:paraId="3644BBCE">
      <w:pPr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br w:type="page"/>
      </w:r>
    </w:p>
    <w:p w14:paraId="143D62B7">
      <w:pPr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drawing>
          <wp:inline distT="0" distB="0" distL="114300" distR="114300">
            <wp:extent cx="2542540" cy="5149215"/>
            <wp:effectExtent l="0" t="0" r="10160" b="1333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514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ajorAscii" w:hAnsiTheme="majorAscii"/>
          <w:sz w:val="28"/>
          <w:szCs w:val="28"/>
        </w:rPr>
        <w:drawing>
          <wp:inline distT="0" distB="0" distL="114300" distR="114300">
            <wp:extent cx="2531110" cy="5174615"/>
            <wp:effectExtent l="0" t="0" r="2540" b="698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517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1DE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eastAsia="Segoe UI Emoji" w:cs="Segoe UI Emoji" w:asciiTheme="majorAscii" w:hAnsiTheme="majorAscii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eastAsia="Segoe UI Emoji" w:cs="Segoe UI Emoji" w:asciiTheme="majorAscii" w:hAnsiTheme="majorAscii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Анализ и оценка рисков</w:t>
      </w:r>
    </w:p>
    <w:p w14:paraId="7296A16B">
      <w:pPr>
        <w:rPr>
          <w:rFonts w:hint="default" w:asciiTheme="majorAscii" w:hAnsiTheme="majorAscii"/>
          <w:sz w:val="28"/>
          <w:szCs w:val="28"/>
        </w:rPr>
      </w:pPr>
    </w:p>
    <w:p w14:paraId="798BE6F2">
      <w:pPr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br w:type="page"/>
      </w:r>
    </w:p>
    <w:p w14:paraId="51931CCD">
      <w:pPr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drawing>
          <wp:inline distT="0" distB="0" distL="114300" distR="114300">
            <wp:extent cx="2503805" cy="5273040"/>
            <wp:effectExtent l="0" t="0" r="10795" b="381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ajorAscii" w:hAnsiTheme="majorAscii"/>
          <w:sz w:val="28"/>
          <w:szCs w:val="28"/>
        </w:rPr>
        <w:drawing>
          <wp:inline distT="0" distB="0" distL="114300" distR="114300">
            <wp:extent cx="2527935" cy="5167630"/>
            <wp:effectExtent l="0" t="0" r="5715" b="1397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516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B46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eastAsia="Segoe UI Emoji" w:cs="Segoe UI Emoji" w:asciiTheme="majorAscii" w:hAnsiTheme="majorAscii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</w:pPr>
      <w:r>
        <w:rPr>
          <w:rFonts w:hint="default" w:eastAsia="Segoe UI Emoji" w:cs="Segoe UI Emoji" w:asciiTheme="majorAscii" w:hAnsiTheme="majorAscii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Формирование отчётности и поддержка управленческих решений</w:t>
      </w:r>
    </w:p>
    <w:p w14:paraId="4A9DF382">
      <w:pPr>
        <w:rPr>
          <w:rFonts w:hint="default" w:eastAsia="Segoe UI Emoji" w:cs="Segoe UI Emoji" w:asciiTheme="majorAscii" w:hAnsiTheme="majorAscii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</w:pPr>
      <w:r>
        <w:rPr>
          <w:rFonts w:hint="default" w:eastAsia="Segoe UI Emoji" w:cs="Segoe UI Emoji" w:asciiTheme="majorAscii" w:hAnsiTheme="majorAscii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br w:type="page"/>
      </w:r>
    </w:p>
    <w:p w14:paraId="3956AF50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Руководство пользователя для приложения </w:t>
      </w:r>
      <w:r>
        <w:rPr>
          <w:rFonts w:hint="default"/>
          <w:b/>
          <w:bCs/>
          <w:sz w:val="28"/>
          <w:szCs w:val="28"/>
          <w:lang w:val="en-US"/>
        </w:rPr>
        <w:t>RepairRisk</w:t>
      </w:r>
    </w:p>
    <w:p w14:paraId="6A7904F6">
      <w:pPr>
        <w:numPr>
          <w:numId w:val="0"/>
        </w:numPr>
        <w:ind w:leftChars="0"/>
        <w:rPr>
          <w:rFonts w:hint="default"/>
          <w:b/>
          <w:bCs/>
          <w:sz w:val="28"/>
          <w:szCs w:val="28"/>
          <w:lang w:val="ru-RU"/>
        </w:rPr>
      </w:pPr>
    </w:p>
    <w:p w14:paraId="21F25066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1. Главный экран</w:t>
      </w:r>
      <w:r>
        <w:rPr>
          <w:rFonts w:hint="default"/>
          <w:b w:val="0"/>
          <w:bCs w:val="0"/>
          <w:sz w:val="28"/>
          <w:szCs w:val="28"/>
          <w:lang w:val="ru-RU"/>
        </w:rPr>
        <w:t>: Сбор и регистрация</w:t>
      </w:r>
    </w:p>
    <w:p w14:paraId="75785AA7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(Соответствует первому скриншоту)</w:t>
      </w:r>
    </w:p>
    <w:p w14:paraId="20DF79EC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Это стартовая точка вашей работы. Здесь отображается общая статистика и последние записи.</w:t>
      </w:r>
    </w:p>
    <w:p w14:paraId="694E20D0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447CF06F">
      <w:pPr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Статистика: В верхней части экрана отображаются ключевые показатели (количество активных факторов, зарегистрированных инцидентов и т.д.).</w:t>
      </w:r>
    </w:p>
    <w:p w14:paraId="6DF11A41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2F2CFFCA">
      <w:pPr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Последние записи: Лента недавно добавленных опасных факторов. Нажатие на запись открывает её для просмотра или редактирования.</w:t>
      </w:r>
    </w:p>
    <w:p w14:paraId="391FF02D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784795A4">
      <w:pPr>
        <w:numPr>
          <w:ilvl w:val="0"/>
          <w:numId w:val="6"/>
        </w:numPr>
        <w:ind w:left="420" w:leftChars="0" w:hanging="420" w:firstLineChars="0"/>
        <w:rPr>
          <w:rFonts w:hint="default" w:asciiTheme="majorAscii" w:hAnsiTheme="majorAscii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Кнопка «Добавить» (+): Крупная плавающая кнопка в правом нижнем углу для быстрого перехода к регистрации нового фактора.</w:t>
      </w:r>
    </w:p>
    <w:p w14:paraId="3E1B0595">
      <w:pPr>
        <w:jc w:val="center"/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drawing>
          <wp:inline distT="0" distB="0" distL="114300" distR="114300">
            <wp:extent cx="2458085" cy="5009515"/>
            <wp:effectExtent l="0" t="0" r="18415" b="63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500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1784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Регистрация нового опасного фактора</w:t>
      </w:r>
    </w:p>
    <w:p w14:paraId="582970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(Соответствует второму скриншоту)</w:t>
      </w:r>
    </w:p>
    <w:p w14:paraId="0545F9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Этот экран предназначен для внесения информации о новом опасном факторе в систему.</w:t>
      </w:r>
    </w:p>
    <w:p w14:paraId="38C856C3">
      <w:pPr>
        <w:rPr>
          <w:rFonts w:hint="default" w:ascii="Times New Roman" w:hAnsi="Times New Roman" w:cs="Times New Roman"/>
          <w:sz w:val="28"/>
          <w:szCs w:val="28"/>
        </w:rPr>
      </w:pPr>
    </w:p>
    <w:p w14:paraId="112624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Поля для заполнения:</w:t>
      </w:r>
    </w:p>
    <w:p w14:paraId="72FE4457">
      <w:pPr>
        <w:rPr>
          <w:rFonts w:hint="default" w:ascii="Times New Roman" w:hAnsi="Times New Roman" w:cs="Times New Roman"/>
          <w:sz w:val="28"/>
          <w:szCs w:val="28"/>
        </w:rPr>
      </w:pPr>
    </w:p>
    <w:p w14:paraId="61F39737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Наименование фактора: Текстовое поле для ввода названия (например, «Шум», «Химическое воздействие», «Скользкий пол»).</w:t>
      </w:r>
    </w:p>
    <w:p w14:paraId="38C8099B">
      <w:pPr>
        <w:rPr>
          <w:rFonts w:hint="default" w:ascii="Times New Roman" w:hAnsi="Times New Roman" w:cs="Times New Roman"/>
          <w:sz w:val="28"/>
          <w:szCs w:val="28"/>
        </w:rPr>
      </w:pPr>
    </w:p>
    <w:p w14:paraId="698630C3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Место обнаружения: Укажите цех, участок или точное местоположение.</w:t>
      </w:r>
    </w:p>
    <w:p w14:paraId="453C7077">
      <w:pPr>
        <w:rPr>
          <w:rFonts w:hint="default" w:ascii="Times New Roman" w:hAnsi="Times New Roman" w:cs="Times New Roman"/>
          <w:sz w:val="28"/>
          <w:szCs w:val="28"/>
        </w:rPr>
      </w:pPr>
    </w:p>
    <w:p w14:paraId="6E111DE5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Дата и время: Фиксация времени инцидента или обнаружения.</w:t>
      </w:r>
    </w:p>
    <w:p w14:paraId="346A905F">
      <w:pPr>
        <w:rPr>
          <w:rFonts w:hint="default" w:ascii="Times New Roman" w:hAnsi="Times New Roman" w:cs="Times New Roman"/>
          <w:sz w:val="28"/>
          <w:szCs w:val="28"/>
        </w:rPr>
      </w:pPr>
    </w:p>
    <w:p w14:paraId="6B76C04A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Описание: Подробное описание обстоятельств.</w:t>
      </w:r>
    </w:p>
    <w:p w14:paraId="7370F07B">
      <w:pPr>
        <w:rPr>
          <w:rFonts w:hint="default" w:ascii="Times New Roman" w:hAnsi="Times New Roman" w:cs="Times New Roman"/>
          <w:sz w:val="28"/>
          <w:szCs w:val="28"/>
        </w:rPr>
      </w:pPr>
    </w:p>
    <w:p w14:paraId="7F1B7EFC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Фото/Медиа: Возможность прикрепить фотографии с места событий (значок фотоаппарата).</w:t>
      </w:r>
    </w:p>
    <w:p w14:paraId="3F5E9258">
      <w:pPr>
        <w:rPr>
          <w:rFonts w:hint="default" w:ascii="Times New Roman" w:hAnsi="Times New Roman" w:cs="Times New Roman"/>
          <w:sz w:val="28"/>
          <w:szCs w:val="28"/>
        </w:rPr>
      </w:pPr>
    </w:p>
    <w:p w14:paraId="10FB874C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Кнопка «Сохранить»: Подтверждение внесения данных.</w:t>
      </w:r>
    </w:p>
    <w:p w14:paraId="0052794A">
      <w:pPr>
        <w:rPr>
          <w:rFonts w:hint="default" w:ascii="Times New Roman" w:hAnsi="Times New Roman" w:cs="Times New Roman"/>
          <w:sz w:val="28"/>
          <w:szCs w:val="28"/>
        </w:rPr>
      </w:pPr>
    </w:p>
    <w:p w14:paraId="0DEAC9AD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Кнопка «Отмена»: Возврат к предыдущему экрану без сохранения.</w:t>
      </w:r>
    </w:p>
    <w:p w14:paraId="41E88C90">
      <w:pPr>
        <w:rPr>
          <w:rFonts w:hint="default" w:asciiTheme="majorAscii" w:hAnsiTheme="majorAscii"/>
          <w:sz w:val="28"/>
          <w:szCs w:val="28"/>
        </w:rPr>
      </w:pPr>
    </w:p>
    <w:p w14:paraId="4BF7252B">
      <w:pPr>
        <w:jc w:val="center"/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drawing>
          <wp:inline distT="0" distB="0" distL="114300" distR="114300">
            <wp:extent cx="1939290" cy="3230245"/>
            <wp:effectExtent l="0" t="0" r="3810" b="825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929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C5FD">
      <w:pPr>
        <w:numPr>
          <w:numId w:val="0"/>
        </w:numPr>
        <w:spacing w:before="0" w:beforeAutospacing="0" w:after="240"/>
        <w:ind w:left="140" w:leftChars="0"/>
        <w:rPr>
          <w:rFonts w:hint="default"/>
          <w:b/>
          <w:bCs/>
          <w:sz w:val="28"/>
          <w:szCs w:val="28"/>
          <w:rtl w:val="0"/>
          <w:lang w:val="ru-RU"/>
        </w:rPr>
      </w:pPr>
    </w:p>
    <w:p w14:paraId="0468B8C5">
      <w:pPr>
        <w:numPr>
          <w:numId w:val="0"/>
        </w:numPr>
        <w:spacing w:line="360" w:lineRule="auto"/>
        <w:ind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3. Структурирование и классификация данных</w:t>
      </w:r>
    </w:p>
    <w:p w14:paraId="112C5DFF">
      <w:pPr>
        <w:numPr>
          <w:numId w:val="0"/>
        </w:numPr>
        <w:spacing w:line="360" w:lineRule="auto"/>
        <w:ind w:left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(Соответствует третьему скриншоту)</w:t>
      </w:r>
    </w:p>
    <w:p w14:paraId="1C584F35">
      <w:pPr>
        <w:numPr>
          <w:numId w:val="0"/>
        </w:numPr>
        <w:spacing w:line="360" w:lineRule="auto"/>
        <w:ind w:left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После сбора данных их необходимо классифицировать. Этот экран позволяет назначать записям категории и теги для удобной фильтрации.</w:t>
      </w:r>
    </w:p>
    <w:p w14:paraId="30674168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Список записей: Отображает неклассифицированные или все последние записи.</w:t>
      </w:r>
    </w:p>
    <w:p w14:paraId="1EC221E3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Редактор категорий:</w:t>
      </w:r>
    </w:p>
    <w:p w14:paraId="69565193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При нажатии на запись открывается окно (или выпадающий список) для выбора категории (например: «Физические», «Химические», «Эргономические»).</w:t>
      </w:r>
    </w:p>
    <w:p w14:paraId="42518697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Возможность добавления тегов для более тонкой настройки поиска.</w:t>
      </w:r>
    </w:p>
    <w:p w14:paraId="615258A4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Поиск и фильтры: Строка поиска в верхней части для быстрого нахождения записей по имени или тегам.</w:t>
      </w:r>
    </w:p>
    <w:p w14:paraId="6593AA6D">
      <w:pPr>
        <w:pStyle w:val="12"/>
        <w:spacing w:before="0" w:beforeAutospacing="0" w:after="0" w:afterAutospacing="0" w:line="360" w:lineRule="auto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 w:asciiTheme="majorAscii" w:hAnsiTheme="majorAscii"/>
          <w:sz w:val="28"/>
          <w:szCs w:val="28"/>
        </w:rPr>
        <w:drawing>
          <wp:inline distT="0" distB="0" distL="114300" distR="114300">
            <wp:extent cx="2497455" cy="3608070"/>
            <wp:effectExtent l="0" t="0" r="17145" b="1143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23383">
      <w:pPr>
        <w:pStyle w:val="12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99729C1">
      <w:pPr>
        <w:suppressAutoHyphens w:val="0"/>
        <w:spacing w:line="360" w:lineRule="auto"/>
        <w:ind w:firstLine="709"/>
        <w:jc w:val="both"/>
        <w:rPr>
          <w:rFonts w:hint="default"/>
          <w:lang w:val="ru-RU" w:eastAsia="ru-RU"/>
        </w:rPr>
      </w:pPr>
    </w:p>
    <w:p w14:paraId="3FDB015D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4. Анализ и оценка рисков</w:t>
      </w:r>
    </w:p>
    <w:p w14:paraId="1D737DD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(Соответствует четвертому скриншоту)</w:t>
      </w:r>
    </w:p>
    <w:p w14:paraId="7479B21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Модуль для математической и экспертной оценки степени риска.</w:t>
      </w:r>
    </w:p>
    <w:p w14:paraId="1B4D9EB4">
      <w:pPr>
        <w:rPr>
          <w:rFonts w:hint="default"/>
          <w:sz w:val="28"/>
          <w:szCs w:val="28"/>
          <w:lang w:val="en-US"/>
        </w:rPr>
      </w:pPr>
    </w:p>
    <w:p w14:paraId="08D52689">
      <w:pPr>
        <w:numPr>
          <w:ilvl w:val="0"/>
          <w:numId w:val="6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Матрица рисков (Heat Map): Визуальное отображение рисков в виде таблицы (Вероятность vs Последствия).</w:t>
      </w:r>
    </w:p>
    <w:p w14:paraId="198AC0DF">
      <w:pPr>
        <w:rPr>
          <w:rFonts w:hint="default"/>
          <w:sz w:val="28"/>
          <w:szCs w:val="28"/>
          <w:lang w:val="en-US"/>
        </w:rPr>
      </w:pPr>
    </w:p>
    <w:p w14:paraId="6631B793">
      <w:pPr>
        <w:numPr>
          <w:ilvl w:val="1"/>
          <w:numId w:val="6"/>
        </w:numPr>
        <w:ind w:left="84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Красные зоны — высокий риск.</w:t>
      </w:r>
    </w:p>
    <w:p w14:paraId="1B1B9F05">
      <w:pPr>
        <w:rPr>
          <w:rFonts w:hint="default"/>
          <w:sz w:val="28"/>
          <w:szCs w:val="28"/>
          <w:lang w:val="en-US"/>
        </w:rPr>
      </w:pPr>
    </w:p>
    <w:p w14:paraId="07C3CAA8">
      <w:pPr>
        <w:numPr>
          <w:ilvl w:val="1"/>
          <w:numId w:val="6"/>
        </w:numPr>
        <w:ind w:left="84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Желтые зоны — средний риск.</w:t>
      </w:r>
    </w:p>
    <w:p w14:paraId="0A2DFFC3">
      <w:pPr>
        <w:rPr>
          <w:rFonts w:hint="default"/>
          <w:sz w:val="28"/>
          <w:szCs w:val="28"/>
          <w:lang w:val="en-US"/>
        </w:rPr>
      </w:pPr>
    </w:p>
    <w:p w14:paraId="4956AC26">
      <w:pPr>
        <w:numPr>
          <w:ilvl w:val="1"/>
          <w:numId w:val="6"/>
        </w:numPr>
        <w:ind w:left="84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Зеленые зоны — низкий риск.</w:t>
      </w:r>
    </w:p>
    <w:p w14:paraId="4A64F06D">
      <w:pPr>
        <w:rPr>
          <w:rFonts w:hint="default"/>
          <w:sz w:val="28"/>
          <w:szCs w:val="28"/>
          <w:lang w:val="en-US"/>
        </w:rPr>
      </w:pPr>
    </w:p>
    <w:p w14:paraId="722016B6">
      <w:pPr>
        <w:numPr>
          <w:ilvl w:val="0"/>
          <w:numId w:val="7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Детали риска: При нажатии на конкретный элемент на карте (или в списке снизу) отображается подробная информация:</w:t>
      </w:r>
    </w:p>
    <w:p w14:paraId="304BE907">
      <w:pPr>
        <w:rPr>
          <w:rFonts w:hint="default"/>
          <w:sz w:val="28"/>
          <w:szCs w:val="28"/>
          <w:lang w:val="en-US"/>
        </w:rPr>
      </w:pPr>
    </w:p>
    <w:p w14:paraId="7ED3A2BE">
      <w:pPr>
        <w:numPr>
          <w:ilvl w:val="1"/>
          <w:numId w:val="7"/>
        </w:numPr>
        <w:tabs>
          <w:tab w:val="clear" w:pos="840"/>
        </w:tabs>
        <w:ind w:left="84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Текущий уровень риска.</w:t>
      </w:r>
    </w:p>
    <w:p w14:paraId="0037DF42">
      <w:pPr>
        <w:rPr>
          <w:rFonts w:hint="default"/>
          <w:sz w:val="28"/>
          <w:szCs w:val="28"/>
          <w:lang w:val="en-US"/>
        </w:rPr>
      </w:pPr>
    </w:p>
    <w:p w14:paraId="233D64AE">
      <w:pPr>
        <w:numPr>
          <w:ilvl w:val="1"/>
          <w:numId w:val="7"/>
        </w:numPr>
        <w:tabs>
          <w:tab w:val="clear" w:pos="840"/>
        </w:tabs>
        <w:ind w:left="84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Рекомендуемые меры по снижению.</w:t>
      </w:r>
    </w:p>
    <w:p w14:paraId="3C69A365">
      <w:pPr>
        <w:rPr>
          <w:rFonts w:hint="default"/>
          <w:sz w:val="28"/>
          <w:szCs w:val="28"/>
          <w:lang w:val="en-US"/>
        </w:rPr>
      </w:pPr>
    </w:p>
    <w:p w14:paraId="608FB795">
      <w:pPr>
        <w:numPr>
          <w:ilvl w:val="1"/>
          <w:numId w:val="7"/>
        </w:numPr>
        <w:tabs>
          <w:tab w:val="clear" w:pos="840"/>
        </w:tabs>
        <w:ind w:left="84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Ответственный за контроль.</w:t>
      </w:r>
    </w:p>
    <w:p w14:paraId="6E08F246">
      <w:pPr>
        <w:rPr>
          <w:rFonts w:hint="default"/>
          <w:sz w:val="28"/>
          <w:szCs w:val="28"/>
          <w:lang w:val="en-US"/>
        </w:rPr>
      </w:pPr>
    </w:p>
    <w:p w14:paraId="52C48FAC">
      <w:pPr>
        <w:numPr>
          <w:ilvl w:val="0"/>
          <w:numId w:val="8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Панель сортировки: Возможность сортировать риски по уровню (Высокий/Средний/Низкий).</w:t>
      </w:r>
    </w:p>
    <w:p w14:paraId="6C7F6A4B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3018B317">
      <w:pPr>
        <w:jc w:val="center"/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drawing>
          <wp:inline distT="0" distB="0" distL="114300" distR="114300">
            <wp:extent cx="1736725" cy="3520440"/>
            <wp:effectExtent l="0" t="0" r="15875" b="3810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ajorAscii" w:hAnsiTheme="majorAscii"/>
          <w:sz w:val="28"/>
          <w:szCs w:val="28"/>
        </w:rPr>
        <w:drawing>
          <wp:inline distT="0" distB="0" distL="114300" distR="114300">
            <wp:extent cx="1794510" cy="3488690"/>
            <wp:effectExtent l="0" t="0" r="15240" b="1651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45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3201A">
      <w:pPr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br w:type="page"/>
      </w:r>
    </w:p>
    <w:p w14:paraId="3F7E18F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Формирование отчетности и поддержка управленческих решений</w:t>
      </w:r>
    </w:p>
    <w:p w14:paraId="6824732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(Соответствует пятому скриншоту)</w:t>
      </w:r>
    </w:p>
    <w:p w14:paraId="2E14FF4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Итоговый экран для генерации отчетов и экспорта данных.</w:t>
      </w:r>
    </w:p>
    <w:p w14:paraId="206C8E18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5E557E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Настройка отчета:</w:t>
      </w:r>
    </w:p>
    <w:p w14:paraId="5415A3F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9B4EBBB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Период: Выбор даты начала и окончания отчета (сегодня, неделя, месяц, произвольный период).</w:t>
      </w:r>
    </w:p>
    <w:p w14:paraId="7EE9C9C6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Тип отчета: Выбор формата выгрузки (Полный отчет, Краткая сводка, Статистика по подразделениям).</w:t>
      </w:r>
    </w:p>
    <w:p w14:paraId="3164855D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Предпросмотр: Краткий превью отчета с основными цифрами (в центре экрана).</w:t>
      </w:r>
    </w:p>
    <w:p w14:paraId="0BD3FA9C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Кнопка «Экспорт»: Сохранение отчета в файл (PDF, Excel).</w:t>
      </w:r>
    </w:p>
    <w:p w14:paraId="34EC3F0C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Кнопка «Печать»: Отправка отчета на принтер.</w:t>
      </w:r>
    </w:p>
    <w:p w14:paraId="602F224D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Кнопка «Отправить»: Отправка отчета по электронной почте руководству.</w:t>
      </w:r>
    </w:p>
    <w:p w14:paraId="6E7B7E61">
      <w:pPr>
        <w:numPr>
          <w:numId w:val="0"/>
        </w:numPr>
        <w:ind w:leftChars="0"/>
        <w:jc w:val="center"/>
        <w:rPr>
          <w:rFonts w:hint="default"/>
          <w:sz w:val="28"/>
          <w:szCs w:val="28"/>
          <w:lang w:val="en-US"/>
        </w:rPr>
      </w:pPr>
    </w:p>
    <w:p w14:paraId="3436FE67">
      <w:pPr>
        <w:jc w:val="center"/>
        <w:rPr>
          <w:rFonts w:hint="default" w:asciiTheme="majorAscii" w:hAnsiTheme="majorAscii"/>
          <w:sz w:val="28"/>
          <w:szCs w:val="28"/>
        </w:rPr>
      </w:pPr>
      <w:r>
        <w:rPr>
          <w:rFonts w:hint="default" w:asciiTheme="majorAscii" w:hAnsiTheme="majorAscii"/>
          <w:sz w:val="28"/>
          <w:szCs w:val="28"/>
        </w:rPr>
        <w:drawing>
          <wp:inline distT="0" distB="0" distL="114300" distR="114300">
            <wp:extent cx="2503805" cy="5121275"/>
            <wp:effectExtent l="0" t="0" r="10795" b="3175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512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ajorAscii" w:hAnsiTheme="majorAscii"/>
          <w:sz w:val="28"/>
          <w:szCs w:val="28"/>
        </w:rPr>
        <w:drawing>
          <wp:inline distT="0" distB="0" distL="114300" distR="114300">
            <wp:extent cx="2527935" cy="5120005"/>
            <wp:effectExtent l="0" t="0" r="5715" b="4445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512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B1B86">
      <w:pPr>
        <w:numPr>
          <w:numId w:val="0"/>
        </w:numPr>
        <w:ind w:leftChars="0"/>
        <w:jc w:val="center"/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A21F8F"/>
    <w:multiLevelType w:val="multilevel"/>
    <w:tmpl w:val="9EA21F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B121D8F6"/>
    <w:multiLevelType w:val="multilevel"/>
    <w:tmpl w:val="B121D8F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DCE7855E"/>
    <w:multiLevelType w:val="multilevel"/>
    <w:tmpl w:val="DCE7855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14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14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14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14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14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14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14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140" w:leftChars="0" w:firstLine="0" w:firstLineChars="0"/>
      </w:pPr>
      <w:rPr>
        <w:rFonts w:hint="default"/>
      </w:rPr>
    </w:lvl>
  </w:abstractNum>
  <w:abstractNum w:abstractNumId="3">
    <w:nsid w:val="E744D122"/>
    <w:multiLevelType w:val="multilevel"/>
    <w:tmpl w:val="E744D12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77C50C4"/>
    <w:multiLevelType w:val="multilevel"/>
    <w:tmpl w:val="177C50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17844778"/>
    <w:multiLevelType w:val="singleLevel"/>
    <w:tmpl w:val="17844778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665" w:leftChars="0" w:hanging="425" w:firstLineChars="0"/>
      </w:pPr>
      <w:rPr>
        <w:rFonts w:hint="default"/>
      </w:rPr>
    </w:lvl>
  </w:abstractNum>
  <w:abstractNum w:abstractNumId="6">
    <w:nsid w:val="1D0257C9"/>
    <w:multiLevelType w:val="singleLevel"/>
    <w:tmpl w:val="1D0257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C3540B1"/>
    <w:multiLevelType w:val="singleLevel"/>
    <w:tmpl w:val="5C3540B1"/>
    <w:lvl w:ilvl="0" w:tentative="0">
      <w:start w:val="1"/>
      <w:numFmt w:val="bullet"/>
      <w:lvlText w:val="·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2745C7"/>
    <w:rsid w:val="02F76DEB"/>
    <w:rsid w:val="07A030D5"/>
    <w:rsid w:val="0D814CB6"/>
    <w:rsid w:val="15BB0D33"/>
    <w:rsid w:val="1BBC1C8E"/>
    <w:rsid w:val="1C911160"/>
    <w:rsid w:val="1D93068D"/>
    <w:rsid w:val="202745C7"/>
    <w:rsid w:val="21A93F47"/>
    <w:rsid w:val="25663CDA"/>
    <w:rsid w:val="260512EE"/>
    <w:rsid w:val="2A7A723E"/>
    <w:rsid w:val="32265FD5"/>
    <w:rsid w:val="39E34C87"/>
    <w:rsid w:val="3DE06791"/>
    <w:rsid w:val="426C200C"/>
    <w:rsid w:val="4B8841F9"/>
    <w:rsid w:val="544D5C5C"/>
    <w:rsid w:val="57E654C3"/>
    <w:rsid w:val="5AB17BE1"/>
    <w:rsid w:val="690B0C63"/>
    <w:rsid w:val="742C5DA8"/>
    <w:rsid w:val="7AAF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ar-SA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9"/>
    <w:pPr>
      <w:suppressAutoHyphens w:val="0"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1">
    <w:name w:val="footer"/>
    <w:basedOn w:val="1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Normal (Web)"/>
    <w:basedOn w:val="1"/>
    <w:unhideWhenUsed/>
    <w:uiPriority w:val="99"/>
    <w:pPr>
      <w:suppressAutoHyphens w:val="0"/>
      <w:spacing w:before="100" w:beforeAutospacing="1" w:after="100" w:afterAutospacing="1"/>
    </w:pPr>
    <w:rPr>
      <w:lang w:eastAsia="ru-RU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paragraph" w:customStyle="1" w:styleId="14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2026-02-20T13:11:00Z</dcterms:created>
  <dc:creator>danya</dc:creator>
  <cp:lastModifiedBy>danya</cp:lastModifiedBy>
  <dcterms:modified xsi:type="dcterms:W3CDTF">2026-02-20T14:37:23Z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98F49BE7082143DF91BCADD790866BB5_13</vt:lpwstr>
  </property>
</Properties>
</file>