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8" w:type="dxa"/>
        <w:tblLook w:val="01E0" w:firstRow="1" w:lastRow="1" w:firstColumn="1" w:lastColumn="1" w:noHBand="0" w:noVBand="0"/>
      </w:tblPr>
      <w:tblGrid>
        <w:gridCol w:w="3708"/>
        <w:gridCol w:w="5220"/>
      </w:tblGrid>
      <w:tr w:rsidR="005F6E83" w:rsidRPr="005F6E83" w:rsidTr="005F6E83">
        <w:trPr>
          <w:trHeight w:val="540"/>
        </w:trPr>
        <w:tc>
          <w:tcPr>
            <w:tcW w:w="3708" w:type="dxa"/>
          </w:tcPr>
          <w:p w:rsidR="005F6E83" w:rsidRPr="005F6E83" w:rsidRDefault="005F6E83" w:rsidP="005F6E83">
            <w:pPr>
              <w:jc w:val="center"/>
              <w:rPr>
                <w:rFonts w:ascii="Arial" w:hAnsi="Arial" w:cs="Arial"/>
                <w:b/>
                <w:color w:val="auto"/>
                <w:sz w:val="20"/>
                <w:szCs w:val="20"/>
              </w:rPr>
            </w:pPr>
            <w:bookmarkStart w:id="0" w:name="_GoBack"/>
            <w:bookmarkEnd w:id="0"/>
            <w:r w:rsidRPr="005F6E83">
              <w:rPr>
                <w:rFonts w:ascii="Arial" w:hAnsi="Arial" w:cs="Arial"/>
                <w:b/>
                <w:color w:val="auto"/>
                <w:sz w:val="20"/>
                <w:szCs w:val="20"/>
              </w:rPr>
              <w:t>QUỐC HỘI</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w:t>
            </w:r>
          </w:p>
          <w:p w:rsidR="005F6E83" w:rsidRPr="005F6E83" w:rsidRDefault="005F6E83" w:rsidP="005F6E83">
            <w:pPr>
              <w:jc w:val="center"/>
              <w:rPr>
                <w:rFonts w:ascii="Arial" w:hAnsi="Arial" w:cs="Arial"/>
                <w:color w:val="auto"/>
                <w:sz w:val="20"/>
                <w:szCs w:val="20"/>
              </w:rPr>
            </w:pPr>
            <w:r w:rsidRPr="005F6E83">
              <w:rPr>
                <w:rFonts w:ascii="Arial" w:hAnsi="Arial" w:cs="Arial"/>
                <w:color w:val="auto"/>
                <w:sz w:val="20"/>
                <w:szCs w:val="20"/>
              </w:rPr>
              <w:t>Luật số: 47/2010/QH12</w:t>
            </w:r>
          </w:p>
          <w:p w:rsidR="005F6E83" w:rsidRPr="005F6E83" w:rsidRDefault="005F6E83" w:rsidP="005F6E83">
            <w:pPr>
              <w:jc w:val="center"/>
              <w:rPr>
                <w:rFonts w:ascii="Arial" w:hAnsi="Arial" w:cs="Arial"/>
                <w:b/>
                <w:color w:val="auto"/>
                <w:sz w:val="20"/>
                <w:szCs w:val="20"/>
              </w:rPr>
            </w:pPr>
          </w:p>
        </w:tc>
        <w:tc>
          <w:tcPr>
            <w:tcW w:w="5220" w:type="dxa"/>
          </w:tcPr>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CỘNG HÒA XÃ HỘI CHỦ NGHĨA VIỆT </w:t>
            </w:r>
            <w:smartTag w:uri="urn:schemas-microsoft-com:office:smarttags" w:element="country-region">
              <w:smartTag w:uri="urn:schemas-microsoft-com:office:smarttags" w:element="place">
                <w:r w:rsidRPr="005F6E83">
                  <w:rPr>
                    <w:rFonts w:ascii="Arial" w:hAnsi="Arial" w:cs="Arial"/>
                    <w:b/>
                    <w:color w:val="auto"/>
                    <w:sz w:val="20"/>
                    <w:szCs w:val="20"/>
                  </w:rPr>
                  <w:t>NAM</w:t>
                </w:r>
              </w:smartTag>
            </w:smartTag>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Độc lập - Tự do - Hạnh phúc</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w:t>
            </w:r>
          </w:p>
        </w:tc>
      </w:tr>
    </w:tbl>
    <w:p w:rsidR="005F6E83" w:rsidRPr="005F6E83" w:rsidRDefault="005F6E83" w:rsidP="005F6E83">
      <w:pPr>
        <w:jc w:val="center"/>
        <w:rPr>
          <w:rFonts w:ascii="Arial" w:hAnsi="Arial" w:cs="Arial"/>
          <w:b/>
          <w:color w:val="auto"/>
          <w:sz w:val="22"/>
          <w:szCs w:val="22"/>
        </w:rPr>
      </w:pPr>
    </w:p>
    <w:p w:rsidR="005F6E83" w:rsidRPr="005F6E83" w:rsidRDefault="005F6E83" w:rsidP="005F6E83">
      <w:pPr>
        <w:jc w:val="center"/>
        <w:rPr>
          <w:rFonts w:ascii="Arial" w:hAnsi="Arial" w:cs="Arial"/>
          <w:b/>
          <w:color w:val="auto"/>
          <w:sz w:val="22"/>
          <w:szCs w:val="22"/>
        </w:rPr>
      </w:pPr>
    </w:p>
    <w:p w:rsidR="005F6E83" w:rsidRPr="005F6E83" w:rsidRDefault="005F6E83" w:rsidP="005F6E83">
      <w:pPr>
        <w:jc w:val="center"/>
        <w:rPr>
          <w:rFonts w:ascii="Arial" w:hAnsi="Arial" w:cs="Arial"/>
          <w:b/>
          <w:color w:val="auto"/>
          <w:sz w:val="22"/>
          <w:szCs w:val="22"/>
        </w:rPr>
      </w:pPr>
      <w:r w:rsidRPr="005F6E83">
        <w:rPr>
          <w:rFonts w:ascii="Arial" w:hAnsi="Arial" w:cs="Arial"/>
          <w:b/>
          <w:color w:val="auto"/>
          <w:sz w:val="22"/>
          <w:szCs w:val="22"/>
        </w:rPr>
        <w:t>LUẬT</w:t>
      </w:r>
    </w:p>
    <w:p w:rsidR="005F6E83" w:rsidRPr="005F6E83" w:rsidRDefault="005F6E83" w:rsidP="005F6E83">
      <w:pPr>
        <w:jc w:val="center"/>
        <w:rPr>
          <w:rFonts w:ascii="Arial" w:hAnsi="Arial" w:cs="Arial"/>
          <w:b/>
          <w:color w:val="auto"/>
          <w:sz w:val="22"/>
          <w:szCs w:val="22"/>
        </w:rPr>
      </w:pPr>
      <w:r w:rsidRPr="005F6E83">
        <w:rPr>
          <w:rFonts w:ascii="Arial" w:hAnsi="Arial" w:cs="Arial"/>
          <w:b/>
          <w:color w:val="auto"/>
          <w:sz w:val="22"/>
          <w:szCs w:val="22"/>
        </w:rPr>
        <w:t>CÁC TỔ CHỨC TÍN DỤNG</w:t>
      </w:r>
    </w:p>
    <w:p w:rsidR="005F6E83" w:rsidRPr="005F6E83" w:rsidRDefault="005F6E83" w:rsidP="005F6E83">
      <w:pPr>
        <w:jc w:val="center"/>
        <w:rPr>
          <w:rFonts w:ascii="Arial" w:hAnsi="Arial" w:cs="Arial"/>
          <w:b/>
          <w:color w:val="auto"/>
          <w:sz w:val="22"/>
          <w:szCs w:val="22"/>
        </w:rPr>
      </w:pPr>
    </w:p>
    <w:p w:rsidR="005F6E83" w:rsidRPr="005F6E83" w:rsidRDefault="005F6E83" w:rsidP="005F6E83">
      <w:pPr>
        <w:jc w:val="center"/>
        <w:rPr>
          <w:rFonts w:ascii="Arial" w:hAnsi="Arial" w:cs="Arial"/>
          <w:b/>
          <w:color w:val="auto"/>
          <w:sz w:val="22"/>
          <w:szCs w:val="22"/>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Căn cứ Hiến pháp nước Cộng hòa xã hội chủ nghĩa Việt Nam năm 1992 đã được sửa đổi, bổ sung một số điều theo Nghị quyết số 51/2001/QH10;</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Quốc hội ban hành Luật các tổ chức tín dụng.</w:t>
      </w:r>
    </w:p>
    <w:p w:rsidR="005F6E83" w:rsidRPr="005F6E83" w:rsidRDefault="005F6E83" w:rsidP="005F6E83">
      <w:pPr>
        <w:rPr>
          <w:rFonts w:ascii="Arial" w:hAnsi="Arial" w:cs="Arial"/>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I</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NHỮNG QUY ĐỊNH CHUNG</w:t>
      </w:r>
    </w:p>
    <w:p w:rsidR="005F6E83" w:rsidRPr="005F6E83" w:rsidRDefault="005F6E83" w:rsidP="005F6E83">
      <w:pPr>
        <w:rPr>
          <w:rFonts w:ascii="Arial" w:hAnsi="Arial" w:cs="Arial"/>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 </w:t>
      </w:r>
      <w:r w:rsidRPr="005F6E83">
        <w:rPr>
          <w:rFonts w:ascii="Arial" w:hAnsi="Arial" w:cs="Arial"/>
          <w:color w:val="auto"/>
          <w:sz w:val="20"/>
          <w:szCs w:val="20"/>
        </w:rPr>
        <w:t>Phạm vi điều chỉnh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Luật này quy định về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2.</w:t>
      </w:r>
      <w:r w:rsidRPr="005F6E83">
        <w:rPr>
          <w:rFonts w:ascii="Arial" w:hAnsi="Arial" w:cs="Arial"/>
          <w:color w:val="auto"/>
          <w:sz w:val="20"/>
          <w:szCs w:val="20"/>
        </w:rPr>
        <w:t xml:space="preserve"> Đối tượng áp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Luật này áp dụng đối với các đối tượng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Văn phòng đại diện của tổ chức tín dụng nước ngoài, tổ chức nước ngoài khác có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 chức, cá nhân có liên quan đến việc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 </w:t>
      </w:r>
      <w:r w:rsidRPr="005F6E83">
        <w:rPr>
          <w:rFonts w:ascii="Arial" w:hAnsi="Arial" w:cs="Arial"/>
          <w:color w:val="auto"/>
          <w:sz w:val="20"/>
          <w:szCs w:val="20"/>
        </w:rPr>
        <w:t xml:space="preserve">Áp dụng Luật các tổ chức tín dụng, điều ước quốc tế, tập quán thương mại quốc tế và các luật có liên quan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Việc thành lập, tổ chức và hoạt động, kiểm soát đặc biệt, tổ chức lại, giải thể tổ chức tín dụng; việc thành lập, tổ chức và hoạt động của chi nhánh ngân hàng nước ngoài, văn phòng đại diện của tổ chức tín dụng nước ngoài, tổ chức nước ngoài khác có hoạt động ngân hàng phải tuân theo quy định của Luật này và các quy định khác của pháp luật có liên quan.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Trường hợp có quy định khác nhau giữa Luật này và các luật khác có liên quan về thành lập, tổ chức, hoạt động, kiểm soát đặc biệt, tổ chức lại, giải thể tổ chức tín dụng; việc thành lập, tổ chức, hoạt động của chi nhánh ngân hàng nước ngoài, văn phòng đại diện của tổ chức tín dụng nước ngoài, tổ chức nước ngoài khác có hoạt động ngân hàng thì áp dụng theo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Trường hợp điều ước quốc tế mà Cộng hòa xã hội chủ nghĩa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là thành viên có quy định khác với quy định của Luật này thì áp dụng quy định của điều ước quốc tế đó.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 chức, cá nhân tham gia hoạt động ngân hàng được quyền thỏa thuận áp dụng tập quán thương mại, bao gồm: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Tập quán thương mại quốc tế do Phòng thương mại quốc tế ban hành;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b) Tập quán thương mại khác không trái với pháp luật của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w:t>
      </w:r>
      <w:r w:rsidRPr="005F6E83">
        <w:rPr>
          <w:rFonts w:ascii="Arial" w:hAnsi="Arial" w:cs="Arial"/>
          <w:color w:val="auto"/>
          <w:sz w:val="20"/>
          <w:szCs w:val="20"/>
        </w:rPr>
        <w:t xml:space="preserve"> Giải thích từ ngữ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Trong Luật này, các từ ngữ dưới đây được hiểu như sau: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là doanh nghiệp thực hiện một, một số hoặc tất cả các hoạt động ngân hàng. Tổ chức tín dụng bao gồm ngân hàng, tổ chức tín dụng phi ngân hàng, tổ chức tài chính vi mô và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là loại hình tổ chức tín dụng có thể được thực hiện tất cả các hoạt động ngân hàng theo quy định của Luật này. Theo tính chất và mục tiêu hoạt động, các loại hình ngân hàng bao gồm ngân hàng thương mại, ngân hàng chính sách, ngân hàng hợp tác xã.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Ngân hàng thương mại là loại hình ngân hàng được thực hiện tất cả các hoạt động ngân hàng và các hoạt động kinh doanh khác theo quy định của Luật này nhằm mục tiêu lợi nhuận.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 chức tín dụng phi ngân hàng là loại hình tổ chức tín dụng được thực hiện một hoặc một số hoạt động ngân hàng theo quy định của Luật này, trừ các hoạt động nhận tiền gửi của cá nhân và cung ứng các dịch vụ thanh toán qua tài khoản của khách hàng. Tổ chức tín dụng phi ngân hàng bao gồm công ty tài chính, công ty cho thuê tài chính và các tổ chức tín dụng phi ngân hàng khác.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Công ty cho thuê tài chính là loại hình công ty tài chính có hoạt động chính là cho thuê tài chính theo quy định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Tổ chức tài chính vi mô là loại hình tổ chức tín dụng chủ yếu thực hiện một số hoạt động ngân hàng nhằm đáp ứng nhu cầu của các cá nhân, hộ gia đình có thu nhập thấp và doanh nghiệp siêu nhỏ.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Quỹ tín dụng nhân dân là tổ chức tín dụng do các pháp nhân, cá nhân và hộ gia đình tự nguyện thành lập dưới hình thức hợp tác xã để thực hiện một số hoạt động ngân hàng theo quy định của Luật này và Luật hợp tác xã nhằm mục tiêu chủ yếu là tương trợ nhau phát triển sản xuất, kinh doanh và đời sống.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Ngân hàng hợp tác xã là ngân hàng của tất cả các quỹ tín dụng nhân dân do các quỹ tín dụng nhân dân và một số pháp nhân góp vốn thành lập theo quy định của Luật này nhằm mục tiêu chủ yếu là liên kết hệ thống, hỗ trợ tài chính, điều hòa vốn trong hệ thống các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8. Tổ chức tín dụng nước ngoài là tổ chức tín dụng được thành lập ở nước ngoài theo quy định của pháp luật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Tổ chức tín dụng nước ngoài được hiện diện thương mại tại Việt Nam dưới hình thức văn phòng đại diện, ngân hàng liên doanh, ngân hàng 100% vốn nước ngoài, chi nhánh ngân hàng nước ngoài, công ty tài chính liên doanh, công ty tài chính 100% vốn nước ngoài, công ty cho thuê tài chính liên doanh, công ty cho thuê tài chính 100% vốn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liên doanh, ngân hàng 100% vốn nước ngoài là loại hình ngân hàng thương mại; công ty tài chính liên doanh, công ty tài chính 100% vốn nước ngoài là loại hình công ty tài chính; công ty cho thuê tài chính liên doanh, công ty cho thuê tài chính 100% vốn nước ngoài là loại hình công ty cho thuê tài chính theo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9. Chi nhánh ngân hàng nước ngoài là đơn vị phụ thuộc của ngân hàng nước ngoài, không có tư cách pháp nhân, được ngân hàng nước ngoài bảo đảm chịu trách nhiệm về mọi nghĩa vụ, cam kết của chi nhánh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10. Vốn tự có gồm giá trị thực của vốn điều lệ của tổ chức tín dụng hoặc vốn được cấp của chi nhánh ngân hàng nước ngoài và các quỹ dự trữ, một số tài sản nợ khác theo quy định của Ngân hàng Nhà nước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(sau đây gọi là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11. Giấy phép bao gồm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do Ngân hàng Nhà nước cấp. Văn bản của Ngân hàng Nhà nước về sửa đổi, bổ sung Giấy phép là một bộ phận không tách rời của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12. Hoạt động ngân hàng là việc kinh doanh, cung ứng thường xuyên một hoặc một số các nghiệp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Nhận tiền gửi;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Cấp tín dụng;</w:t>
      </w:r>
    </w:p>
    <w:p w:rsidR="005F6E83" w:rsidRPr="005F6E83" w:rsidDel="005F754A"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Cung ứng dịch vụ thanh toán qua tài khoản.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13. Nhận tiền gửi là hoạt động nhận tiền của tổ chức, cá nhân dưới hình thức tiền gửi không kỳ hạn, tiền gửi có kỳ hạn, tiền gửi tiết kiệm, phát hành chứng chỉ tiền gửi, kỳ phiếu, tín phiếu và các hình thức nhận tiền gửi khác theo nguyên tắc có hoàn trả đầy đủ tiền gốc, lãi cho người gửi tiền theo thỏa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14. Cấp tín dụng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15. Cung ứng dịch vụ thanh toán qua tài khoản là việc cung ứng phương tiện thanh toán; thực hiện dịch vụ thanh toán séc, lệnh chi, ủy nhiệm chi, nhờ thu, ủy nhiệm thu, thẻ ngân hàng, thư tín dụng và các dịch vụ thanh toán khác cho khách hàng thông qua tài khoản của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16. Cho vay là hình thức cấp tín dụng, theo đó bên cho vay giao hoặc cam kết giao cho khách hàng một khoản tiền để sử dụng vào mục đích xác định trong một thời gian nhất định theo thỏa thuận với nguyên tắc có hoàn trả cả gốc và lãi.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17. Bao thanh toán là hình thức cấp tín dụng cho bên bán hàng hoặc bên mua hàng thông qua việc mua lại có bảo lưu quyền truy đòi các khoản phải thu hoặc các khoản phải trả phát sinh từ việc mua, bán hàng hoá, cung ứng dịch vụ theo hợp đồng mua, bán hàng hoá, cung ứng dịch vụ.</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18. Bảo lãnh ngân hàng là hình thức cấp tín dụng, theo đó tổ chức tín dụng cam kết với bên nhận bảo lãnh về việc tổ chức tín dụng sẽ thực hiện nghĩa vụ tài chính thay cho khách hàng khi khách hàng không thực hiện hoặc thực hiện không đầy đủ nghĩa vụ đã cam kết; khách hàng phải nhận nợ và hoàn trả cho tổ chức tín dụng theo thỏa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19. Chiết khấu là việc mua có kỳ hạn hoặc mua có bảo lưu quyền truy đòi các công cụ chuyển nhượng, giấy tờ có giá khác của người thụ hưởng trước khi đến hạn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20. Tái chiết khấu là việc chiết khấu các công cụ chuyển nhượng, giấy tờ có giá khác đã được chiết khấu trước khi đến hạn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21. Môi giới tiền tệ là việc làm trung gian có thu phí môi giới để thu xếp thực hiện các hoạt động ngân hàng và các hoạt động kinh doanh khác giữa các tổ chức tín dụng, tổ chức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22. Tài khoản thanh toán là tài khoản tiền gửi không kỳ hạn của khách hàng mở tại ngân hàng để sử dụng các dịch vụ thanh toán do ngân hàng cung ứng.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23. Sản phẩm phái sinh là công cụ tài chính được định giá theo biến động dự kiến về giá trị của một tài sản tài chính gốc như tỷ giá, lãi suất, ngoại hối, tiền tệ hoặc tài sản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24. Góp vốn, mua cổ phần của tổ chức tín dụng là việc tổ chức tín dụng góp vốn cấu thành vốn điều lệ, mua cổ phần của các doanh nghiệp, tổ chức tín dụng khác, bao gồm cả việc cấp vốn, góp vốn vào công ty con, công ty liên kết của tổ chức tín dụng; góp vốn vào quỹ đầu tư và ủy thác vốn cho các tổ chức khác góp vốn, mua cổ phần theo các hình thức nêu trên.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25. Khoản đầu tư dưới hình thức góp vốn, mua cổ phần nhằm nắm quyền kiểm soát doanh nghiệp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26. Cổ đông lớn của tổ chức tín dụng cổ phần là cổ đông sở hữu trực tiếp, gián tiếp từ 5% vốn cổ phần có quyền biểu quyết trở lên của tổ chức tín dụng cổ phần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27. Sở hữu gián tiếp là việc tổ chức, cá nhân sở hữu vốn điều lệ, vốn cổ phần của tổ chức tín dụng thông qua người có liên quan hoặc thông qua ủy thác đầu tư.</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28. Người có liên quan là tổ chức, cá nhân có quan hệ trực tiếp hoặc gián tiếp với tổ chức, cá nhân khác thuộc một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Công ty mẹ với công ty con và ngược lại; tổ chức tín dụng với công ty con của tổ chức tín dụng và ngược lại; các công ty con của cùng một công ty mẹ hoặc của cùng một tổ chức tín dụng với nhau; người quản lý, thành viên Ban kiểm soát của công ty mẹ hoặc của tổ chức tín dụng, cá nhân hoặc tổ chức có thẩm quyền bổ nhiệm những người này với công ty con và ngược lại;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Công ty hoặc tổ chức tín dụng với người quản lý, thành viên Ban kiểm soát của công ty hoặc tổ chức tín dụng đó hoặc với công ty, tổ chức có thẩm quyền bổ nhiệm những người đó và ngược lại;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Công ty hoặc tổ chức tín dụng với tổ chức, cá nhân sở hữu từ 5% vốn điều lệ hoặc vốn cổ phần có quyền biểu quyết trở lên tại công ty hoặc tổ chức tín dụng đó và ngược lại;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Cá nhân với vợ, chồng, cha, mẹ, con, anh, chị, em của người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Công ty hoặc tổ chức tín dụng với cá nhân theo quy định tại điểm d khoản này của người quản lý, thành viên Ban kiểm soát, thành viên góp vốn hoặc cổ đông sở hữu từ 5% vốn điều lệ hoặc vốn cổ phần có quyền biểu quyết trở lên của công ty hoặc tổ chức tín dụng đó và ngược lại;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Cá nhân được ủy quyền đại diện cho tổ chức, cá nhân quy định tại các điểm a, b, c, d và đ khoản này với tổ chức, cá nhân ủy quyền; các cá nhân được ủy quyền đại diện phần vốn góp của cùng một tổ chức với nhau.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29. Công ty liên kết của tổ chức tín dụng là công ty trong đó tổ chức tín dụng hoặc tổ chức tín dụng và người có liên quan của tổ chức tín dụng sở hữu trên 11% vốn điều lệ hoặc trên 11% vốn cổ phần có quyền biểu quyết, nhưng không phải là công ty con của tổ chức tín dụng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30. Công ty con của tổ chức tín dụng là công ty thuộc một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Tổ chức tín dụng hoặc tổ chức tín dụng và người có liên quan của tổ chức tín dụng sở hữu trên 50% vốn điều lệ hoặc trên 50% vốn cổ phần có quyền biểu quyết;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Tổ chức tín dụng có quyền trực tiếp hoặc gián tiếp bổ nhiệm đa số hoặc tất cả thành viên Hội đồng quản trị, Hội đồng thành viên hoặc Tổng giám đốc (Giám đốc) của công ty con;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Tổ chức tín dụng có quyền sửa đổi, bổ sung điều lệ của công ty con;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Tổ chức tín dụng và người có liên quan của tổ chức tín dụng trực tiếp hay gián tiếp kiểm soát việc thông qua nghị quyết, quyết định của Đại hội đồng cổ đông, Hội đồng quản trị, Hội đồng thành viên của công ty con.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31. Người quản lý tổ chức tín dụng bao gồm Chủ tịch, thành viên Hội đồng quản trị; Chủ tịch, thành viên Hội đồng thành viên; Tổng giám đốc (Giám đốc) và các chức danh quản lý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32. Người điều hành tổ chức tín dụng bao gồm Tổng giám đốc (Giám đốc), Phó Tổng giám đốc (Phó giám đốc), Kế toán trưởng, Giám đốc chi nhánh và các chức danh tương đương theo quy định tại Điều lệ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5.</w:t>
      </w:r>
      <w:r w:rsidRPr="005F6E83">
        <w:rPr>
          <w:rFonts w:ascii="Arial" w:hAnsi="Arial" w:cs="Arial"/>
          <w:color w:val="auto"/>
          <w:sz w:val="20"/>
          <w:szCs w:val="20"/>
        </w:rPr>
        <w:t xml:space="preserve"> Sử dụng thuật ngữ liên quan đến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không phải là tổ chức tín dụng không được phép sử dụng cụm từ hoặc thuật ngữ “tổ chức tín dụng”, “ngân hàng”, “công ty tài chính”, “công ty cho thuê tài chính” hoặc các cụm từ, thuật ngữ khác trong tên của tổ chức, chức danh hoặc trong các phần phụ thêm của tên, chức danh hoặc trong giấy tờ giao dịch hoặc quảng cáo của mình nếu việc sử dụng cụm từ, thuật ngữ đó có thể gây nhầm lẫn cho khách hàng về việc tổ chức của mình là một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6.</w:t>
      </w:r>
      <w:r w:rsidRPr="005F6E83">
        <w:rPr>
          <w:rFonts w:ascii="Arial" w:hAnsi="Arial" w:cs="Arial"/>
          <w:color w:val="auto"/>
          <w:sz w:val="20"/>
          <w:szCs w:val="20"/>
        </w:rPr>
        <w:t xml:space="preserve"> Hình thức tổ chức của tổ chức tín dụng </w:t>
      </w:r>
    </w:p>
    <w:p w:rsidR="005F6E83" w:rsidRPr="005F6E83" w:rsidRDefault="005F6E83" w:rsidP="005F6E83">
      <w:pPr>
        <w:spacing w:after="120"/>
        <w:ind w:firstLine="720"/>
        <w:jc w:val="both"/>
        <w:rPr>
          <w:rFonts w:ascii="Arial" w:hAnsi="Arial" w:cs="Arial"/>
          <w:color w:val="auto"/>
          <w:sz w:val="20"/>
          <w:szCs w:val="20"/>
        </w:rPr>
      </w:pPr>
      <w:r>
        <w:rPr>
          <w:rFonts w:ascii="Arial" w:hAnsi="Arial" w:cs="Arial"/>
          <w:color w:val="auto"/>
          <w:sz w:val="20"/>
          <w:szCs w:val="20"/>
        </w:rPr>
        <w:lastRenderedPageBreak/>
        <w:t xml:space="preserve"> </w:t>
      </w:r>
      <w:r w:rsidRPr="005F6E83">
        <w:rPr>
          <w:rFonts w:ascii="Arial" w:hAnsi="Arial" w:cs="Arial"/>
          <w:color w:val="auto"/>
          <w:sz w:val="20"/>
          <w:szCs w:val="20"/>
        </w:rPr>
        <w:t>1. Ngân hàng thương mại trong nước được thành lập, tổ chức dưới hình thức công ty cổ phần, trừ trường hợp quy định tại khoản 2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thương mại nhà nước được thành lập, tổ chức dưới hình thức công ty trách nhiệm hữu hạn một thành viên do Nhà nước sở hữu 100% vốn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phi ngân hàng trong nước được thành lập, tổ chức dưới hình thức công ty cổ phần, công ty trách nhiệm hữu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 chức tín dụng liên doanh, tổ chức tín dụng 100% vốn nước ngoài được thành lập, tổ chức dưới hình thức công ty trách nhiệm hữu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Ngân hàng hợp tác xã, quỹ tín dụng nhân dân được thành lập, tổ chức dưới hình thức hợp tác xã.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Tổ chức tài chính vi mô được thành lập, tổ chức dưới hình thức công ty trách nhiệm hữu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w:t>
      </w:r>
      <w:r w:rsidRPr="005F6E83">
        <w:rPr>
          <w:rFonts w:ascii="Arial" w:hAnsi="Arial" w:cs="Arial"/>
          <w:color w:val="auto"/>
          <w:sz w:val="20"/>
          <w:szCs w:val="20"/>
        </w:rPr>
        <w:t xml:space="preserve"> Quyền tự chủ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chi nhánh ngân hàng nước ngoài có quyền tự chủ trong hoạt động kinh doanh và tự chịu trách nhiệm về kết quả kinh doanh của mình. Không tổ chức, cá nhân nào được can thiệp trái pháp luật vào hoạt động kinh doanh của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 </w:t>
      </w:r>
      <w:r w:rsidRPr="005F6E83">
        <w:rPr>
          <w:rFonts w:ascii="Arial" w:hAnsi="Arial" w:cs="Arial"/>
          <w:color w:val="auto"/>
          <w:sz w:val="20"/>
          <w:szCs w:val="20"/>
        </w:rPr>
        <w:t>Quyền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có đủ điều kiện theo quy định của Luật này và các quy định khác của pháp luật có liên quan được Ngân hàng Nhà nước cấp Giấy phép thì được thực hiện một hoặc một số hoạt động ngân hàng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Nghiêm cấm cá nhân, tổ chức không phải là tổ chức tín dụng thực hiện hoạt động ngân hàng, trừ giao dịch ký quỹ, giao dịch mua, bán lại chứng khoán của công ty chứng khoán.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w:t>
      </w:r>
      <w:r w:rsidRPr="005F6E83">
        <w:rPr>
          <w:rFonts w:ascii="Arial" w:hAnsi="Arial" w:cs="Arial"/>
          <w:color w:val="auto"/>
          <w:sz w:val="20"/>
          <w:szCs w:val="20"/>
        </w:rPr>
        <w:t xml:space="preserve"> Hợp tác và cạnh tranh trong hoạt động ngân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được hợp tác và cạnh tranh trong hoạt động ngân hàng và hoạt động kinh doanh khác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Nghiêm cấm hành vi hạn chế cạnh tranh hoặc hành vi cạnh tranh không lành mạnh có nguy cơ gây tổn hại hoặc gây tổn hại đến việc thực hiện chính sách tiền tệ quốc gia, an toàn của hệ thống các tổ chức tín dụng, lợi ích của Nhà nước, quyền và lợi ích hợp pháp của tổ chức, cá nhân.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Chính phủ quy định cụ thể các hành vi cạnh tranh không lành mạnh trong hoạt động ngân hàng và hình thức xử lý các hành vi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 </w:t>
      </w:r>
      <w:r w:rsidRPr="005F6E83">
        <w:rPr>
          <w:rFonts w:ascii="Arial" w:hAnsi="Arial" w:cs="Arial"/>
          <w:color w:val="auto"/>
          <w:sz w:val="20"/>
          <w:szCs w:val="20"/>
        </w:rPr>
        <w:t>Bảo vệ quyền lợi của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có trách nhiệm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Tham gia tổ chức bảo toàn, bảo hiểm tiền gửi theo quy định của pháp luật và công bố công khai việc tham gia tổ chức bảo toàn, bảo hiểm tiền gửi tại trụ sở chính và chi nhánh;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Tạo thuận lợi cho khách hàng gửi và rút tiền, bảo đảm thanh toán đủ, đúng hạn gốc và lãi của các khoản tiền gửi;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Từ chối việc điều tra, phong tỏa, cầm giữ, trích chuyển tiền gửi của khách hàng, trừ trường hợp có yêu cầu của cơ quan nhà nước có thẩm quyền theo quy định của pháp luật hoặc được sự chấp thuận của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Thông báo công khai lãi suất tiền gửi, phí dịch vụ, các quyền, nghĩa vụ của khách hàng đối với từng loại sản phẩm, dịch vụ đang cung ứng;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5. Công bố thời gian giao dịch chính thức và không được tự ý ngừng giao dịch vào thời gian đã công bố. Trường hợp ngừng giao dịch trong thời gian giao dịch chính thức, tổ chức tín dụng, chi nhánh ngân hàng nước ngoài phải niêm yết tại nơi giao dịch chậm nhất là 24 giờ trước thời điểm ngừng giao dịch. Tổ chức tín dụng, chi nhánh ngân hàng nước ngoài không được phép ngừng giao dịch quá 01 ngày làm việc, trừ trường hợp quy định tại điểm e khoản 1 Điều 29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11.</w:t>
      </w:r>
      <w:r w:rsidRPr="005F6E83">
        <w:rPr>
          <w:rFonts w:ascii="Arial" w:hAnsi="Arial" w:cs="Arial"/>
          <w:color w:val="auto"/>
          <w:sz w:val="20"/>
          <w:szCs w:val="20"/>
        </w:rPr>
        <w:t xml:space="preserve"> Trách nhiệm phòng, chống rửa tiền, tài trợ khủng bố</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có trách nhiệm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Không được che giấu, thực hiện hoạt động kinh doanh liên quan đến khoản tiền đã có bằng chứng về nguồn gốc bất hợp pháp;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Xây dựng quy định nội bộ về phòng, chống rửa tiền, tài trợ khủng bố;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Thực hiện các biện pháp phòng, chống rửa tiền, tài trợ khủng bố;</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Hợp tác với cơ quan nhà nước có thẩm quyền trong việc điều tra hoạt động rửa tiền, tài trợ khủng bố.</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12.</w:t>
      </w:r>
      <w:r w:rsidRPr="005F6E83">
        <w:rPr>
          <w:rFonts w:ascii="Arial" w:hAnsi="Arial" w:cs="Arial"/>
          <w:color w:val="auto"/>
          <w:sz w:val="20"/>
          <w:szCs w:val="20"/>
        </w:rPr>
        <w:t xml:space="preserve"> Người đại diện theo pháp luật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Người đại diện theo pháp luật của tổ chức tín dụng được quy định tại Điều lệ của tổ chức tín dụng và phải là một trong những người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Chủ tịch Hội đồng quản trị hoặc Chủ tịch Hội đồng thành viên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Tổng giám đốc (Giám đốc)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Người đại diện theo pháp luật của tổ chức tín dụng phải cư trú tại Việt Nam, trường hợp vắng mặt ở Việt Nam phải </w:t>
      </w:r>
      <w:bookmarkStart w:id="1" w:name="VNS003F"/>
      <w:r w:rsidRPr="005F6E83">
        <w:rPr>
          <w:rFonts w:ascii="Arial" w:hAnsi="Arial" w:cs="Arial"/>
          <w:color w:val="auto"/>
          <w:sz w:val="20"/>
          <w:szCs w:val="20"/>
        </w:rPr>
        <w:t>ủy</w:t>
      </w:r>
      <w:bookmarkEnd w:id="1"/>
      <w:r w:rsidRPr="005F6E83">
        <w:rPr>
          <w:rFonts w:ascii="Arial" w:hAnsi="Arial" w:cs="Arial"/>
          <w:color w:val="auto"/>
          <w:sz w:val="20"/>
          <w:szCs w:val="20"/>
        </w:rPr>
        <w:t xml:space="preserve"> quyền bằng văn bản cho người khác là người quản lý, người điều hành của tổ chức tín dụng đang cư trú tại Việt Nam để thực hiện quyền, nghĩa vụ của mình.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 </w:t>
      </w:r>
      <w:r w:rsidRPr="005F6E83">
        <w:rPr>
          <w:rFonts w:ascii="Arial" w:hAnsi="Arial" w:cs="Arial"/>
          <w:color w:val="auto"/>
          <w:sz w:val="20"/>
          <w:szCs w:val="20"/>
        </w:rPr>
        <w:t xml:space="preserve">Cung cấp thông tin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cung cấp thông tin cho chủ tài khoản về giao dịch và số dư trên tài khoản của chủ tài khoản theo thỏa thuận với chủ tài khoản.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chi nhánh ngân hàng nước ngoài có trách nhiệm cung cấp cho Ngân hàng Nhà nước thông tin liên quan đến hoạt động kinh doanh và được Ngân hàng Nhà nước cung cấp thông tin của khách hàng có quan hệ tín dụng với tổ chức tín dụng, chi nhánh ngân hàng nước ngoài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chi nhánh ngân hàng nước ngoài được trao đổi thông tin với nhau về hoạt động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14.</w:t>
      </w:r>
      <w:r w:rsidRPr="005F6E83">
        <w:rPr>
          <w:rFonts w:ascii="Arial" w:hAnsi="Arial" w:cs="Arial"/>
          <w:color w:val="auto"/>
          <w:sz w:val="20"/>
          <w:szCs w:val="20"/>
        </w:rPr>
        <w:t xml:space="preserve"> Bảo mật thông tin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Nhân viên, người quản lý, người điều hành của tổ chức tín dụng, chi nhánh ngân hàng nước ngoài không được tiết lộ bí mật kinh doanh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 chức tín dụng, chi nhánh ngân hàng nước ngoài phải bảo đảm bí mật thông tin liên quan đến tài khoản, tiền gửi, tài sản gửi và các giao dịch của khách hàng tại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Tổ chức tín dụng, chi nhánh ngân hàng nước ngoài không được cung cấp thông tin liên quan đến tài khoản, tiền gửi, tài sản gửi, các giao dịch của khách hàng tại tổ chức tín dụng, chi nhánh ngân hàng nước ngoài cho tổ chức, cá nhân khác, trừ trường hợp có yêu cầu của cơ quan nhà nước có thẩm quyền theo quy định của pháp luật hoặc được sự chấp thuận của khách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 Điều 15.</w:t>
      </w:r>
      <w:r w:rsidRPr="005F6E83">
        <w:rPr>
          <w:rFonts w:ascii="Arial" w:hAnsi="Arial" w:cs="Arial"/>
          <w:color w:val="auto"/>
          <w:sz w:val="20"/>
          <w:szCs w:val="20"/>
        </w:rPr>
        <w:t xml:space="preserve"> Cơ sở dữ liệu dự phòng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phải xây dựng cơ sở dữ liệu dự phòng để bảo đảm hoạt động an toàn và liên tục.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2. Việc xây dựng cơ sở dữ liệu dự phòng của quỹ tín dụng nhân dân, tổ chức tài chính vi mô và các tổ chức tín dụng không nhận tiền gửi thực hiện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16.</w:t>
      </w:r>
      <w:r w:rsidRPr="005F6E83">
        <w:rPr>
          <w:rFonts w:ascii="Arial" w:hAnsi="Arial" w:cs="Arial"/>
          <w:color w:val="auto"/>
          <w:sz w:val="20"/>
          <w:szCs w:val="20"/>
        </w:rPr>
        <w:t xml:space="preserve"> Mua cổ phần của nhà đầu tư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Nhà đầu tư nước ngoài được mua cổ phần của tổ chức tín dụng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Chính phủ quy định điều kiện, thủ tục, tổng mức sở hữu cổ phần tối đa của các nhà đầu tư nước ngoài, tỷ lệ sở hữu cổ phần tối đa của một nhà đầu tư nước ngoài tại một tổ chức tín dụng Việt Nam; điều kiện đối với tổ chức tín dụng Việt Nam bán cổ phần cho nhà đầu tư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17.</w:t>
      </w:r>
      <w:r w:rsidRPr="005F6E83">
        <w:rPr>
          <w:rFonts w:ascii="Arial" w:hAnsi="Arial" w:cs="Arial"/>
          <w:color w:val="auto"/>
          <w:sz w:val="20"/>
          <w:szCs w:val="20"/>
        </w:rPr>
        <w:t xml:space="preserve"> Ngân hàng chính sách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Chính phủ thành lập ngân hàng chính sách hoạt động không vì mục tiêu lợi nhuận nhằm thực hiện các chính sách kinh tế - xã hội của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Chính phủ quy định về tổ chức và hoạt động của ngân hàng chính sách.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Ngân hàng chính sách phải thực hiện kiểm soát nội bộ, kiểm toán nội bộ; xây dựng, ban hành quy trình nội bộ về các hoạt động nghiệp vụ; thực hiện chế độ báo cáo thống kê, báo cáo hoạt động và hoạt động thanh toán theo quy định của Ngân hàng Nhà nước.</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II</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 </w:t>
      </w:r>
      <w:r>
        <w:rPr>
          <w:rFonts w:ascii="Arial" w:hAnsi="Arial" w:cs="Arial"/>
          <w:b/>
          <w:color w:val="auto"/>
          <w:sz w:val="20"/>
          <w:szCs w:val="20"/>
        </w:rPr>
        <w:t>GIẤY PHÉP</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18. </w:t>
      </w:r>
      <w:r w:rsidRPr="005F6E83">
        <w:rPr>
          <w:rFonts w:ascii="Arial" w:hAnsi="Arial" w:cs="Arial"/>
          <w:color w:val="auto"/>
          <w:sz w:val="20"/>
          <w:szCs w:val="20"/>
        </w:rPr>
        <w:t>Thẩm quyền cấp, thu hồi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Ngân hàng Nhà nước có thẩm quyền cấp, sửa đổi, bổ sung và thu hồi Giấy phép theo quy định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19. </w:t>
      </w:r>
      <w:r w:rsidRPr="005F6E83">
        <w:rPr>
          <w:rFonts w:ascii="Arial" w:hAnsi="Arial" w:cs="Arial"/>
          <w:color w:val="auto"/>
          <w:sz w:val="20"/>
          <w:szCs w:val="20"/>
        </w:rPr>
        <w:t>Vốn pháp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Chính phủ quy định mức vốn pháp định đối với từng loại hình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chi nhánh ngân hàng nước ngoài phải duy trì giá trị thực của vốn điều lệ hoặc vốn được cấp tối thiểu bằng mức vốn pháp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Ngân hàng Nhà nước quy định cụ thể việc xử lý trường hợp khi giá trị thực của vốn điều lệ của tổ chức tín dụng, vốn được cấp của chi nhánh ngân hàng nước ngoài giảm thấp hơn mức vốn pháp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20. </w:t>
      </w:r>
      <w:r w:rsidRPr="005F6E83">
        <w:rPr>
          <w:rFonts w:ascii="Arial" w:hAnsi="Arial" w:cs="Arial"/>
          <w:color w:val="auto"/>
          <w:sz w:val="20"/>
          <w:szCs w:val="20"/>
        </w:rPr>
        <w:t xml:space="preserve">Điều kiện cấp Giấy phép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được cấp Giấy phép khi có đủ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Có vốn điều lệ, vốn được cấp tối thiểu bằng mức vốn pháp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hoặc thành viên sáng lập là cá nhân có năng lực hành vi dân sự đầy đủ và có đủ khả năng tài chính để góp vốn.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Điều kiện đối với chủ sở hữu của tổ chức tín dụng là công ty trách nhiệm hữu hạn một thành viên, cổ đông sáng lập, thành viên sáng lập do Ngân hàng Nhà nước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Người quản lý, người điều hành, thành viên Ban kiểm soát có đủ các tiêu chuẩn, điều kiện theo quy định tại Điều 50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Có Điều lệ phù hợp với quy định của Luật này và các quy định khác của pháp luật có liên quan;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Có Đề án thành lập, phương án kinh doanh khả thi, không gây ảnh hưởng đến sự an toàn, ổn định của hệ thống tổ chức tín dụng; không tạo ra sự độc quyền hoặc hạn chế cạnh tranh hoặc cạnh tranh không lành mạnh trong hệ thống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2. Tổ chức tín dụng liên doanh, tổ chức tín dụng 100% vốn nước ngoài được cấp Giấy phép khi có đủ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Các điều kiện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Tổ chức tín dụng nước ngoài được phép thực hiện hoạt động ngân hàng theo quy định của pháp luật của nước nơi tổ chức tín dụng nước ngoài đặt trụ sở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Hoạt động dự kiến xin phép thực hiện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phải là hoạt động mà tổ chức tín dụng nước ngoài đang được phép thực hiện tại nước nơi tổ chức tín dụng nước ngoài đặt trụ sở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Tổ chức tín dụng nước ngoài phải có hoạt động lành mạnh, đáp ứng các điều kiện về tổng tài sản có, tình hình tài chính, các tỷ lệ bảo đảm an toàn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Tổ chức tín dụng nước ngoài phải có văn bản cam kết hỗ trợ về tài chính, công nghệ, quản trị, điều hành, hoạt động cho tổ chức tín dụng liên doanh, tổ chức tín dụng 100% vốn nước ngoài; bảo đảm các tổ chức này duy trì giá trị thực của vốn điều lệ không thấp hơn mức vốn pháp định và thực hiện các quy định về bảo đảm an toàn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Cơ quan có thẩm quyền của nước ngoài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Chi nhánh ngân hàng nước ngoài được cấp Giấy phép khi có đủ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Các điều kiện quy định tại các điểm a, b, c và đ khoản 1 và các điểm b, c, d và e khoản 2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bảo đảm an toàn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Văn phòng đại diện của tổ chức tín dụng nước ngoài, tổ chức nước ngoài khác có hoạt động ngân hàng được cấp Giấy phép khi có đủ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Tổ chức tín dụng nước ngoài, tổ chức nước ngoài khác có hoạt động ngân hàng là pháp nhân được phép hoạt động ngân hàng ở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Quy định của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phép thành lập văn phòng đại diện tại Việt Nam.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Điều kiện cấp Giấy phép đối với ngân hàng hợp tác xã, quỹ tín dụng nhân dân, tổ chức tài chính vi mô do Ngân hàng Nhà nước quy định.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21.</w:t>
      </w:r>
      <w:r w:rsidRPr="005F6E83">
        <w:rPr>
          <w:rFonts w:ascii="Arial" w:hAnsi="Arial" w:cs="Arial"/>
          <w:color w:val="auto"/>
          <w:sz w:val="20"/>
          <w:szCs w:val="20"/>
        </w:rPr>
        <w:t xml:space="preserve"> Hồ sơ, trình tự, thủ tục đề nghị cấp Giấy phép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Nhà nước quy định cụ thể hồ sơ, trình tự, thủ tục đề nghị cấp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22. </w:t>
      </w:r>
      <w:r w:rsidRPr="005F6E83">
        <w:rPr>
          <w:rFonts w:ascii="Arial" w:hAnsi="Arial" w:cs="Arial"/>
          <w:color w:val="auto"/>
          <w:sz w:val="20"/>
          <w:szCs w:val="20"/>
        </w:rPr>
        <w:t xml:space="preserve">Thời hạn cấp Giấy phép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Trong thời hạn 180 ngày, kể từ ngày nhận đủ hồ sơ hợp lệ, Ngân hàng Nhà nước cấp Giấy phép hoặc từ chối cấp Giấy phép cho tổ chức đề nghị cấp phép.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Trong thời hạn 60 ngày, kể từ ngày nhận đủ hồ sơ hợp lệ, Ngân hàng Nhà nước cấp Giấy phép hoặc từ chối cấp Giấy phép cho văn phòng đại diện của tổ chức tín dụng nước ngoài, tổ chức nước ngoài khác có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Trường hợp từ chối cấp Giấy phép, Ngân hàng Nhà nước phải trả lời bằng văn bản và nêu rõ lý do.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23. </w:t>
      </w:r>
      <w:r w:rsidRPr="005F6E83">
        <w:rPr>
          <w:rFonts w:ascii="Arial" w:hAnsi="Arial" w:cs="Arial"/>
          <w:color w:val="auto"/>
          <w:sz w:val="20"/>
          <w:szCs w:val="20"/>
        </w:rPr>
        <w:t>Lệ phí cấp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 Tổ chức tín dụng, chi nhánh ngân hàng nước ngoài, văn phòng đại diện của tổ chức tín dụng nước ngoài, tổ chức nước ngoài khác có hoạt động ngân hàng được cấp Giấy phép phải nộp lệ phí cấp Giấy phép theo quy định của pháp luật về phí, lệ phí.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24. </w:t>
      </w:r>
      <w:r w:rsidRPr="005F6E83">
        <w:rPr>
          <w:rFonts w:ascii="Arial" w:hAnsi="Arial" w:cs="Arial"/>
          <w:color w:val="auto"/>
          <w:sz w:val="20"/>
          <w:szCs w:val="20"/>
        </w:rPr>
        <w:t>Đăng ký kinh doanh, đăng ký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Sau khi được cấp Giấy phép, tổ chức tín dụng, chi nhánh ngân hàng nước ngoài phải đăng ký kinh doanh; văn phòng đại diện của tổ chức tín dụng nước ngoài, tổ chức nước ngoài khác có hoạt động ngân hàng phải đăng ký hoạt động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25. </w:t>
      </w:r>
      <w:r w:rsidRPr="005F6E83">
        <w:rPr>
          <w:rFonts w:ascii="Arial" w:hAnsi="Arial" w:cs="Arial"/>
          <w:color w:val="auto"/>
          <w:sz w:val="20"/>
          <w:szCs w:val="20"/>
        </w:rPr>
        <w:t xml:space="preserve">Công bố thông tin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văn phòng đại diện của tổ chức tín dụng nước ngoài, tổ chức nước ngoài khác có hoạt động ngân hàng phải công bố trên phương tiện thông tin của Ngân hàng Nhà nước và trên một tờ báo viết hằng ngày trong 03 số liên tiếp hoặc báo điện tử của Việt Nam ít nhất 30 ngày</w:t>
      </w:r>
      <w:r w:rsidRPr="005F6E83" w:rsidDel="0058632D">
        <w:rPr>
          <w:rFonts w:ascii="Arial" w:hAnsi="Arial" w:cs="Arial"/>
          <w:color w:val="auto"/>
          <w:sz w:val="20"/>
          <w:szCs w:val="20"/>
        </w:rPr>
        <w:t xml:space="preserve"> </w:t>
      </w:r>
      <w:r w:rsidRPr="005F6E83">
        <w:rPr>
          <w:rFonts w:ascii="Arial" w:hAnsi="Arial" w:cs="Arial"/>
          <w:color w:val="auto"/>
          <w:sz w:val="20"/>
          <w:szCs w:val="20"/>
        </w:rPr>
        <w:t>trước ngày dự kiến khai trương hoạt động các thông tin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Tên, địa chỉ trụ sở chính của tổ chức tín dụng, chi nhánh ngân hàng nước ngoài, văn phòng đại diện của tổ chức tín dụng nước ngoài, tổ chức nước ngoài khác có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Số, ngày cấp Giấy phép, Giấy chứng nhận đăng ký kinh doanh, Giấy chứng nhận đăng ký hoạt động và các hoạt động kinh doanh được phép thực hiện;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Vốn điều lệ hoặc vốn được cấp;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Người đại diện theo pháp luật của tổ chức tín dụng, Tổng giám đốc (Giám đốc) chi nhánh ngân hàng nước ngoài, Trưởng văn phòng đại diện của tổ chức tín dụng nước ngoài, tổ chức nước ngoài khác có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Danh sách, tỷ lệ góp vốn tương ứng của cổ đông sáng lập hoặc thành viên góp vốn hoặc chủ sở hữu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Ngày dự kiến khai trương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26.</w:t>
      </w:r>
      <w:r w:rsidRPr="005F6E83">
        <w:rPr>
          <w:rFonts w:ascii="Arial" w:hAnsi="Arial" w:cs="Arial"/>
          <w:color w:val="auto"/>
          <w:sz w:val="20"/>
          <w:szCs w:val="20"/>
        </w:rPr>
        <w:t xml:space="preserve"> Điều kiện khai trương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chi nhánh ngân hàng nước ngoài, văn phòng đại diện của tổ chức tín dụng nước ngoài, tổ chức nước ngoài khác có hoạt động ngân hàng được cấp Giấy phép chỉ được tiến hành hoạt động kể từ ngày khai trương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Để khai trương hoạt động, tổ chức tín dụng, chi nhánh ngân hàng nước ngoài được cấp Giấy phép phải có đủ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Đã đăng ký Điều lệ tại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Giấy chứng nhận đăng ký kinh doanh, có đủ vốn điều lệ, vốn được cấp, có kho tiền đủ điều kiện theo quy định của Ngân hàng Nhà nước, có trụ sở đủ điều kiện bảo đảm an toàn tài sản và phù hợp với yêu cầu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Có cơ cấu tổ chức, bộ máy quản trị, điều hành, kiểm toán nội bộ, quản lý rủi ro, hệ thống kiểm soát nội bộ phù hợp với loại hình hoạt động theo quy định của Luật này và các quy định khác của pháp luật có liên quan;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Có hệ thống công nghệ thông tin đáp ứng yêu cầu quản lý, quy mô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Có quy chế quản lý nội bộ về tổ chức, hoạt động của Hội đồng quản trị, Hội đồng thành viên, Ban kiểm soát, Tổng giám đốc (Giám đốc), các phòng, ban chuyên môn nghiệp vụ tại trụ sở chính; quy chế nội bộ về quản lý rủi ro; quy chế về quản lý mạng lưới;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e) Vốn điều lệ, vốn được cấp bằng đồng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Đã công bố thông tin hoạt động theo quy định tại Điều 25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Tổ chức tín dụng, chi nhánh ngân hàng nước ngoài, văn phòng đại diện của tổ chức tín dụng nước ngoài, tổ chức nước ngoài khác có hoạt động ngân hàng phải tiến hành khai trương hoạt động trong thời hạn 12 tháng, kể từ ngày được cấp Giấy phép; quá thời hạn này mà không khai trương hoạt động thì Ngân hàng Nhà nước thu hồi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 chức tín dụng, chi nhánh ngân hàng nước ngoài được cấp Giấy phép phải thông báo cho Ngân hàng Nhà nước về các điều kiện khai trương hoạt động quy định tại khoản 2 Điều này ít nhất 15 ngày trước ngày dự kiến khai trương hoạt động; Ngân hàng Nhà nước đình chỉ việc khai trương hoạt động khi không đủ các điều kiện quy định tại khoản 2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27.</w:t>
      </w:r>
      <w:r w:rsidRPr="005F6E83">
        <w:rPr>
          <w:rFonts w:ascii="Arial" w:hAnsi="Arial" w:cs="Arial"/>
          <w:color w:val="auto"/>
          <w:sz w:val="20"/>
          <w:szCs w:val="20"/>
        </w:rPr>
        <w:t xml:space="preserve"> Sử dụng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được cấp Giấy phép phải sử dụng đúng tên và hoạt động đúng nội dung quy định trong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được cấp Giấy phép không được tẩy xóa, mua, bán, chuyển nhượng, cho thuê, cho mượn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28.</w:t>
      </w:r>
      <w:r w:rsidRPr="005F6E83">
        <w:rPr>
          <w:rFonts w:ascii="Arial" w:hAnsi="Arial" w:cs="Arial"/>
          <w:color w:val="auto"/>
          <w:sz w:val="20"/>
          <w:szCs w:val="20"/>
        </w:rPr>
        <w:t xml:space="preserve"> Thu hồi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Ngân hàng Nhà nước thu hồi Giấy phép đã cấp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Hồ sơ đề nghị cấp Giấy phép có thông tin gian lận để có đủ điều kiện được cấp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Tổ chức tín dụng bị chia, tách, sáp nhập, hợp nhất, giải thể,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Tổ chức tín dụng, chi nhánh ngân hàng nước ngoài, văn phòng đại diện của tổ chức tín dụng nước ngoài, tổ chức nước ngoài khác có hoạt động ngân hàng hoạt động không đúng nội dung quy định trong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Tổ chức tín dụng, chi nhánh ngân hàng nước ngoài vi phạm nghiêm trọng quy định của pháp luật về dự trữ bắt buộc, tỷ lệ bảo đảm an toàn trong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Tổ chức tín dụng, chi nhánh ngân hàng nước ngoài không thực hiện hoặc thực hiện không đầy đủ quyết định xử lý của Ngân hàng Nhà nước để bảo đảm an toàn trong hoạt động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Đối với chi nhánh ngân hàng nước ngoài, tổ chức tín dụng 100% vốn nước ngoài, văn phòng đại diện của tổ chức tín dụng nước ngoài, tổ chức nước ngoài khác có hoạt động ngân hàng trong trường hợp tổ chức tín dụng nước ngoài hoặc tổ chức nước ngoài khác có hoạt động ngân hàng bị giải thể, phá sản hoặc bị cơ quan có thẩm quyền của nước nơi tổ chức đó đặt trụ sở chính thu hồi Giấy phép hoặc đình chỉ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quy định cụ thể trình tự, thủ tục thu hồi Giấy phép đã cấp trong các trường hợp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bị thu hồi Giấy phép phải chấm dứt ngay các hoạt động kinh doanh kể từ ngày Quyết định thu hồi Giấy phép của Ngân hàng Nhà nước có hiệu lực thi hành.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Quyết định thu hồi Giấy phép được Ngân hàng Nhà nước công bố trên các phương tiện thông tin đại chúng.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29. </w:t>
      </w:r>
      <w:r w:rsidRPr="005F6E83">
        <w:rPr>
          <w:rFonts w:ascii="Arial" w:hAnsi="Arial" w:cs="Arial"/>
          <w:color w:val="auto"/>
          <w:sz w:val="20"/>
          <w:szCs w:val="20"/>
        </w:rPr>
        <w:t>Những thay đổi phải được Ngân hàng Nhà nước chấp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phải được Ngân hàng Nhà nước chấp thuận bằng văn bản trước khi thực hiện các thủ tục thay đổi một trong những nội dung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Tên, địa điểm đặt trụ sở chính của tổ chức tín dụng; tên, địa điểm đặt trụ sở của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Mức vốn điều lệ, mức vốn được cấp, trừ trường hợp quy định tại khoản 3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Tên, địa điểm đặt trụ sở chi nhánh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Nội dung, phạm vi và thời hạn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đ) Chuyển nhượng phần vốn góp của thành viên góp vốn; chuyển nhượng cổ phần của cổ đông lớn, chuyển nhượng cổ phần dẫn đến cổ đông lớn trở thành cổ đông thường và ngược lại;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Tạm ngừng hoạt động kinh doanh quá 01 ngày làm việc, trừ trường hợp tạm ngừng hoạt động do nguyên nhân bất khả kháng;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Niêm yết cổ phiếu trên thị trường chứng khoán trong nước và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Trong thời hạn 40 ngày, kể từ ngày nhận đủ hồ sơ hợp lệ, Ngân hàng Nhà nước ra quyết định sửa đổi, bổ sung Giấy phép đối với thay đổi quy định tại các điểm a, b và d khoản 1 Điều này; có văn bản chấp thuận thay đổi quy định tại các điểm c, đ, e và g khoản 1 Điều này; trường hợp từ chối, Ngân hàng Nhà nước phải trả lời bằng văn bản và nêu rõ lý do.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Hồ sơ, trình tự, thủ tục chấp thuận thay đổi thực hiện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Việc thay đổi mức vốn điều lệ của quỹ tín dụng nhân dân được thực hiện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Khi được chấp thuận thay đổi một hoặc một số nội dung quy định tại khoản 1 Điều này, tổ chức tín dụng, chi nhánh ngân hàng nước ngoài phải: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Sửa đổi, bổ sung Điều lệ của tổ chức tín dụng phù hợp với thay đổi đã được chấp thuận và đăng ký điều lệ đã sửa đổi, bổ sung tại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Đăng ký với cơ quan nhà nước có thẩm quyền về những thay đổi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Công bố nội dung thay đổi quy định tại các điểm a, b, c và d khoản 1 Điều này trên các phương tiện thông tin của Ngân hàng Nhà nước và một tờ báo viết hằng ngày trong 03 số liên tiếp hoặc báo điện tử của Việt Nam trong thời hạn 07 ngày làm việc, kể từ ngày được Ngân hàng Nhà nước chấp thuận.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III</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 TỔ CHỨC, QUẢN TRỊ, ĐIỀU HÀNH CỦA TỔ CHỨC TÍN DỤNG</w:t>
      </w:r>
    </w:p>
    <w:p w:rsid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1</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 CÁC QUY ĐỊNH CHUNG</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30. </w:t>
      </w:r>
      <w:r w:rsidRPr="005F6E83">
        <w:rPr>
          <w:rFonts w:ascii="Arial" w:hAnsi="Arial" w:cs="Arial"/>
          <w:color w:val="auto"/>
          <w:sz w:val="20"/>
          <w:szCs w:val="20"/>
        </w:rPr>
        <w:t xml:space="preserve">Thành lập chi nhánh, văn phòng đại diện, đơn vị sự nghiệp, hiện diện thương mại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Tùy theo loại hình hoạt động, sau khi được Ngân hàng Nhà nước chấp thuận bằng văn bản, tổ chức tín dụng được thành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Chi nhánh, văn phòng đại diện, đơn vị sự nghiệp ở trong nước, kể cả tỉnh, thành phố trực thuộc trung ương nơi đặt trụ sở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Chi nhánh, văn phòng đại diện và các hình thức hiện diện thương mại khác ở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quy định cụ thể điều kiện, hồ sơ và thủ tục thành lập, chấm dứt, giải thể đơn vị quy định tại khoản 1 Điều này đối với từng loại hình tổ chức tín dụng.</w:t>
      </w:r>
      <w:bookmarkStart w:id="2" w:name="_Toc140291069"/>
      <w:r w:rsidRPr="005F6E83">
        <w:rPr>
          <w:rFonts w:ascii="Arial" w:hAnsi="Arial" w:cs="Arial"/>
          <w:color w:val="auto"/>
          <w:sz w:val="20"/>
          <w:szCs w:val="20"/>
        </w:rPr>
        <w:t xml:space="preserve"> </w:t>
      </w:r>
      <w:bookmarkEnd w:id="2"/>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31. </w:t>
      </w:r>
      <w:r w:rsidRPr="005F6E83">
        <w:rPr>
          <w:rFonts w:ascii="Arial" w:hAnsi="Arial" w:cs="Arial"/>
          <w:color w:val="auto"/>
          <w:sz w:val="20"/>
          <w:szCs w:val="20"/>
        </w:rPr>
        <w:t xml:space="preserve">Điều lệ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Điều lệ của tổ chức tín dụng là công ty cổ phần, công ty trách nhiệm hữu hạn không được trái với quy định của Luật này và các quy định khác của pháp luật có liên quan. Điều lệ phải có nội dung chủ yếu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Tên, địa điểm đặt trụ sở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Nội dung, phạm vi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Thời hạn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d) Vốn điều lệ, phương thức góp vốn, tăng, giảm vốn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Nhiệm vụ, quyền hạn của Đại hội đồng cổ đông, Hội đồng quản trị, Hội đồng thành viên, Tổng giám đốc (Giám đốc) và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Thể thức bầu, bổ nhiệm, miễn nhiệm thành viên Hội đồng quản trị, thành viên Hội đồng thành viên, Tổng giám đốc (Giám đốc) và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Họ, tên, địa chỉ, quốc tịch và các đặc điểm cơ bản khác của chủ sở hữu, thành viên góp vốn đối với tổ chức tín dụng là công ty trách nhiệm hữu hạn; của cổ đông sáng lập đối với tổ chức tín dụng là công ty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h) Quyền, nghĩa vụ của chủ sở hữu, thành viên góp vốn đối với tổ chức tín dụng là công ty trách nhiệm hữu hạn; quyền, nghĩa vụ của cổ đông đối với tổ chức tín dụng là công ty cổ phần;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i) Người đại diện theo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 Các nguyên tắc tài chính, kế toán, kiểm soát và kiểm toán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l) Thể thức thông qua quyết định của tổ chức tín dụng; nguyên tắc giải quyết tranh chấp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m) Căn cứ, phương pháp xác định thù lao, tiền lương và thưởng cho người quản lý, người điều hành, thành viên Ban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 Các trường hợp giải thể;</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o) Thủ tục sửa đổi, bổ sung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Điều lệ của ngân hàng hợp tác xã, quỹ tín dụng nhân dân thực hiện theo quy định tại Điều 77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Điều lệ, nội dung sửa đổi, bổ sung Điều lệ của tổ chức tín dụng phải được đăng ký tại Ngân hàng Nhà nước trong thời hạn 15 ngày, kể từ ngày được thông qua.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32.</w:t>
      </w:r>
      <w:r w:rsidRPr="005F6E83">
        <w:rPr>
          <w:rFonts w:ascii="Arial" w:hAnsi="Arial" w:cs="Arial"/>
          <w:color w:val="auto"/>
          <w:sz w:val="20"/>
          <w:szCs w:val="20"/>
        </w:rPr>
        <w:t xml:space="preserve"> Cơ cấu tổ chức quản lý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Cơ cấu tổ chức quản lý của tổ chức tín dụng được thành lập dưới hình thức công ty cổ phần bao gồm Đại hội đồng cổ đông, Hội đồng quản trị,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Cơ cấu tổ chức quản lý của ngân hàng hợp tác xã, quỹ tín dụng nhân dân thực hiện theo quy định tại Điều 75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33. </w:t>
      </w:r>
      <w:r w:rsidRPr="005F6E83">
        <w:rPr>
          <w:rFonts w:ascii="Arial" w:hAnsi="Arial" w:cs="Arial"/>
          <w:color w:val="auto"/>
          <w:sz w:val="20"/>
          <w:szCs w:val="20"/>
        </w:rPr>
        <w:t>Những trường hợp không được đảm nhiệm chức vụ</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Những người sau đây không được là thành viên Hội đồng quản trị, thành viên Hội đồng thành viên, thành viên Ban kiểm soát, Tổng giám đốc (Giám đốc), Phó Tổng giám đốc (Phó giám đốc) và chức danh tương đương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Người thuộc đối tượng quy định tại khoản 2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Người thuộc đối tượng không được tham gia quản lý, điều hành theo quy định của pháp luật về cán bộ, công chức và pháp luật về phòng, chống tham nhũng;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Người đã từng là chủ doanh nghiệp tư nhân, thành viên hợp danh của công ty hợp danh, Tổng giám đốc (Giám đốc), thành viên Hội đồng quản trị, thành viên Hội đồng thành viên, thành viên Ban kiểm soát của doanh nghiệp, Chủ nhiệm và các thành viên Ban quản trị hợp tác xã tại thời điểm doanh nghiệp, hợp tác xã bị tuyên bố phá sản, trừ trường hợp doanh nghiệp, hợp tác xã bị tuyên bố phá sản vì lý do bất khả kháng;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d) Người đại diện theo pháp luật của doanh nghiệp tại thời điểm doanh nghiệp bị đình chỉ hoạt động, bị buộc giải thể do vi phạm pháp luật nghiêm trọng, trừ trường hợp là đại diện theo đề nghị của cơ quan nhà nước có thẩm quyền nhằm chấn chỉnh, củng cố doanh nghiệp đó;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Người đã từng bị đình chỉ chức danh Chủ tịch Hội đồng quản trị, thành viên Hội đồng quản trị, Chủ tịch Hội đồng thành viên, thành viên Hội đồng thành viên, Trưởng Ban kiểm soát, thành viên Ban kiểm soát, Tổng giám đốc (Giám đốc) của tổ chức tín dụng theo quy định tại Điều 37 của Luật này hoặc bị cơ quan có thẩm quyền xác định người đó có vi phạm dẫn đến việc tổ chức tín dụng bị thu hồi Giấy phép;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Người có liên quan của thành viên Hội đồng quản trị, thành viên Hội đồng thành viên, Tổng giám đốc (Giám đốc) không được là thành viên Ban kiểm soát của cùng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Người có liên quan của Chủ tịch Hội đồng quản trị, Chủ tịch Hội đồng thành viên không được là Tổng giám đốc (Giám đốc) của cùng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Những người sau đây không được là Kế toán trưởng, Giám đốc chi nhánh, Giám đốc công ty con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Người chưa thành niên, người bị hạn chế hoặc bị mất năng lực hành vi dân sự;</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Người đang bị truy cứu trách nhiệm hình sự, đang chấp hành bản án, quyết định về hình sự của Tòa 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Người đã bị kết án về tội từ tội phạm nghiêm trọng trở lên;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Người đã bị kết án về tội xâm phạm sở hữu mà chưa được xoá án tích;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Cán bộ, công chức, người quản lý từ cấp phòng trở lên trong các doanh nghiệp mà Nhà nước nắm từ 50% vốn điều lệ trở lên, trừ người được cử làm đại diện quản lý phần vốn góp của Nhà nước tại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e) Sỹ quan, hạ sỹ quan, quân nhân chuyên nghiệp, công nhân quốc phòng trong các cơ quan, đơn vị thuộc Quân đội nhân dân Việt Nam; sỹ quan, hạ sỹ quan chuyên nghiệp trong các cơ quan, đơn vị thuộc Công an nhân dân Việt Nam, trừ người được cử làm đại diện quản lý phần vốn góp của Nhà nước tại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Các trường hợp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Cha, mẹ, vợ, chồng, con và anh, chị, em của thành viên Hội đồng quản trị, thành viên Hội đồng thành viên, Tổng giám đốc (Giám đốc) và vợ, chồng của những người này không được là Kế toán trưởng hoặc là người phụ trách tài chính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34. </w:t>
      </w:r>
      <w:r w:rsidRPr="005F6E83">
        <w:rPr>
          <w:rFonts w:ascii="Arial" w:hAnsi="Arial" w:cs="Arial"/>
          <w:color w:val="auto"/>
          <w:sz w:val="20"/>
          <w:szCs w:val="20"/>
        </w:rPr>
        <w:t xml:space="preserve">Những trường hợp không cùng đảm nhiệm chức vụ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Chủ tịch Hội đồng quản trị, Chủ tịch Hội đồng thành viên của tổ chức tín dụng không được đồng thời là người điều hành của tổ chức tín dụng đó và của tổ chức tín dụng khác, trừ trường hợp Chủ tịch Hội đồng quản trị của quỹ tín dụng nhân dân đồng thời là thành viên Hội đồng quản trị của ngân hàng hợp tác xã. Thành viên Hội đồng quản trị, thành viên Hội đồng thành viên của tổ chức tín dụng không được đồng thời là người quản lý của tổ chức tín dụng khác, trừ trường hợp tổ chức này là công ty con của tổ chức tín dụng đó hoặc là thành viên Ban kiểm soát của tổ chức tín dụng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Trưởng Ban kiểm soát không được đồng thời là thành viên Ban kiểm soát, người quản lý của tổ chức tín dụng khác. Thành viên Ban kiểm soát không được đồng thời đảm nhiệm một trong các chức vụ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Thành viên Hội đồng quản trị, thành viên Hội đồng thành viên, người điều hành, nhân viên của cùng một tổ chức tín dụng hoặc công ty con của tổ chức tín dụng đó hoặc nhân viên của doanh nghiệp mà thành viên Hội đồng quản trị, thành viên Hội đồng thành viên, Tổng giám đốc (Giám đốc) của tổ chức tín dụng là thành viên Hội đồng quản trị, người điều hành hoặc là cổ đông lớn của doanh nghiệp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b) Thành viên Hội đồng quản trị, thành viên Hội đồng thành viên, người điều hành của doanh nghiệp mà thành viên Ban kiểm soát của doanh nghiệp đó đang là thành viên Hội đồng quản trị, thành viên Hội đồng thành viên, người điều hành tại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Tổng giám đốc (Giám đốc), Phó Tổng giám đốc (Phó giám đốc) và các chức danh tương đương không được đồng thời đảm nhiệm một trong các chức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Thành viên Hội đồng quản trị, thành viên Hội đồng thành viên, thành viên Ban kiểm soát của tổ chức tín dụng khác, trừ trường hợp tổ chức đó là công ty con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Tổng giám đốc (Giám đốc), Phó Tổng giám đốc (Phó giám đốc) của doanh nghiệp khác.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35. </w:t>
      </w:r>
      <w:r w:rsidRPr="005F6E83">
        <w:rPr>
          <w:rFonts w:ascii="Arial" w:hAnsi="Arial" w:cs="Arial"/>
          <w:color w:val="auto"/>
          <w:sz w:val="20"/>
          <w:szCs w:val="20"/>
        </w:rPr>
        <w:t>Đương nhiên mất tư cách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Các trường hợp sau đây đương nhiên mất tư cách thành viên Hội đồng quản trị, thành viên Hội đồng thành viên, thành viên Ban kiểm soát, Tổng giám đốc (Giám đốc):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Mất năng lực hành vi dân sự, chết;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Vi phạm quy định tại Điều 33 của Luật này về những trường hợp không được đảm nhiệm chức vụ;</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Là người đại diện phần vốn góp của một tổ chức là cổ đông hoặc thành viên góp vốn của tổ chức tín dụng khi tổ chức đó bị chấm dứt tư cách pháp nhân;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Không còn là người đại diện phần vốn góp theo ủy quyền của cổ đông là tổ chức;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Bị trục xuất khỏi lãnh thổ nước Cộng hòa xã hội chủ nghĩa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Khi tổ chức tín dụng bị thu hồi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Khi hợp đồng thuê Tổng giám đốc (Giám đốc) hết hiệu lực;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h) Không còn là thành viên của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Hội đồng quản trị, Hội đồng thành viên của tổ chức tín dụng phải có văn bản báo cáo kèm tài liệu chứng minh về việc các đối tượng đương nhiên mất tư cách theo quy định tại khoản 1 Điều này gửi Ngân hàng Nhà nước trong thời hạn 05 ngày làm việc, kể từ ngày xác định được đối tượng trên đương nhiên mất tư cách và chịu trách nhiệm về tính chính xác, trung thực của báo cáo này; thực hiện các thủ tục bầu, bổ nhiệm chức danh bị khuyết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Sau khi đương nhiên mất tư cách, thành viên Hội đồng quản trị, thành viên Hội đồng thành viên, thành viên Ban kiểm soát, Tổng giám đốc (Giám đốc) của tổ chức tín dụng phải chịu trách nhiệm về các quyết định của mình trong thời gian đương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36. </w:t>
      </w:r>
      <w:r w:rsidRPr="005F6E83">
        <w:rPr>
          <w:rFonts w:ascii="Arial" w:hAnsi="Arial" w:cs="Arial"/>
          <w:color w:val="auto"/>
          <w:sz w:val="20"/>
          <w:szCs w:val="20"/>
        </w:rPr>
        <w:t>Miễn nhiệm, bãi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Chủ tịch, thành viên Hội đồng quản trị; Chủ tịch, thành viên Hội đồng thành viên; Trưởng ban, thành viên Ban kiểm soát; Tổng giám đốc (Giám đốc) của tổ chức tín dụng bị miễn nhiệm, bãi nhiệm khi thuộc một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Bị hạn chế năng lực hành vi dân sự;</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đơn xin từ chức gửi Hội đồng quản trị, Hội đồng thành viên, Ban kiểm soát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Không tham gia hoạt động của Hội đồng quản trị, Hội đồng thành viên, Ban kiểm soát trong 06 tháng liên tục, trừ trường hợp bất khả kháng;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Không bảo đảm tiêu chuẩn, điều kiện quy định tại Điều 50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Thành viên độc lập của Hội đồng quản trị không bảo đảm yêu cầu về tính độc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Các trường hợp khác do Điều lệ của tổ chức tín dụng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2. Sau khi bị miễn nhiệm, bãi nhiệm, Chủ tịch, thành viên Hội đồng quản trị; Chủ tịch, thành viên Hội đồng thành viên; Trưởng ban, thành viên Ban kiểm soát; Tổng giám đốc (Giám đốc) của tổ chức tín dụng phải chịu trách nhiệm về các quyết định của mình trong thời gian đương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Trong thời hạn 10 ngày làm việc, kể từ ngày thông qua quyết định miễn nhiệm, bãi nhiệm đối với các đối tượng theo quy định tại khoản 1 Điều này, Hội đồng quản trị, Hội đồng thành viên của tổ chức tín dụng phải có văn bản kèm tài liệu liên quan báo cáo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37.</w:t>
      </w:r>
      <w:r w:rsidRPr="005F6E83">
        <w:rPr>
          <w:rFonts w:ascii="Arial" w:hAnsi="Arial" w:cs="Arial"/>
          <w:color w:val="auto"/>
          <w:sz w:val="20"/>
          <w:szCs w:val="20"/>
        </w:rPr>
        <w:t xml:space="preserve"> Đình chỉ, tạm đình chỉ chức danh Hội đồng quản trị, Hội đồng thành viên,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Ngân hàng Nhà nước có quyền đình chỉ, tạm đình chỉ việc thực thi quyền, nghĩa vụ của Chủ tịch, các thành viên Hội đồng quản trị, Hội đồng thành viên, Trưởng ban, các thành viên Ban kiểm soát, người điều hành tổ chức tín dụng vi phạm quy định tại Điều 34 của Luật này, quy định khác của pháp luật có liên quan trong quá trình thực hiện quyền, nghĩa vụ được giao; yêu cầu cơ quan có thẩm quyền miễn nhiệm, bầu, bổ nhiệm người thay thế hoặc chỉ định người thay thế nếu xét thấy cần thiết.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Ban kiểm soát đặc biệt có quyền đình chỉ, tạm đình chỉ việc thực thi quyền, nghĩa vụ của Chủ tịch, thành viên Hội đồng quản trị, Hội đồng thành viên; Trưởng ban, thành viên Ban kiểm soát; người điều hành của tổ chức tín dụng bị đặt vào tình trạng kiểm soát đặc biệt nếu xét thấy cần thiết.  </w:t>
      </w:r>
      <w:r w:rsidRPr="005F6E83">
        <w:rPr>
          <w:rFonts w:ascii="Arial" w:hAnsi="Arial" w:cs="Arial"/>
          <w:color w:val="auto"/>
          <w:sz w:val="20"/>
          <w:szCs w:val="20"/>
        </w:rPr>
        <w:tab/>
        <w:t>3. Người bị đình chỉ, tạm đình chỉ việc thực thi quyền, nghĩa vụ theo quy định tại khoản 1 và khoản 2 Điều này phải có trách nhiệm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38. </w:t>
      </w:r>
      <w:r w:rsidRPr="005F6E83">
        <w:rPr>
          <w:rFonts w:ascii="Arial" w:hAnsi="Arial" w:cs="Arial"/>
          <w:color w:val="auto"/>
          <w:sz w:val="20"/>
          <w:szCs w:val="20"/>
        </w:rPr>
        <w:t xml:space="preserve">Quyền, nghĩa vụ của người quản lý, người điều hành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Thực hiện quyền, nghĩa vụ theo quy định của pháp luật, Điều lệ của tổ chức tín dụng, nghị quyết, quyết định của Đại hội đồng cổ đông hoặc chủ sở hữu hoặc thành viên góp vốn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Thực hiện quyền, nghĩa vụ một cách trung thực, cẩn trọng, vì lợi ích của tổ chức tín dụng, cổ đông, thành viên góp vốn và chủ sở hữu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Trung thành với tổ chức tín dụng;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Am hiểu về các loại rủi ro trong hoạt động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Không được tăng lương, thù lao hoặc yêu cầu trả thưởng khi tổ chức tín dụng bị lỗ.</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Các nghĩa vụ khác do Điều lệ của tổ chức tín dụng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39.</w:t>
      </w:r>
      <w:r w:rsidRPr="005F6E83">
        <w:rPr>
          <w:rFonts w:ascii="Arial" w:hAnsi="Arial" w:cs="Arial"/>
          <w:color w:val="auto"/>
          <w:sz w:val="20"/>
          <w:szCs w:val="20"/>
        </w:rPr>
        <w:t xml:space="preserve"> Trách nhiệm công khai các lợi ích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Thành viên Hội đồng quản trị, thành viên Hội đồng thành viên, thành viên Ban kiểm soát, Tổng giám đốc (Giám đốc), Phó Tổng giám đốc (Phó giám đốc) và các chức danh tương đương của tổ chức tín dụng phải công khai với tổ chức tín dụng các thông tin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a) Tên, địa chỉ trụ sở chính, ngành, nghề kinh doanh, số và ngày cấp Giấy chứng nhận đăng ký kinh doanh, nơi đăng ký kinh doanh của doanh nghiệp, tổ chức kinh tế mà mình và người có liên quan đứng tên sở hữu phần vốn góp, cổ phần hoặc ủy quyền, ủy thác cho cá nhân, tổ chức khác đứng tên từ 5% vốn điều lệ trở lên;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Tên, địa chỉ trụ sở chính, ngành, nghề kinh doanh, số và ngày cấp Giấy chứng nhận đăng ký kinh doanh, nơi đăng ký kinh doanh của doanh nghiệp mà mình và người có liên quan đang là thành viên Hội đồng quản trị, thành viên Hội đồng thành viên, thành viên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Việc công khai thông tin quy định tại khoản 1 Điều này và việc thay đổi thông tin liên quan phải được thực hiện bằng văn bản trong thời hạn 07 ngày làm việc, kể từ ngày phát sinh hoặc có thay đổi thông tin.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phải công khai thông tin quy định tại khoản 1 Điều này định kỳ hằng năm cho Đại hội đồng cổ đông, Hội đồng thành viên của tổ chức tín dụng và được niêm yết, lưu giữ tại trụ sở chính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40.</w:t>
      </w:r>
      <w:r w:rsidRPr="005F6E83">
        <w:rPr>
          <w:rFonts w:ascii="Arial" w:hAnsi="Arial" w:cs="Arial"/>
          <w:color w:val="auto"/>
          <w:sz w:val="20"/>
          <w:szCs w:val="20"/>
        </w:rPr>
        <w:t xml:space="preserve"> Hệ thống kiểm soát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Hệ thống kiểm soát nội bộ là tập hợp các cơ chế, chính sách, quy trình, quy định nội bộ, cơ cấu tổ chức của tổ chức tín dụng, chi nhánh ngân hàng nước ngoài được xây dựng phù hợp với hướng dẫn của Ngân hàng Nhà nước và được tổ chức thực hiện nhằm bảo đảm phòng ngừa, phát hiện, xử lý kịp thời rủi ro và đạt được yêu cầu đề ra.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chi nhánh ngân hàng nước ngoài phải xây dựng hệ thống kiểm soát nội bộ để bảo đảm các yêu cầu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Hiệu quả và an toàn trong hoạt động; bảo vệ, quản lý, sử dụng an toàn, hiệu quả tài sản và các nguồn lực;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Hệ thống thông tin tài chính và thông tin quản lý trung thực, hợp lý, đầy đủ và kịp thời;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Tuân thủ pháp luật và các quy chế, quy trình, quy định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Hoạt động của hệ thống kiểm soát nội bộ của tổ chức tín dụng, chi nhánh ngân hàng nước ngoài phải được kiểm toán nội bộ, tổ chức kiểm toán độc lập đánh giá định kỳ.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41.</w:t>
      </w:r>
      <w:r w:rsidRPr="005F6E83">
        <w:rPr>
          <w:rFonts w:ascii="Arial" w:hAnsi="Arial" w:cs="Arial"/>
          <w:color w:val="auto"/>
          <w:sz w:val="20"/>
          <w:szCs w:val="20"/>
        </w:rPr>
        <w:t xml:space="preserve"> Kiểm toán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phải thành lập kiểm toán nội bộ chuyên trách thuộc Ban kiểm soát thực hiện kiểm toán nội bộ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Kiểm toán nội bộ thực hiện rà soát, đánh giá độc lập, khách quan đối với hệ thống kiểm soát nội bộ; đánh giá độc lập về tính thích hợp và sự tuân thủ quy định, chính sách nội bộ, thủ tục, quy trình đã được thiết lập trong tổ chức tín dụng; đưa ra kiến nghị nhằm nâng cao hiệu quả của các hệ thống, quy trình, quy định, góp phần bảo đảm tổ chức tín dụng hoạt động an toàn, hiệu quả, đúng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Kết quả kiểm toán nội bộ phải được báo cáo kịp thời cho Hội đồng quản trị, Hội đồng thành viên, Ban kiểm soát và gửi Tổng giám đốc (Giám đốc)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42.</w:t>
      </w:r>
      <w:r w:rsidRPr="005F6E83">
        <w:rPr>
          <w:rFonts w:ascii="Arial" w:hAnsi="Arial" w:cs="Arial"/>
          <w:color w:val="auto"/>
          <w:sz w:val="20"/>
          <w:szCs w:val="20"/>
        </w:rPr>
        <w:t xml:space="preserve"> Kiểm toán độc lập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Trước khi kết thúc năm tài chính, tổ chức tín dụng, chi nhánh ngân hàng nước ngoài phải lựa chọn một tổ chức kiểm toán độc lập đủ điều kiện theo quy định của Ngân hàng Nhà nước để kiểm toán các hoạt động của mình trong năm tài chính tiếp theo.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Trong thời hạn 30 ngày, kể từ ngày quyết định chọn tổ chức kiểm toán độc lập, tổ chức tín dụng, chi nhánh ngân hàng nước ngoài phải thông báo cho Ngân hàng Nhà nước về tổ chức kiểm toán độc lập được lựa chọn.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phải thực hiện kiểm toán độc lập lại trong trường hợp báo cáo kiểm toán có ý kiến ngoại trừ của tổ chức kiểm toán độc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4. Việc kiểm toán độc lập đối với tổ chức tín dụng là hợp tác xã thực hiện theo quy định tại khoản 3 Điều 75 của Luật này.</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2</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QUY ĐỊNH CHUNG ĐỐI VỚI TỔ CHỨC TÍN DỤNG LÀ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CÔNG TY CỔ PHẦN, CÔNG TY TRÁCH NHIỆM HỮU HẠN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43.</w:t>
      </w:r>
      <w:r w:rsidRPr="005F6E83">
        <w:rPr>
          <w:rFonts w:ascii="Arial" w:hAnsi="Arial" w:cs="Arial"/>
          <w:color w:val="auto"/>
          <w:sz w:val="20"/>
          <w:szCs w:val="20"/>
        </w:rPr>
        <w:t xml:space="preserve"> Hội đồng quản trị, Hội đồng thành viên và cơ cấu Hội đồng quản trị,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Hội đồng quản trị, Hội đồng thành viên là cơ quan quản trị có toàn quyền nhân danh tổ chức tín dụng để quyết định, thực hiện các quyền, nghĩa vụ của tổ chức tín dụng, trừ những vấn đề thuộc thẩm quyền của Đại hội đồng cổ đông, chủ sở hữu.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Nhiệm kỳ của Hội đồng quản trị, Hội đồng thành viên không quá 05 năm. Nhiệm kỳ của thành viên Hội đồng quản trị, thành viên Hội đồng thành viên theo nhiệm kỳ của Hội đồng quản trị, Hội đồng thành viên. Thành viên Hội đồng quản trị, thành viên Hội đồng thành viên có thể được bầu hoặc bổ nhiệm lại với số nhiệm kỳ không hạn chế. Nhiệm kỳ của thành viên Hội đồng quản trị, thành viên Hội đồng thành viên được bổ sung hoặc thay thế là thời hạn còn lại của nhiệm kỳ Hội đồng quản trị, Hội đồng thành viên. Hội đồng quản trị, Hội đồng thành viên của nhiệm kỳ vừa kết thúc tiếp tục hoạt động cho đến khi Hội đồng quản trị, Hội đồng thành viên của nhiệm kỳ mới tiếp quản công việc.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Trường hợp số thành viên Hội đồng quản trị, thành viên Hội đồng thành viên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Hội đồng quản trị, thành viên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Hội đồng quản trị, Hội đồng thành viên sử dụng con dấu của tổ chức tín dụng để thực hiện nhiệm vụ, quyền hạn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Hội đồng quản trị, Hội đồng thành viên có Thư ký để giúp việc cho Hội đồng quản trị, Hội đồng thành viên. Chức năng, nhiệm vụ của Thư ký do Hội đồng quản trị, Hội đồng thành viên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 6.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 định nhiệm vụ, quyền hạn của hai Ủy ban này theo hướng dẫn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44. </w:t>
      </w:r>
      <w:r w:rsidRPr="005F6E83">
        <w:rPr>
          <w:rFonts w:ascii="Arial" w:hAnsi="Arial" w:cs="Arial"/>
          <w:color w:val="auto"/>
          <w:sz w:val="20"/>
          <w:szCs w:val="20"/>
        </w:rPr>
        <w:t>Ban kiểm soát và cơ cấu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Ban kiểm soát thực hiện kiểm toán nội bộ, kiểm soát, đánh giá việc chấp hành quy định của pháp luật, quy định nội bộ, Điều lệ và nghị quyết, quyết định của Đại hội đồng cổ đông, chủ sở hữu, Hội đồng quản trị,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Ban kiểm soát của tổ chức tín dụng có ít nhất 03 thành viên, số lượng cụ thể do Điều lệ của tổ chức tín dụng quy định, trong đó phải có ít nhất một phần hai tổng số thành viên là thành viên chuyên trách, không đồng thời đảm nhiệm chức vụ, công việc khác tại tổ chức tín dụng hoặc doanh nghiệp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Ban kiểm soát có bộ phận giúp việc, bộ phận kiểm toán nội bộ, được sử dụng các nguồn lực của tổ chức tín dụng, được thuê chuyên gia và tổ chức bên ngoài để thực hiện nhiệm vụ của mình.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Nhiệm kỳ của Ban kiểm soát không quá 05 năm. Nhiệm kỳ của thành viên Ban kiểm soát theo nhiệm kỳ của Ban kiểm soát. Thành viên Ban kiểm soát có thể được bầu hoặc bổ nhiệm lại với số nhiệm kỳ không hạn chế.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5. Trường hợp số thành viên Ban kiểm soát không đủ hai phần ba tổng số thành viên của nhiệm kỳ hoặc không đủ số thành viên tối thiểu theo quy định tại Điều lệ của tổ chức tín dụng thì trong thời hạn 60 ngày, kể từ ngày không đủ số lượng thành viên, tổ chức tín dụng phải bổ sung đủ số lượng thành viên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45. </w:t>
      </w:r>
      <w:r w:rsidRPr="005F6E83">
        <w:rPr>
          <w:rFonts w:ascii="Arial" w:hAnsi="Arial" w:cs="Arial"/>
          <w:color w:val="auto"/>
          <w:sz w:val="20"/>
          <w:szCs w:val="20"/>
        </w:rPr>
        <w:t>Nhiệm vụ, quyền hạn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Giám sát việc tuân thủ các quy định của pháp luật và Điều lệ của tổ chức tín dụng trong việc quản trị, điều hành tổ chức tín dụng; chịu trách nhiệm trước Đại hội đồng cổ đông, chủ sở hữu, thành viên góp vốn trong việc thực hiện nhiệm vụ, quyền hạn được giao.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Ban hành quy định nội bộ của Ban kiểm soát; định kỳ hằng năm xem xét lại quy định nội bộ của Ban kiểm soát, các chính sách quan trọng về kế toán và báo cáo.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Thực hiện chức năng kiểm toán nội bộ; có quyền sử dụng tư vấn độc lập và quyền được tiếp cận, cung cấp đủ, chính xác, kịp thời các thông tin, tài liệu liên quan đến hoạt động quản lý, điều hành tổ chức tín dụng để thực hiện nhiệm vụ, quyền hạn được giao.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Kiểm tra sổ kế toán, các tài liệu khác và công việc quản lý, điều hành hoạt động của tổ chức tín dụng khi xét thấy cần thiết hoặc theo nghị quyết, quyết định của </w:t>
      </w:r>
      <w:bookmarkStart w:id="3" w:name="OLE_LINK1"/>
      <w:bookmarkStart w:id="4" w:name="OLE_LINK2"/>
      <w:r w:rsidRPr="005F6E83">
        <w:rPr>
          <w:rFonts w:ascii="Arial" w:hAnsi="Arial" w:cs="Arial"/>
          <w:color w:val="auto"/>
          <w:sz w:val="20"/>
          <w:szCs w:val="20"/>
        </w:rPr>
        <w:t>Đại hội đồng cổ đông hoặc theo yêu cầu của cổ đông lớn hoặc nhóm cổ đông lớn hoặc chủ sở hữu hoặc thành viên góp vốn hoặc Hội đồng thành viên</w:t>
      </w:r>
      <w:bookmarkEnd w:id="3"/>
      <w:bookmarkEnd w:id="4"/>
      <w:r w:rsidRPr="005F6E83">
        <w:rPr>
          <w:rFonts w:ascii="Arial" w:hAnsi="Arial" w:cs="Arial"/>
          <w:color w:val="auto"/>
          <w:sz w:val="20"/>
          <w:szCs w:val="20"/>
        </w:rPr>
        <w:t xml:space="preserve"> phù hợp với quy định của pháp luật. Ban kiểm soát thực hiện kiểm tra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Kịp thời thông báo cho Hội đồng quản trị, Hội đồng thành viên khi phát hiện người quản lý tổ chức tín dụng có hành vi vi phạm; yêu cầu người vi phạm chấm dứt ngay hành vi vi phạm và có giải pháp khắc phục hậu quả, nếu có.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Lập danh sách cổ đông sáng lập, cổ đông lớn, thành viên góp vốn và người có liên quan của thành viên Hội đồng quản trị, thành viên Hội đồng thành viên, thành viên Ban kiểm soát, Tổng giám đốc (Giám đốc) của tổ chức tín dụng; lưu giữ và cập nhật thay đổi của danh sách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8.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9. Triệu tập Đại hội đồng cổ đông bất thường trong trường hợp Hội đồng quản trị có quyết định vi phạm nghiêm trọng quy định của Luật này hoặc vượt quá thẩm quyền được giao và trường hợp khác theo quy định tại Điều lệ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10. Các nhiệm vụ, quyền hạn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46. </w:t>
      </w:r>
      <w:r w:rsidRPr="005F6E83">
        <w:rPr>
          <w:rFonts w:ascii="Arial" w:hAnsi="Arial" w:cs="Arial"/>
          <w:color w:val="auto"/>
          <w:sz w:val="20"/>
          <w:szCs w:val="20"/>
        </w:rPr>
        <w:t>Quyền, nghĩa vụ của Trưởng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triển khai thực hiện nhiệm vụ, quyền hạn của Ban kiểm soát quy định tại Điều 45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Chuẩn bị chương trình họp của Ban kiểm soát trên cơ sở ý kiến đề xuất của thành viên Ban kiểm soát liên quan đến nhiệm vụ, quyền hạn của Ban kiểm soát; triệu tập và chủ tọa cuộc họp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Thay mặt Ban kiểm soát ký các văn bản thuộc thẩm quyền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Thay mặt Ban kiểm soát triệu tập Đại hội đồng cổ đông bất thường quy định tại Điều 45 của Luật này hoặc đề nghị Hội đồng quản trị, Hội đồng thành viên họp bất thường.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5. Tham dự cuộc họp Hội đồng quản trị, Hội đồng thành viên, phát biểu ý kiến nhưng không được biểu quyết.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Yêu cầu ghi lại ý kiến của mình trong biên bản cuộc họp Hội đồng quản trị, Hội đồng thành viên nếu ý kiến của mình khác với nghị quyết, quyết định của Hội đồng quản trị, Hội đồng thành viên và báo cáo trước Đại hội đồng cổ đông hoặc chủ sở hữu, thành viên góp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Chuẩn bị kế hoạch làm việc và phân công nhiệm vụ cho các thành viên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Bảo đảm các thành viên Ban kiểm soát nhận được thông tin đầy đủ, khách quan, chính xác và có đủ thời gian thảo luận các vấn đề mà Ban kiểm soát phải xem xét.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9. Giám sát, chỉ đạo việc thực hiện nhiệm vụ được phân công và quyền, nghĩa vụ của thành viên Ban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10. Ủy quyền cho một thành viên khác của Ban kiểm soát thực hiện nhiệm vụ của mình trong thời gian vắng mặt.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11. Các quyền, nghĩa vụ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47. </w:t>
      </w:r>
      <w:r w:rsidRPr="005F6E83">
        <w:rPr>
          <w:rFonts w:ascii="Arial" w:hAnsi="Arial" w:cs="Arial"/>
          <w:color w:val="auto"/>
          <w:sz w:val="20"/>
          <w:szCs w:val="20"/>
        </w:rPr>
        <w:t>Quyền, nghĩa vụ của thành viên Ban kiểm soát</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Tuân thủ quy định của pháp luật, Điều lệ của tổ chức tín dụng và quy định nội bộ của Ban kiểm soát một cách trung thực, cẩn trọng vì lợi ích của tổ chức tín dụng và của cổ đông, thành viên góp vốn, chủ sở hữu.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Bầu một thành viên Ban kiểm soát làm Trưởng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Yêu cầu Trưởng Ban kiểm soát triệu tập Ban kiểm soát họp bất thường.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Kiểm soát hoạt động kinh doanh, kiểm soát sổ sách kế toán, tài sản, báo cáo tài chính và kiến nghị biện pháp khắc phục.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Được quyền yêu cầu cán bộ, nhân viên của tổ chức tín dụng cung cấp số liệu và giải trình các hoạt động kinh doanh để thực hiện nhiệm vụ được phân công.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Báo cáo Trưởng Ban kiểm soát về hoạt động tài chính bất thường và chịu trách nhiệm về đánh giá và kết luận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Tham dự cuộc họp của Ban kiểm soát, thảo luận và biểu quyết về vấn đề thuộc nhiệm vụ, quyền hạn của Ban kiểm soát, trừ những vấn đề có xung đột lợi ích với thành viên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Các quyền, nghĩa vụ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48.</w:t>
      </w:r>
      <w:r w:rsidRPr="005F6E83">
        <w:rPr>
          <w:rFonts w:ascii="Arial" w:hAnsi="Arial" w:cs="Arial"/>
          <w:color w:val="auto"/>
          <w:sz w:val="20"/>
          <w:szCs w:val="20"/>
        </w:rPr>
        <w:t xml:space="preserve">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Hội đồng quản trị, Hội đồng thành viên bổ nhiệm một trong số các thành viên của mình làm Tổng giám đốc (Giám đốc) hoặc thuê Tổng giám đốc (Giám đốc), trừ trường hợp quy định tại điểm c khoản 1 Điều 66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Tổng giám đốc (Giám đốc) là người điều hành cao nhất của tổ chức tín dụng, chịu trách nhiệm trước Hội đồng quản trị, Hội đồng thành viên về việc thực hiện quyền, nghĩa vụ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49. </w:t>
      </w:r>
      <w:r w:rsidRPr="005F6E83">
        <w:rPr>
          <w:rFonts w:ascii="Arial" w:hAnsi="Arial" w:cs="Arial"/>
          <w:color w:val="auto"/>
          <w:sz w:val="20"/>
          <w:szCs w:val="20"/>
        </w:rPr>
        <w:t xml:space="preserve">Quyền, nghĩa vụ của Tổng giám đốc (Giám đốc)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thực hiện nghị quyết, quyết định của Đại hội đồng cổ đông, Hội đồng quản trị, Hội đồng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Quyết định các vấn đề thuộc thẩm quyền liên quan đến hoạt động kinh doanh hằng ngày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Thiết lập, duy trì hệ thống kiểm soát nội bộ hoạt động có hiệu quả.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Lập và trình Hội đồng quản trị, Hội đồng thành viên thông qua hoặc để báo cáo cấp có thẩm quyền thông qua báo cáo tài chính. Chịu trách nhiệm về tính chính xác, trung thực của báo cáo tài chính, báo cáo thống kê, số liệu quyết toán và các thông tin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5. Ban hành theo thẩm quyền quy chế, quy định nội bộ; quy trình, thủ tục tác nghiệp để vận hành hệ thống điều hành kinh doanh, hệ thống thông tin báo cáo.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Báo cáo Hội đồng quản trị, Hội đồng thành viên, Ban kiểm soát, Đại hội đồng cổ đông và cơ quan nhà nước có thẩm quyền về hoạt động và kết quả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Quyết định áp dụng biện pháp vượt thẩm quyền của mình trong trường hợp thiên tai, địch họa, hỏa hoạn, sự cố và chịu trách nhiệm về quyết định đó và kịp thời báo cáo Hội đồng quản trị,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8. Kiến nghị, đề xuất cơ cấu tổ chức và hoạt động của tổ chức tín dụng trình Hội đồng quản trị, Hội đồng thành viên hoặc Đại hội đồng cổ đông quyết định theo thẩm quyền.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Đề nghị Hội đồng quản trị, Hội đồng thành viên họp bất thường theo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10. Bổ nhiệm, miễn nhiệm, bãi nhiệm các chức danh quản lý, điều hành của tổ chức tín dụng, trừ các chức danh thuộc thẩm quyền quyết định của Đại hội đồng cổ đông, chủ sở hữu, thành viên góp vốn, Hội đồng quản trị,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11. Ký kết hợp đồng nhân danh tổ chức tín dụng theo quy định của Điều lệ và quy định nội bộ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12. Kiến nghị phương án sử dụng lợi nhuận, xử lý lỗ trong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13. Tuyển dụng lao động; quyết định lương, thưởng của người lao động theo thẩm quyền.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14. Các quyền, nghĩa vụ khác theo quy định tại Điều lệ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Điều 50. Tiêu chuẩn, điều kiện đối với người quản lý, người điều hành và một số chức danh khác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Thành viên Hội đồng quản trị, thành viên Hội đồng thành viên phải có đủ các tiêu chuẩn,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Không thuộc đối tượng quy định tại khoản 1 Điều 33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đạo đức nghề nghiệp;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Là cá nhân sở hữu hoặc người được ủy quyền đại diện sở hữu ít nhất 5% vốn điều lệ của tổ chức tín dụng, trừ trường hợp là thành viên Hội đồng thành viên, thành viên độc lập của Hội đồng quản trị hoặc có bằng đại học trở lên về một trong các ngành kinh tế, quản trị kinh doanh, luật hoặc có ít nhất 03 năm là người quản lý của tổ chức tín dụng hoặc doanh nghiệp hoạt động trong ngành bảo hiểm, chứng khoán, kế toán, kiểm toán hoặc có ít nhất 05 năm làm việc trực tiếp tại các bộ phận nghiệp vụ trong lĩnh vực ngân hàng, tài chính, kiểm toán hoặc kế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Thành viên độc lập của Hội đồng quản trị phải có đủ các tiêu chuẩn, điều kiện quy định tại khoản 1 Điều này và các tiêu chuẩn, điều kiện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Không phải là người đang làm việc cho chính tổ chức tín dụng hoặc công ty con của tổ chức tín dụng đó hoặc đã làm việc cho chính tổ chức tín dụng hoặc công ty con của tổ chức tín dụng đó trong 03 năm liền kề trước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Không phải là người hưởng lương, thù lao thường xuyên của tổ chức tín dụng ngoài những khoản phụ cấp của thành viên Hội đồng quản trị được hưởng theo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Không phải là người có vợ, chồng, cha, mẹ, con, anh, chị, em và vợ, chồng của những người này là cổ đông lớn của tổ chức tín dụng, người quản lý hoặc thành viên Ban kiểm soát của tổ chức tín dụng hoặc công ty con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Không trực tiếp, gián tiếp sở hữu hoặc đại diện sở hữu từ 1% vốn điều lệ hoặc vốn cổ phần có quyền biểu quyết trở lên của tổ chức tín dụng; không cùng người có liên quan sở hữu từ 5% vốn điều lệ hoặc vốn cổ phần có quyền biểu quyết trở lên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đ) Không phải là người quản lý, thành viên Ban kiểm soát của tổ chức tín dụng tại bất kỳ thời điểm nào trong 05 năm liền kề trước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Thành viên Ban kiểm soát phải có đủ các tiêu chuẩn,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Không thuộc đối tượng quy định tại khoản 1 Điều 33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đạo đức nghề nghiệp;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Có bằng đại học trở lên về một trong các ngành kinh tế, quản trị kinh doanh, luật, kế toán, kiểm toán; có ít nhất 03 năm làm việc trực tiếp trong lĩnh vực ngân hàng, tài chính, kế toán hoặc kiểm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Không phải là người có liên quan của người quản lý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Thành viên Ban kiểm soát chuyên trách phải cư trú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trong thời gian đương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Tổng giám đốc (Giám đốc) phải có đủ các tiêu chuẩn, điều kiện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Không thuộc đối tượng quy định tại khoản 1 Điều 33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đạo đức nghề nghiệp;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Có bằng đại học trở lên về một trong các ngành kinh tế, quản trị kinh doanh, luật;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Có ít nhất 05 năm làm người điều hành của tổ chức tín dụng hoặc có ít nhất 05 năm làm Tổng giám đốc (Giám đốc), Phó Tổng giám đốc (Phó giám đốc) doanh nghiệp có vốn chủ sở hữu tối thiểu bằng mức vốn pháp định đối với từng loại hình tổ chức tín dụng theo quy định của pháp luật hoặc có ít nhất 10 năm làm việc trực tiếp trong lĩnh vực tài chính, ngân hàng, kế toán hoặc kiểm toán;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Cư trú tại Việt </w:t>
      </w:r>
      <w:smartTag w:uri="urn:schemas-microsoft-com:office:smarttags" w:element="place">
        <w:smartTag w:uri="urn:schemas-microsoft-com:office:smarttags" w:element="country-region">
          <w:r w:rsidRPr="005F6E83">
            <w:rPr>
              <w:rFonts w:ascii="Arial" w:hAnsi="Arial" w:cs="Arial"/>
              <w:color w:val="auto"/>
              <w:sz w:val="20"/>
              <w:szCs w:val="20"/>
            </w:rPr>
            <w:t>Nam</w:t>
          </w:r>
        </w:smartTag>
      </w:smartTag>
      <w:r w:rsidRPr="005F6E83">
        <w:rPr>
          <w:rFonts w:ascii="Arial" w:hAnsi="Arial" w:cs="Arial"/>
          <w:color w:val="auto"/>
          <w:sz w:val="20"/>
          <w:szCs w:val="20"/>
        </w:rPr>
        <w:t xml:space="preserve"> trong thời gian đương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Phó Tổng giám đốc (Phó giám đốc), Kế toán trưởng, Giám đốc Chi nhánh, Giám đốc công ty con và các chức danh tương đương phải có đủ các tiêu chuẩn,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Không thuộc đối tượng quy định tại khoản 2 Điều 33 của Luật này; đối với Phó Tổng giám đốc (Phó giám đốc) không thuộc đối tượng quy định tại khoản 1 Điều 33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Có bằng đại học trở lên về một trong các ngành kinh tế, quản trị kinh doanh, luật hoặc lĩnh vực chuyên môn mà mình sẽ đảm nhiệm; hoặc có bằng đại học trở lên ngoài các ngành, lĩnh vực nêu trên và có ít nhất 03 năm làm việc trực tiếp trong lĩnh vực ngân hàng, tài chính hoặc lĩnh vực chuyên môn mà mình sẽ đảm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Cư trú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trong thời gian đương nhiệm.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Ngân hàng Nhà nước quy định cụ thể tiêu chuẩn, điều kiện đối với người quản lý, người điều hành, thành viên Ban kiểm soát của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51.</w:t>
      </w:r>
      <w:r w:rsidRPr="005F6E83">
        <w:rPr>
          <w:rFonts w:ascii="Arial" w:hAnsi="Arial" w:cs="Arial"/>
          <w:color w:val="auto"/>
          <w:sz w:val="20"/>
          <w:szCs w:val="20"/>
        </w:rPr>
        <w:t xml:space="preserve"> Chấp thuận danh sách dự kiến những người được bầu, bổ nhiệm làm thành viên Hội đồng quản trị, thành viên Hội đồng thành viên, thành viên Ban kiểm soát, Tổng giám đốc (Giám đốc)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Danh sách dự kiến những người được bầu, bổ nhiệm làm thành viên Hội đồng quản trị, thành viên Hội đồng thành viên, thành viên Ban kiểm soát, Tổng giám đốc (Giám đốc) của tổ chức tín dụng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phải thuộc danh sách đã được Ngân hàng Nhà nước chấp thuận.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quy định cụ thể thủ tục, hồ sơ chấp thuận danh sách dự kiến việc bầu, bổ nhiệm các chức danh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phải thông báo cho Ngân hàng Nhà nước danh sách những người được bầu, bổ nhiệm các chức danh quy định tại khoản 1 Điều này trong thời hạn 10 ngày làm việc, kể từ ngày bầu, bổ nhiệm.</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lastRenderedPageBreak/>
        <w:t>Mục 3</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TỔ CHỨC TÍN DỤNG LÀ CÔNG TY CỔ PHẦN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52. </w:t>
      </w:r>
      <w:r w:rsidRPr="005F6E83">
        <w:rPr>
          <w:rFonts w:ascii="Arial" w:hAnsi="Arial" w:cs="Arial"/>
          <w:color w:val="auto"/>
          <w:sz w:val="20"/>
          <w:szCs w:val="20"/>
        </w:rPr>
        <w:t>Các loại cổ phần,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cổ phần phải có cổ phần phổ thông. Người sở hữu cổ phần phổ thông là cổ đông phổ thông.</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có thể có cổ phần ưu đãi. Cổ phần ưu đãi gồm các loại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Cổ phần ưu đãi cổ tức;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Cổ phần ưu đãi biểu quyết.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Thành viên Hội đồng quản trị, thành viên Ban kiểm soát, Tổng giám đốc (Giám đốc) và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Cổ đông sở hữu cổ phần ưu đãi cổ tức có các quyền như cổ đông phổ thông, trừ quyền biểu quyết, dự họp Đại hội đồng cổ đông, đề cử người vào Hội đồng quản trị và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chứng nhận đăng ký kinh doanh. Sau thời hạn đó, cổ phần ưu đãi biểu quyết của cổ đông sáng lập chuyển đổi thành cổ phần phổ thông. Cổ đông sở hữu cổ phần ưu đãi biểu quyết có các quyền như cổ đông phổ thông, trừ quyền chuyển nhượng cổ phần đó cho người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Cổ phần phổ thông không thể chuyển đổi thành cổ phần ưu đãi. Cổ phần ưu đãi có thể chuyển đổi thành cổ phần phổ thông theo nghị quyết của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Tổ chức tín dụng cổ phần phải có tối thiểu 100 cổ đông và không hạn chế số lượng tối đa.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53. </w:t>
      </w:r>
      <w:r w:rsidRPr="005F6E83">
        <w:rPr>
          <w:rFonts w:ascii="Arial" w:hAnsi="Arial" w:cs="Arial"/>
          <w:color w:val="auto"/>
          <w:sz w:val="20"/>
          <w:szCs w:val="20"/>
        </w:rPr>
        <w:t>Quyền của cổ đông phổ thông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Tham dự và phát biểu ý kiến trong các cuộc họp Đại hội đồng cổ đông và thực hiện quyền biểu quyết trực tiếp hoặc thông qua đại diện được ủy quyền; mỗi cổ phần phổ thông có một phiếu biểu quyết.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Được nhận cổ tức theo nghị quyết của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Được ưu tiên mua cổ phần mới chào bán tương ứng với tỷ lệ cổ phần phổ thông của từng cổ đông trong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Được chuyển nhượng cổ phần cho cổ đông khác của tổ chức tín dụng hoặc tổ chức, cá nhân khác theo quy định của Luật này và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Xem xét, tra cứu và trích lục thông tin trong danh sách cổ đông có quyền biểu quyết và yêu cầu sửa đổi thông tin không chính xác.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Xem xét, tra cứu, trích lục hoặc sao chụp Điều lệ của tổ chức tín dụng, sổ biên bản họp Đại hội đồng cổ đông và các nghị quyết của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7. Được nhận một phần tài sản còn lại tương ứng với số cổ phần sở hữu tại tổ chức tín dụng khi tổ chức tín dụng giải thể hoặc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Được ủy quyền bằng văn bản cho người khác thực hiện các quyền, nghĩa vụ của mình; người được ủy quyền không được ứng cử với tư cách của chính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Được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tới Hội đồng quản trị theo thời hạn do Hội đồng quản trị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 Điều 54.</w:t>
      </w:r>
      <w:r w:rsidRPr="005F6E83">
        <w:rPr>
          <w:rFonts w:ascii="Arial" w:hAnsi="Arial" w:cs="Arial"/>
          <w:color w:val="auto"/>
          <w:sz w:val="20"/>
          <w:szCs w:val="20"/>
        </w:rPr>
        <w:t xml:space="preserve"> Nghĩa vụ của cổ đông phổ thông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Cổ đông của tổ chức tín dụng phải thực hiện các nghĩa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Thanh toán đủ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Không được rút vốn cổ phần đã góp ra khỏi tổ chức tín dụng dưới mọi hình thức dẫn đến việc giảm vốn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Chịu trách nhiệm trước pháp luật về tính hợp pháp của nguồn vốn góp, mua cổ phần tại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Tuân thủ Điều lệ và các quy chế quản lý nội bộ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Chấp hành nghị quyết, quyết định của Đại hội đồng cổ đông,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Chịu trách nhiệm cá nhân khi nhân danh tổ chức tín dụng dưới mọi hình thức để thực hiện hành vi vi phạm pháp luật, tiến hành kinh doanh và các giao dịch khác để tư lợi hoặc phục vụ lợi ích của tổ chức, cá nhân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này trong trường hợp phát hiện họ không cung cấp thông tin xác thực về chủ sở hữu thực sự các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55.</w:t>
      </w:r>
      <w:r w:rsidRPr="005F6E83">
        <w:rPr>
          <w:rFonts w:ascii="Arial" w:hAnsi="Arial" w:cs="Arial"/>
          <w:color w:val="auto"/>
          <w:sz w:val="20"/>
          <w:szCs w:val="20"/>
        </w:rPr>
        <w:t xml:space="preserve"> Tỷ lệ sở hữu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Một cổ đông là cá nhân không được sở hữu vượt quá 5% vốn điều lệ của một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Một cổ đông là tổ chức không được sở hữu vượt quá 15% vốn điều lệ của một tổ chức tín dụng, trừ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Sở hữu cổ phần theo quy định tại khoản 3 Điều 149 của Luật này để xử lý tổ chức tín dụng gặp khó khăn, bảo đảm an toàn hệ thống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Sở hữu cổ phần nhà nước tại tổ chức tín dụng cổ phần hóa;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Sở hữu cổ phần của nhà đầu tư nước ngoài quy định tại khoản 2 Điều 16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Cổ đông và người có liên quan của cổ đông đó không được sở hữu vượt quá 20% vốn điều lệ của một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Tỷ lệ sở hữu quy định tại các khoản 1, 2 và 3 Điều này bao gồm cả phần vốn ủy thác cho tổ chức, cá nhân khác mua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Trong thời hạn 05 năm, kể từ ngày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56. </w:t>
      </w:r>
      <w:r w:rsidRPr="005F6E83">
        <w:rPr>
          <w:rFonts w:ascii="Arial" w:hAnsi="Arial" w:cs="Arial"/>
          <w:color w:val="auto"/>
          <w:sz w:val="20"/>
          <w:szCs w:val="20"/>
        </w:rPr>
        <w:t>Chào bán và chuyển nhượng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1. Cổ đông là cá nhân, cổ đông là tổ chức có người đại diện là thành viên Hội đồng quản trị, thành viên Ban kiểm soát, Tổng giám đốc (Giám đốc) của tổ chức tín dụng không được chuyển nhượng cổ phần của mình trong thời gian đảm nhiệm chức vụ.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Trong thời gian đang xử lý hậu quả theo nghị quyết của Đại hội đồng cổ đông hoặc theo quyết định của Ngân hàng Nhà nước do trách nhiệm cá nhân, thành viên Hội đồng quản trị, thành viên Ban kiểm soát, Tổng giám đốc (Giám đốc) không được chuyển nhượng cổ phần, trừ một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Thành viên Hội đồng quản trị, thành viên Ban kiểm soát, Tổng giám đốc (Giám đốc) là đại diện theo ủy quyền của cổ đông tổ chức bị sáp nhập, hợp nhất, chia, tách, giải thể, phá sản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Thành viên Hội đồng quản trị, thành viên Ban kiểm soát, Tổng giám đốc (Giám đốc) bị buộc chuyển nhượng cổ phần theo quyết định của Tòa 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Thành viên Hội đồng quản trị, thành viên Ban kiểm soát, Tổng giám đốc (Giám đốc) chuyển nhượng cổ phần cho các nhà đầu tư khác nhằm thực hiện việc sáp nhập, hợp nhất bắt buộc quy định tại khoản 2 Điều 149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Việc chuyển nhượng cổ phần niêm yết của tổ chức tín dụng được thực hiện theo quy định của pháp luật về chứng khoán.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Trong thời hạn 05 năm, kể từ ngày được cấp Giấy phép, cổ đông sáng lập chỉ được phép chuyển nhượng cổ phần cho các cổ đông sáng lập khác với điều kiện bảo đảm các tỷ lệ sở hữu cổ phần quy định tại Điều 55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57.</w:t>
      </w:r>
      <w:r w:rsidRPr="005F6E83">
        <w:rPr>
          <w:rFonts w:ascii="Arial" w:hAnsi="Arial" w:cs="Arial"/>
          <w:color w:val="auto"/>
          <w:sz w:val="20"/>
          <w:szCs w:val="20"/>
        </w:rPr>
        <w:t xml:space="preserve"> Mua lại cổ phần của cổ đông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chỉ được mua lại cổ phần của cổ đông nếu sau khi thanh toán hết số cổ phần được mua lại mà vẫn bảo đảm các tỷ lệ an toàn trong hoạt động ngân hàng, giá trị thực của vốn điều lệ không giảm thấp hơn mức vốn pháp định; trường hợp mua lại cổ phần dẫn đến việc giảm vốn điều lệ của tổ chức tín dụng thì phải được Ngân hàng Nhà nước chấp thuận trước bằng văn bản.</w:t>
      </w:r>
      <w:r w:rsidRPr="005F6E83" w:rsidDel="004C65BE">
        <w:rPr>
          <w:rFonts w:ascii="Arial" w:hAnsi="Arial" w:cs="Arial"/>
          <w:color w:val="auto"/>
          <w:sz w:val="20"/>
          <w:szCs w:val="20"/>
        </w:rPr>
        <w:t xml:space="preserve">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58. </w:t>
      </w:r>
      <w:r w:rsidRPr="005F6E83">
        <w:rPr>
          <w:rFonts w:ascii="Arial" w:hAnsi="Arial" w:cs="Arial"/>
          <w:color w:val="auto"/>
          <w:sz w:val="20"/>
          <w:szCs w:val="20"/>
        </w:rPr>
        <w:t>Cổ phiếu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cổ phần cam kết mua đối với tổ chức tín dụng tăng vốn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59. </w:t>
      </w:r>
      <w:r w:rsidRPr="005F6E83">
        <w:rPr>
          <w:rFonts w:ascii="Arial" w:hAnsi="Arial" w:cs="Arial"/>
          <w:color w:val="auto"/>
          <w:sz w:val="20"/>
          <w:szCs w:val="20"/>
        </w:rPr>
        <w:t>Đại hội đồng cổ đông</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Đại hội đồng cổ đông họp thường niên trong thời hạn 04 tháng, kể từ ngày kết thúc năm tài chính. Đại hội đồng cổ đông họp bất thường theo quyết định triệu tập họp của Hội đồng quản trị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Hội đồng quản trị xét thấy cần thiết vì lợi ích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Số thành viên Hội đồng quản trị còn lại ít hơn số thành viên tối thiểu quy định tại khoản 1 Điều 62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Theo yêu cầu của cổ đông hoặc nhóm cổ đông sở hữu trên 10% tổng số cổ phần phổ thông trong thời hạn liên tục ít nhất 06 tháng;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Theo yêu cầu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Các trường hợp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Đại hội đồng cổ đông gồm tất cả cổ đông có quyền biểu quyết, là cơ quan quyết định cao nhất của tổ chức tín dụng. Đại hội đồng cổ đông có các nhiệm vụ, quyền hạn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Thông qua định hướng phát triển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Sửa đổi, bổ sung Điều lệ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c) Phê chuẩn quy định về tổ chức và hoạt động của Hội đồng quản trị,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Quyết định mức thù lao, thưởng và các lợi ích khác đối với thành viên Hội đồng quản trị, thành viên Ban kiểm soát và ngân sách hoạt động của Hội đồng quản trị, Ban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Xem xét và xử lý theo thẩm quyền vi phạm của Hội đồng quản trị, Ban kiểm soát gây thiệt hại cho tổ chức tín dụng và cổ đông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Quyết định cơ cấu tổ chức, bộ máy quản lý điều hành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Thông qua phương án thay đổi mức vốn điều lệ; thông qua phương án chào bán cổ phần, bao gồm loại cổ phần và số lượng cổ phần mới sẽ chào bán;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i) Thông qua việc mua lại cổ phần đã bán;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 Thông qua phương án phát hành trái phiếu chuyển đổi;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l) Thông qua báo cáo tài chính hằng năm; phương án phân phối lợi nhuận sau khi đã hoàn thành nghĩa vụ thuế và các nghĩa vụ tài chính khác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m) Thông qua báo cáo của Hội đồng quản trị, Ban kiểm soát về việc thực hiện nhiệm vụ, quyền hạn được giao;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 Quyết định thành lập công ty con;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o) Thông qua phương án góp vốn, mua cổ phần của doanh nghiệp, tổ chức tín dụng khác có giá trị từ 20% trở lên so với vốn điều lệ của tổ chức tín dụng ghi trong báo cáo tài chính đã được kiểm toán gần nhất;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p) Quyết định đầu tư, mua, bán tài sản của tổ chức tín dụng có giá trị từ 20% trở lên so với vốn điều lệ của tổ chức tín dụng ghi trong báo cáo tài chính đã được kiểm toán gần nhất hoặc một tỷ lệ khác thấp hơn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q) Thông qua các hợp đồng có giá trị trên 20% vốn điều lệ của tổ chức tín dụng ghi trong báo cáo tài chính đã được kiểm toán gần nhất hoặc một tỷ lệ khác thấp hơn theo quy định tại Điều lệ của tổ chức tín dụng giữa tổ chức tín dụng với thành viên Hội đồng quản trị, thành viên Ban kiểm soát, Tổng giám đốc (Giám đốc), cổ đông lớn, người có liên quan của người quản lý, thành viên Ban kiểm soát, cổ đông lớn của tổ chức tín dụng; công ty con, công ty liên kết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r) Quyết định việc chia, tách, hợp nhất, sáp nhập, chuyển đổi hình thức pháp lý, giải thể hoặc yêu cầu Tòa án mở thủ tục phá sản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s) Quyết định giải pháp khắc phục biến động lớn về tài chính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Quyết định của Đại hội đồng cổ đông được thông qua theo quy định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Đại hội đồng cổ đông thông qua các quyết định thuộc thẩm quyền bằng hình thức biểu quyết tại cuộc họp hoặc lấy ý kiến bằng văn bản;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Trừ trường hợp quy định tại điểm c khoản này, quyết định của Đại hội đồng cổ đông được thông qua tại cuộc họp khi được số cổ đông đại diện trên 51% tổng số phiếu biểu quyết của tất cả cổ đông dự họp chấp thuận hoặc tỷ lệ khác cao hơn do Điều lệ của tổ chức tín dụng quy định;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Đối với quyết định về các vấn đề quy định tại các điểm b, h, p và r khoản 2 Điều này thì phải được số cổ đông đại diện trên 65% tổng số phiếu biểu quyết của tất cả cổ đông dự họp chấp thuận hoặc tỷ lệ khác cao hơn do Điều lệ của tổ chức tín dụng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Việc bầu thành viên Hội đồng quản trị và Ban kiểm soát phải được thực hiện dưới hình thức bầu dồn phiếu.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Quyết định về các vấn đề quy định tại các điểm a, d, e và r khoản 2 Điều này phải được thông qua bằng hình thức biểu quyết tại cuộc họp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lastRenderedPageBreak/>
        <w:t>Điều 60.</w:t>
      </w:r>
      <w:r w:rsidRPr="005F6E83">
        <w:rPr>
          <w:rFonts w:ascii="Arial" w:hAnsi="Arial" w:cs="Arial"/>
          <w:color w:val="auto"/>
          <w:sz w:val="20"/>
          <w:szCs w:val="20"/>
        </w:rPr>
        <w:t xml:space="preserve"> Triệu tập Đại hội đồng cổ đông theo yêu cầu của Ngân hàng Nhà nước</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Trường hợp xảy ra sự kiện ảnh hưởng đến an toàn hoạt động của tổ chức tín dụng cổ phần, Ngân hàng Nhà nước có quyền yêu cầu Hội đồng quản trị của tổ chức tín dụng cổ phần triệu tập Đại hội đồng cổ đông bất thường và quyết định về nội dung Ngân hàng Nhà nước yêu cầu.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61. </w:t>
      </w:r>
      <w:r w:rsidRPr="005F6E83">
        <w:rPr>
          <w:rFonts w:ascii="Arial" w:hAnsi="Arial" w:cs="Arial"/>
          <w:color w:val="auto"/>
          <w:sz w:val="20"/>
          <w:szCs w:val="20"/>
        </w:rPr>
        <w:t>Báo cáo kết quả họp Đại hội đồng cổ đông</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Trong thời hạn 15 ngày, kể từ ngày bế mạc cuộc họp hoặc từ ngày kết thúc kiểm phiếu đối với trường hợp lấy ý kiến bằng văn bản, tất cả các nghị quyết, quyết định được Đại hội đồng cổ đông thông qua phải được gửi đến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62. </w:t>
      </w:r>
      <w:r w:rsidRPr="005F6E83">
        <w:rPr>
          <w:rFonts w:ascii="Arial" w:hAnsi="Arial" w:cs="Arial"/>
          <w:color w:val="auto"/>
          <w:sz w:val="20"/>
          <w:szCs w:val="20"/>
        </w:rPr>
        <w:t>Hội đồng quản trị của tổ chức tín dụng là công ty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Hội đồng quản trị của tổ chức tín dụng là công ty cổ phần phải có không ít hơn 05 thành viên và không quá 11 thành viên, trong đó có ít nhất 01 thành viên độc lập. Hội đồng quản trị phải có ít nhất một phần hai tổng số thành viên là thành viên độc lập và thành viên không phải là người điều hành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Cá nhân và người có liên quan của cá nhân đó hoặc những người đại diện vốn góp của một cổ đông là tổ chức và người có liên quan của những người này được tham gia Hội đồng quản trị, nhưng không được vượt quá một phần ba tổng số thành viên Hội đồng quản trị của một tổ chức tín dụng là công ty cổ phần, trừ trường hợp là người đại diện phần vốn góp của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63. </w:t>
      </w:r>
      <w:r w:rsidRPr="005F6E83">
        <w:rPr>
          <w:rFonts w:ascii="Arial" w:hAnsi="Arial" w:cs="Arial"/>
          <w:color w:val="auto"/>
          <w:sz w:val="20"/>
          <w:szCs w:val="20"/>
        </w:rPr>
        <w:t xml:space="preserve">Nhiệm vụ, quyền hạn của Hội đồng quản trị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Chịu trách nhiệm triển khai việc thành lập, khai trương hoạt động của tổ chức tín dụng sau cuộc họp Đại hội đồng cổ đông đầu tiên.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Chịu trách nhiệm trước Đại hội đồng cổ đông trong việc thực hiện nhiệm vụ, quyền hạn được giao.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Trình Đại hội đồng cổ đông quyết định, thông qua các vấn đề thuộc thẩm quyền của Đại hội đồng cổ đông quy định tại khoản 2 Điều 59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Quyết định việc thành lập chi nhánh, văn phòng đại diện, đơn vị sự nghiệp.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Bổ nhiệm, miễn nhiệm, bãi nhiệm, kỷ luật, đình chỉ và quyết định mức lương, lợi ích khác đối với các chức danh Tổng giám đốc (Giám đốc), Phó Tổng giám đốc (Phó giám đốc), Kế toán trưởng, Thư ký Hội đồng quản trị, các chức danh thuộc bộ phận kiểm toán nội bộ và người quản lý, người điều hành khác theo quy định nội bộ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Thông qua phương án góp vốn, mua cổ phần của doanh nghiệp, tổ chức tín dụng khác có giá trị dưới 20% vốn điều lệ của tổ chức tín dụng ghi trong báo cáo tài chính đã được kiểm toán gần nhất.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Cử người đại diện vốn góp của tổ chức tín dụng tại doanh nghiệp, tổ chức tín dụng khác.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Quyết định đầu tư, giao dịch mua, bán tài sản của tổ chức tín dụng từ 10% trở lên so với vốn điều lệ của tổ chức tín dụng ghi trong báo cáo tài chính đã được kiểm toán gần nhất, trừ các khoản đầu tư, giao dịch mua, bán tài sản của tổ chức tín dụng quy định tại điểm p khoản 2 Điều 59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Quyết định các khoản cấp tín dụng theo quy định tại khoản 7 Điều 128 của Luật này, trừ các giao dịch thuộc thẩm quyền quyết định của Đại hội đồng cổ đông quy định tại điểm q khoản 2 Điều 59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10. Thông qua các hợp đồng của tổ chức tín dụng với công ty con, công ty liên kết của tổ chức tín dụng; các hợp đồng của tổ chức tín dụng với thành viên Hội đồng quản trị, thành viên Ban kiểm soát, Tổng giám đốc (Giám đốc), cổ đông lớn, người có liên quan của họ có giá trị bằng hoặc nhỏ hơn 20% vốn điều lệ của tổ chức tín dụng ghi trong báo cáo tài chính đã được kiểm toán gần nhất hoặc tỷ lệ khác nhỏ hơn do Điều lệ của tổ chức tín dụng quy định. Trong trường hợp này, thành viên có liên quan không có quyền biểu quyết.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11. Kiểm tra, giám sát, chỉ đạo Tổng giám đốc (Giám đốc) thực hiện nhiệm vụ được phân công; đánh giá hằng năm về hiệu quả làm việc của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12. Ban hành các quy định nội bộ liên quan đến tổ chức, quản trị và hoạt động của tổ chức tín dụng phù hợp với các quy định của Luật này và pháp luật có liên quan, trừ những vấn đề thuộc thẩm quyền của Ban kiểm soát hoặc của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13. Quyết định chính sách quản lý rủi ro và giám sát việc thực thi các biện pháp phòng ngừa rủi ro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14. Xem xét, phê duyệt báo cáo thường niên.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15. Lựa chọn tổ chức định giá chuyên nghiệp để định giá tài sản góp vốn không phải là tiền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ngoại tệ tự do chuyển đổi, vàng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16. Đề nghị Thống đốc Ngân hàng Nhà nước chấp thuận các vấn đề theo quy định của pháp luật.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17. Quyết định chào bán cổ phần mới trong phạm vi số cổ phần được quyền chào bán.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18. Quyết định giá chào bán cổ phần và trái phiếu chuyển đổi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19. Quyết định mua lại cổ phần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20. Kiến nghị phương án phân phối lợi nhuận, mức cổ tức được trả; quyết định thời hạn và thủ tục trả cổ tức hoặc xử lý lỗ phát sinh trong quá trình kinh doanh.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21. Chuẩn bị nội dung, tài liệu liên quan để trình Đại hội đồng cổ đông quyết định các vấn đề thuộc thẩm quyền của Đại hội đồng cổ đông, trừ những nội dung thuộc nhiệm vụ, quyền hạn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22. Duyệt chương trình, kế hoạch hoạt động của Hội đồng quản trị; chương trình, nội dung, tài liệu phục vụ họp Đại hội đồng cổ đông; triệu tập họp Đại hội đồng cổ đông hoặc lấy ý kiến cổ đông bằng văn bản để thông qua nghị quyết, quyết định của Đại hội đồng cổ đông.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23. Tổ chức triển khai, kiểm tra, giám sát việc thực hiện nghị quyết, quyết định của Đại hội đồng cổ đông và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24. Thông báo kịp thời cho Ngân hàng Nhà nước thông tin ảnh hưởng tiêu cực đến tư cách thành viên Hội đồng quản trị,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25. Các nhiệm vụ, quyền hạn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64. </w:t>
      </w:r>
      <w:r w:rsidRPr="005F6E83">
        <w:rPr>
          <w:rFonts w:ascii="Arial" w:hAnsi="Arial" w:cs="Arial"/>
          <w:color w:val="auto"/>
          <w:sz w:val="20"/>
          <w:szCs w:val="20"/>
        </w:rPr>
        <w:t>Quyền, nghĩa vụ của Chủ tịch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Lập chương trình, kế hoạch hoạt động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Chuẩn bị chương trình, nội dung, tài liệu phục vụ cuộc họp; triệu tập và chủ tọa cuộc họp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việc thông qua quyết định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Giám sát quá trình tổ chức thực hiện các quyết định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Chủ </w:t>
      </w:r>
      <w:bookmarkStart w:id="5" w:name="VNS005D"/>
      <w:r w:rsidRPr="005F6E83">
        <w:rPr>
          <w:rFonts w:ascii="Arial" w:hAnsi="Arial" w:cs="Arial"/>
          <w:color w:val="auto"/>
          <w:sz w:val="20"/>
          <w:szCs w:val="20"/>
        </w:rPr>
        <w:t>tọa</w:t>
      </w:r>
      <w:bookmarkEnd w:id="5"/>
      <w:r w:rsidRPr="005F6E83">
        <w:rPr>
          <w:rFonts w:ascii="Arial" w:hAnsi="Arial" w:cs="Arial"/>
          <w:color w:val="auto"/>
          <w:sz w:val="20"/>
          <w:szCs w:val="20"/>
        </w:rPr>
        <w:t xml:space="preserve"> cuộc họp Đại hội đồng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Bảo đảm các thành viên Hội đồng quản trị nhận được thông tin đầy đủ, khách quan, chính xác và có đủ thời gian thảo luận các vấn đề mà Hội đồng quản trị phải xem xét.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Phân công nhiệm vụ cho các thành viên Hội đồng quản trị.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Giám sát các thành viên Hội đồng quản trị trong việc thực hiện nhiệm vụ được phân công và các quyền, nghĩa vụ chung.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9. Ít nhất mỗi năm một lần, đánh giá hiệu quả làm việc của từng thành viên, các Ủy ban của Hội đồng quản trị và báo cáo Đại hội đồng cổ đông về kết quả đánh giá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10. Các quyền, nghĩa vụ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lastRenderedPageBreak/>
        <w:t xml:space="preserve">Điều 65. </w:t>
      </w:r>
      <w:r w:rsidRPr="005F6E83">
        <w:rPr>
          <w:rFonts w:ascii="Arial" w:hAnsi="Arial" w:cs="Arial"/>
          <w:color w:val="auto"/>
          <w:sz w:val="20"/>
          <w:szCs w:val="20"/>
        </w:rPr>
        <w:t>Quyền, nghĩa vụ của thành viên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Thực hiện quyền, nghĩa vụ của thành viên Hội đồng quản trị theo đúng quy chế nội bộ của Hội đồng quản trị và sự phân công của Chủ tịch Hội đồng quản trị một cách trung thực vì lợi ích của tổ chức tín dụng và cổ đông.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Xem xét báo cáo tài chính do kiểm toán viên độc lập chuẩn bị, có ‎ý kiến hoặc yêu cầu người điều hành tổ chức tín dụng, kiểm toán viên độc lập và kiểm toán viên nội bộ giải trình các vấn đề có liên quan đến báo cáo.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Đề nghị Chủ tịch Hội đồng quản trị triệu tập cuộc họp Hội đồng quản trị bất thường.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Tham dự các cuộc họp Hội đồng quản trị, thảo luận và biểu quyết về các vấn đề thuộc nhiệm vụ, quyền hạn của Hội đồng quản trị theo quy định tại Luật này, trừ trường hợp không được biểu quyết vì vấn đề xung đột lợi ích với thành viên đó. Chịu trách nhiệm trước Đại hội đồng cổ đông và Hội đồng quản trị về quyết định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Triển khai thực hiện nghị quyết, quyết định của Đại hội đồng cổ đông và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Có trách nhiệm giải trình trước Đại hội đồng cổ đông, Hội đồng quản trị về việc thực hiện nhiệm vụ được giao khi có yêu cầu.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Các quyền, nghĩa vụ khác theo quy định tại Điều lệ của tổ chức tín dụng.</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4</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TỔ CHỨC TÍN DỤNG LÀ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CÔNG TY TRÁCH NHIỆM HỮU HẠN MỘT THÀNH VIÊN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66.</w:t>
      </w:r>
      <w:r w:rsidRPr="005F6E83">
        <w:rPr>
          <w:rFonts w:ascii="Arial" w:hAnsi="Arial" w:cs="Arial"/>
          <w:color w:val="auto"/>
          <w:sz w:val="20"/>
          <w:szCs w:val="20"/>
        </w:rPr>
        <w:t xml:space="preserve"> Nhiệm vụ, quyền hạn của chủ sở hữu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Chủ sở hữu của tổ chức tín dụng là công ty trách nhiệm hữu hạn một thành viên có các quyền hạn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Quyết định số lượng thành viên Hội đồng thành viên theo từng nhiệm kỳ, nhưng không ít hơn 05 thành viên và không quá 11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Bổ nhiệm người đại diện theo ủy quyền với nhiệm kỳ không quá 05 năm để thực hiện các nhiệm vụ, quyền hạn của chủ sở hữu theo quy định của Luật này. Người đại diện theo ủy quyền phải có đủ các tiêu chuẩn, điều kiện quy định tại khoản 1 Điều 50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Bổ nhiệm, miễn nhiệm, bãi nhiệm, bổ sung thành viên Hội đồng thành viên, Chủ tịch Hội đồng thành viên, thành viên Ban kiểm soát, Tổng giám đốc (Giám đốc), Phó Tổng giám đốc (Phó giám đốc), Kế toán trưởng;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Quyết định thay đổi vốn điều lệ của tổ chức tín dụng; chuyển nhượng một phần hoặc toàn bộ vốn điều lệ của tổ chức tín dụng và thay đổi hình thức pháp lý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Quyết định thành lập công ty con, công ty liên kết;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Thông qua báo cáo tài chính hằng năm; quyết định việc sử dụng lợi nhuận sau khi đã hoàn thành nghĩa vụ thuế và các nghĩa vụ tài chính khác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Quyết định tổ chức lại, giải thể, yêu cầu Tòa án mở thủ tục phá sản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Quyết định mức thù lao, lương, các lợi ích khác của thành viên Hội đồng thành viên, thành viên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Chủ sở hữu của tổ chức tín dụng là công ty trách nhiệm hữu hạn một thành viên có các nhiệm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Góp vốn đầy đủ và đúng hạn như đã cam kết;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Tuân thủ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Phải xác định và tách biệt giữa tài sản của chủ sở hữu với tài sản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d) Tuân thủ quy định của pháp luật trong việc mua, bán, vay, cho vay, thuê, cho thuê và các giao dịch khác giữa tổ chức tín dụng và chủ sở hữu;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Các nhiệm vụ khác theo quy định của Luật này và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67. </w:t>
      </w:r>
      <w:r w:rsidRPr="005F6E83">
        <w:rPr>
          <w:rFonts w:ascii="Arial" w:hAnsi="Arial" w:cs="Arial"/>
          <w:color w:val="auto"/>
          <w:sz w:val="20"/>
          <w:szCs w:val="20"/>
        </w:rPr>
        <w:t>Nhiệm vụ, quyền hạn của Hội đồng thành viên</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theo quy định; nhân danh tổ chức tín dụng thực hiện các quyền, nghĩa vụ của tổ chức tín dụng; chịu trách nhiệm trước chủ sở hữu trong việc thực hiện nhiệm vụ, quyền hạn của mình theo quy định của Luật này và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Hội đồng thành viên của tổ chức tín dụng là công ty trách nhiệm hữu hạn một thành viên có nhiệm vụ, quyền hạn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Quyết định nội dung Điều lệ; sửa đổi, bổ sung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Quyết định chiến lược phát triển và kế hoạch kinh doanh hằng năm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Trình chủ sở hữu tổ chức tín dụng quyết định các vấn đề thuộc thẩm quyền quyết định của chủ sở hữu quy định tại các điểm c, d, đ, e và g khoản 1 Điều 66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Xem xét, phê duyệt báo cáo thường niên;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Quyết định chọn tổ chức kiểm toán độc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Kiểm tra, giám sát, chỉ đạo Tổng giám đốc (Giám đốc) trong việc thực hiện nhiệm vụ được phân công; đánh giá hằng năm về hiệu quả làm việc của Tổng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Quyết định xử lý lỗ phát sinh trong quá trình kinh doanh;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Quyết định các khoản cấp tín dụng theo quy định tại khoản 7 Điều 128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i) </w:t>
      </w:r>
      <w:bookmarkStart w:id="6" w:name="OLE_LINK3"/>
      <w:bookmarkStart w:id="7" w:name="OLE_LINK4"/>
      <w:r w:rsidRPr="005F6E83">
        <w:rPr>
          <w:rFonts w:ascii="Arial" w:hAnsi="Arial" w:cs="Arial"/>
          <w:color w:val="auto"/>
          <w:sz w:val="20"/>
          <w:szCs w:val="20"/>
        </w:rPr>
        <w:t>Quyết định phương án góp vốn, mua cổ phần của doanh nghiệp, tổ chức tín dụng khác có giá trị từ 20% trở lên so với vốn điều lệ được ghi trong báo cáo tài chính đã được kiểm toán gần nhất của tổ chức tín dụng hoặc tỷ lệ khác thấp hơn quy định tại Điều lệ của tổ chức tín dụng;</w:t>
      </w:r>
      <w:bookmarkEnd w:id="6"/>
      <w:bookmarkEnd w:id="7"/>
      <w:r w:rsidRPr="005F6E83">
        <w:rPr>
          <w:rFonts w:ascii="Arial" w:hAnsi="Arial" w:cs="Arial"/>
          <w:color w:val="auto"/>
          <w:sz w:val="20"/>
          <w:szCs w:val="20"/>
        </w:rPr>
        <w:t xml:space="preserve">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 Thông qua quyết định đầu tư, mua, bán tài sản của tổ chức tín dụng có giá trị từ 20% trở lên so với vốn điều lệ được ghi trong báo cáo tài chính đã được kiểm toán gần nhất của tổ chức tín dụng hoặc tỷ lệ khác thấp hơn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l) Quyết định ký kết các hợp đồng của tổ chức tín dụng với công ty con, công ty liên kết của tổ chức tín dụng; hợp đồng của tổ chức tín dụng với thành viên Hội đồng thành viên, thành viên Ban kiểm soát, Tổng giám đốc (Giám đốc), người có liên quan của họ. Trong trường hợp này, thành viên có liên quan không có quyền biểu quyết;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m) Quyết định giải pháp phát triển thị trường, tiếp thị và chuyển giao công nghệ;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 Ban hành các quy định nội bộ liên quan tới tổ chức, quản trị và hoạt động của tổ chức tín dụng phù hợp với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o) Đề nghị Thống đốc Ngân hàng Nhà nước chấp thuận các vấn đề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p) Tổ chức giám sát và đánh giá hoạt động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q) Các nhiệm vụ, quyền hạn khác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68.</w:t>
      </w:r>
      <w:r w:rsidRPr="005F6E83">
        <w:rPr>
          <w:rFonts w:ascii="Arial" w:hAnsi="Arial" w:cs="Arial"/>
          <w:color w:val="auto"/>
          <w:sz w:val="20"/>
          <w:szCs w:val="20"/>
        </w:rPr>
        <w:t xml:space="preserve"> Quyền, nghĩa vụ của Chủ tịch Hội đồng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Xây dựng chương trình, kế hoạch hoạt động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Xây dựng chương trình, nội dung, tài liệu họp Hội đồng thành viên hoặc để lấy ý kiến các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Triệu tập và chủ trì họp Hội đồng thành viên hoặc tổ chức lấy ý kiến các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4. Giám sát hoặc tổ chức giám sát việc thực hiện các quyết định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Thay mặt Hội đồng thành viên ký các quyết định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Bảo đảm các thành viên Hội đồng thành viên nhận được thông tin đầy đủ, khách quan, chính xác và có đủ thời gian thảo luận các vấn đề mà Hội đồng thành viên phải xem xét.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Phân công nhiệm vụ cho các thành viên Hội đồng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Giám sát các thành viên Hội đồng thành viên trong việc thực hiện nhiệm vụ được phân công và các quyền, nghĩa vụ chung.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9. Ít nhất mỗi năm một lần, đánh giá hiệu quả làm việc của từng thành viên, Hội đồng thành viên và báo cáo chủ sở hữu về kết quả đánh giá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10. Các quyền, nghĩa vụ khác theo quy định tại Điều lệ của tổ chức tín dụng.</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69. </w:t>
      </w:r>
      <w:r w:rsidRPr="005F6E83">
        <w:rPr>
          <w:rFonts w:ascii="Arial" w:hAnsi="Arial" w:cs="Arial"/>
          <w:color w:val="auto"/>
          <w:sz w:val="20"/>
          <w:szCs w:val="20"/>
        </w:rPr>
        <w:t xml:space="preserve">Quyền, nghĩa vụ của thành viên Hội đồng thành viên </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Thực hiện quyền, nghĩa vụ của thành viên Hội đồng thành viên theo quy chế nội bộ của Hội đồng thành viên và sự phân công của Chủ tịch Hội đồng thành viên một cách trung thực vì lợi ích của tổ chức tín dụng và chủ sở hữu.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Có ý kiến hoặc yêu cầu người điều hành tổ chức tín dụng, kiểm toán viên độc lập và kiểm toán viên nội bộ giải trình các vấn đề có liên quan đến báo cáo tài chính do kiểm toán viên độc lập chuẩn bị.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Đề nghị Chủ tịch triệu tập họp Hội đồng thành viên bất thường.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Tham dự các cuộc họp Hội đồng thành viên, thảo luận và biểu quyết về tất cả các vấn đề thuộc nhiệm vụ, quyền hạn của Hội đồng thành viên, trừ trường hợp không được biểu quyết vì vấn đề xung đột lợi ích với thành viên đó. Chịu trách nhiệm trước chủ sở hữu và trước Hội đồng thành viên về những quyết định của mình.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Triển khai thực hiện các quyết định của chủ sở hữu và nghị quyết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Có trách nhiệm giải trình trước chủ sở hữu, Hội đồng thành viên về việc thực hiện nhiệm vụ được giao khi có yêu cầu.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Các quyền, nghĩa vụ khác theo quy định tại Điều lệ của tổ chức tín dụng.</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Mục 5 </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TỔ CHỨC TÍN DỤNG LÀ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CÔNG TY TRÁCH NHIỆM HỮU HẠN HAI THÀNH VIÊN TRỞ LÊN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70. </w:t>
      </w:r>
      <w:r w:rsidRPr="005F6E83">
        <w:rPr>
          <w:rFonts w:ascii="Arial" w:hAnsi="Arial" w:cs="Arial"/>
          <w:color w:val="auto"/>
          <w:sz w:val="20"/>
          <w:szCs w:val="20"/>
        </w:rPr>
        <w:t>Thành viên góp vốn, nhiệm vụ, quyền hạn của thành viên góp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Thành viên góp vốn của tổ chức tín dụng là công ty trách nhiệm hữu hạn hai thành viên trở lên phải là pháp nhân, trừ trường hợp quy định tại Điều 88 của Luật này. Tổng số thành viên không được vượt quá 05 thành viên. Tỷ lệ sở hữu tối đa của một thành viên và người có liên quan không được vượt quá 50% vốn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Thành viên góp vốn có các quyền hạn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Bổ nhiệm, miễn nhiệm, bãi nhiệm người đại diện làm thành viên Hội đồng thành viên, Ban kiểm soát trên cơ sở số vốn góp của mình trong tổ chức tín dụng hoặc theo thỏa thuận giữa các thành viên góp vốn;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Được cung cấp thông tin, báo cáo về tình hình hoạt động của Hội đồng thành viên, Ban kiểm soát, sổ kế toán, báo cáo tài chính hằng năm và các giấy tờ tài liệu khác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Được chia lợi nhuận tương ứng với phần vốn góp sau khi tổ chức tín dụng đã nộp đủ thuế và hoàn thành các nghĩa vụ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d) Được chia tài sản còn lại của tổ chức tín dụng tương ứng với phần vốn góp khi tổ chức tín dụng giải thể hoặc phá sản;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Khiếu nại, khởi kiện thành viên Hội đồng thành viên, thành viên Ban kiểm soát, Tổng giám đốc (Giám đốc) không thực hiện đúng quyền, nghĩa vụ, gây thiệt hại đến quyền, lợi ích hợp pháp của tổ chức tín dụng hoặc thành viên góp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Thành viên góp vốn có các nhiệm vụ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Không được rút vốn đã góp dưới mọi hình thức, trừ trường hợp chuyển nhượng phần vốn góp theo quy định tại Điều 71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Tuân thủ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Các nhiệm vụ khác theo quy định của Luật này và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71.</w:t>
      </w:r>
      <w:r w:rsidRPr="005F6E83">
        <w:rPr>
          <w:rFonts w:ascii="Arial" w:hAnsi="Arial" w:cs="Arial"/>
          <w:color w:val="auto"/>
          <w:sz w:val="20"/>
          <w:szCs w:val="20"/>
        </w:rPr>
        <w:t xml:space="preserve"> Chuyển nhượng phần vốn góp, mua lại phần vốn góp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Thành viên góp vốn được chuyển nhượng phần vốn góp, ưu tiên góp thêm vốn khi tổ chức tín dụng tăng vốn điều lệ.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Ngân hàng Nhà nước quy định cụ thể điều kiện nhận chuyển nhượng phần vốn góp, mua lại vốn góp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72. </w:t>
      </w:r>
      <w:r w:rsidRPr="005F6E83">
        <w:rPr>
          <w:rFonts w:ascii="Arial" w:hAnsi="Arial" w:cs="Arial"/>
          <w:color w:val="auto"/>
          <w:sz w:val="20"/>
          <w:szCs w:val="20"/>
        </w:rPr>
        <w:t xml:space="preserve">Hội đồng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Hội đồng thành viên của tổ chức tín dụng là công ty trách nhiệm hữu hạn hai thành viên trở lên có các nhiệm vụ, quyền hạn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Các nhiệm vụ, quyền hạn quy định tại các điểm a, b, d, đ, h, i, k, l, m, n và o khoản 2 Điều 67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Quyết định tăng hoặc giảm vốn điều lệ, quyết định thời điểm và phương thức huy động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Quyết định mua lại phần vốn góp theo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Bầu, miễn nhiệm, bãi nhiệm Chủ tịch Hội đồng thành viên; quyết định bổ nhiệm, miễn nhiệm, bãi nhiệm, ký và chấm dứt hợp đồng đối với Tổng giám đốc (Giám đốc), Phó Tổng giám đốc (Phó giám đốc), Kế toán trưởng và người quản lý, người điều hành khác theo quy định nội bộ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e) Quyết định mức lương, thưởng, thù lao và các lợi ích khác đối với Chủ tịch và các thành viên Hội đồng thành viên, Trưởng ban và các thành viên Ban kiểm soát, Tổng giám đốc (Giám đốc) phù hợp với quy định của Luật này, trừ trường hợp Điều lệ của tổ chức tín dụng có quy định khác;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Thông qua báo cáo tài chính hằng năm, phương án sử dụng và phân chia lợi nhuận hoặc phương án xử lý lỗ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Quyết định thành lập công ty con, chi nhánh, văn phòng đại diện; góp vốn thành lập công ty liên kết;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i) Quyết định tổ chức lại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 Quyết định giải thể hoặc yêu cầu Tòa án mở thủ tục phá sản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l) Các nhiệm vụ, quyền hạn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Chủ tịch Hội đồng thành viên của tổ chức tín dụng là công ty trách nhiệm hữu hạn hai thành viên trở lên có các quyền, nghĩa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Các quyền, nghĩa vụ quy định tại các khoản 1, 2, 3, 4, 5, 6, 7 và 8 Điều 68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b) Đánh giá hiệu quả làm việc của từng thành viên, các Ủy ban của Hội đồng thành viên tối thiểu mỗi năm một lần;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Các quyền, nghĩa vụ khác theo quy định tại Điều lệ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Thành viên Hội đồng thành viên của tổ chức tín dụng là công ty trách nhiệm hữu hạn hai thành viên trở lên có các quyền, nghĩa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Các quyền, nghĩa vụ quy định tại các khoản 1, 2 và 3 Điều 69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Tham dự các cuộc họp Hội đồng thành viên, thảo luận và biểu quyết về tất cả các vấn đề thuộc nhiệm vụ, quyền hạn của Hội đồng thành viên theo quy định của Luật này, trừ trường hợp không được biểu quyết theo quy định tại điểm l khoản 2 Điều 67 của Luật này; chịu trách nhiệm trước Hội đồng thành viên về những quyết định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Thực hiện các nghị quyết, quyết định của Hội đồng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Giải trình trước thành viên góp vốn, Hội đồng thành viên về việc thực hiện nhiệm vụ được giao khi có yêu cầu;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Các quyền, nghĩa vụ khác theo quy định tại Điều lệ của tổ chức tín dụng.</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6</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TỔ CHỨC TÍN DỤNG LÀ HỢP TÁC XÃ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73.</w:t>
      </w:r>
      <w:r w:rsidRPr="005F6E83">
        <w:rPr>
          <w:rFonts w:ascii="Arial" w:hAnsi="Arial" w:cs="Arial"/>
          <w:color w:val="auto"/>
          <w:sz w:val="20"/>
          <w:szCs w:val="20"/>
        </w:rPr>
        <w:t xml:space="preserve"> Tính chất và mục tiêu hoạt động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là hợp tác xã là loại hình tổ chức tín dụng được tổ chức theo mô hình hợp tác xã hoạt động trong lĩnh vực ngân hàng nhằm mục đích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 </w:t>
      </w:r>
      <w:r w:rsidRPr="005F6E83">
        <w:rPr>
          <w:rFonts w:ascii="Arial" w:hAnsi="Arial" w:cs="Arial"/>
          <w:b/>
          <w:color w:val="auto"/>
          <w:sz w:val="20"/>
          <w:szCs w:val="20"/>
        </w:rPr>
        <w:t>Điều 74.</w:t>
      </w:r>
      <w:r w:rsidRPr="005F6E83">
        <w:rPr>
          <w:rFonts w:ascii="Arial" w:hAnsi="Arial" w:cs="Arial"/>
          <w:color w:val="auto"/>
          <w:sz w:val="20"/>
          <w:szCs w:val="20"/>
        </w:rPr>
        <w:t xml:space="preserve"> Thành lập tổ chức tín dụng là hợp tác xã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Thành viên của ngân hàng hợp tác xã bao gồm tất cả các quỹ tín dụng nhân dân và các pháp nhân góp vốn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Thành viên của quỹ tín dụng nhân dân bao gồm các cá nhân, hộ gia đình và các pháp nhân góp vốn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75.</w:t>
      </w:r>
      <w:r w:rsidRPr="005F6E83">
        <w:rPr>
          <w:rFonts w:ascii="Arial" w:hAnsi="Arial" w:cs="Arial"/>
          <w:color w:val="auto"/>
          <w:sz w:val="20"/>
          <w:szCs w:val="20"/>
        </w:rPr>
        <w:t xml:space="preserve"> Cơ cấu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Cơ cấu tổ chức quản lý của ngân hàng hợp tác xã, quỹ tín dụng nhân dân bao gồm Đại hội thành viên, Hội đồng quản trị, Ban kiểm soát,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Thành viên Hội đồng quản trị, thành viên Ban kiểm soát, Tổng giám đốc (Giám đốc) của ngân hàng hợp tác xã, quỹ tín dụng nhân dân phải đáp ứng tiêu chuẩn về trình độ chuyên môn, đạo đức nghề nghiệp và am hiểu về hoạt động ngân hàng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Ngân hàng hợp tác xã, quỹ tín dụng nhân dân phải có kiểm toán nội bộ, hệ thống kiểm soát nội bộ và thực hiện kiểm toán độc lập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76.</w:t>
      </w:r>
      <w:r w:rsidRPr="005F6E83">
        <w:rPr>
          <w:rFonts w:ascii="Arial" w:hAnsi="Arial" w:cs="Arial"/>
          <w:color w:val="auto"/>
          <w:sz w:val="20"/>
          <w:szCs w:val="20"/>
        </w:rPr>
        <w:t xml:space="preserve"> Vốn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Vốn điều lệ của ngân hàng hợp tác xã, quỹ tín dụng nhân dân là tổng số vốn do các thành viên góp và được ghi vào Điều lệ.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Mức vốn góp tối thiểu và tối đa của một thành viên do Đại hội thành viên quyết định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77. </w:t>
      </w:r>
      <w:r w:rsidRPr="005F6E83">
        <w:rPr>
          <w:rFonts w:ascii="Arial" w:hAnsi="Arial" w:cs="Arial"/>
          <w:color w:val="auto"/>
          <w:sz w:val="20"/>
          <w:szCs w:val="20"/>
        </w:rPr>
        <w:t xml:space="preserve">Điều lệ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Điều lệ của ngân hàng hợp tác xã, quỹ tín dụng nhân dân không được trái với quy định của Luật này, Luật hợp tác xã và các quy định khác của pháp luật có liên quan. Điều lệ ngân hàng hợp tác xã, quỹ tín dụng nhân dân phải có những nội dung chủ yếu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a) Tên, địa điểm đặt trụ sở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Nội dung, phạm vi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Thời hạn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Vốn điều lệ và phương thức góp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Cơ cấu tổ chức, nhiệm vụ, quyền hạn của Hội đồng quản trị, Ban kiểm soát và quyền, nghĩa vụ của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Thể thức tiến hành Đại hội thành viên và thông qua quyết định của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Quyền, nghĩa vụ của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Các nguyên tắc tài chính, kế toán, kiểm soát và kiểm toán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i) Nguyên tắc trả lương, phụ cấp và thù lao công vụ, xử lý các khoản lỗ, chia lãi theo vốn góp, công sức đóng góp của thành viên và mức độ sử dụng dịch vụ của tổ chức tín dụng; nguyên tắc trích lập, quản lý và sử dụng các quỹ;</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 Thể thức quản lý, sử dụng, bảo toàn và xử lý phần tài sản chung, vốn tích lũy;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l) Các trường hợp và thủ tục về chia, tách, hợp nhất, sáp nhập, giải thể, phá sản;  </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m) Thủ tục sửa đổi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Điều lệ, nội dung sửa đổi, bổ sung Điều lệ của ngân hàng hợp tác xã, quỹ tín dụng nhân dân phải được đăng ký tại Ngân hàng Nhà nước trong thời hạn 15 ngày, kể từ ngày được thông qua.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78.</w:t>
      </w:r>
      <w:r w:rsidRPr="005F6E83">
        <w:rPr>
          <w:rFonts w:ascii="Arial" w:hAnsi="Arial" w:cs="Arial"/>
          <w:color w:val="auto"/>
          <w:sz w:val="20"/>
          <w:szCs w:val="20"/>
        </w:rPr>
        <w:t xml:space="preserve"> Quyền của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Tham dự Đại hội thành viên hoặc bầu đại biểu dự Đại hội thành viên, tham dự các cuộc họp thành viên và biểu quyết về những vấn đề thuộc thẩm quyền của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Ứng cử, đề cử người vào Hội đồng quản trị, Ban kiểm soát và các chức danh được bầu khác theo quy định tại Điều lệ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Được gửi tiền, vay vốn, chia lãi theo vốn góp và mức độ sử dụng dịch vụ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Được hưởng các phúc lợi xã hội chung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Được cung cấp các thông tin cần thiết liên quan đến hoạt động của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Pr>
          <w:rFonts w:ascii="Arial" w:hAnsi="Arial" w:cs="Arial"/>
          <w:color w:val="auto"/>
          <w:sz w:val="20"/>
          <w:szCs w:val="20"/>
        </w:rPr>
        <w:t xml:space="preserve"> </w:t>
      </w:r>
      <w:r w:rsidRPr="005F6E83">
        <w:rPr>
          <w:rFonts w:ascii="Arial" w:hAnsi="Arial" w:cs="Arial"/>
          <w:color w:val="auto"/>
          <w:sz w:val="20"/>
          <w:szCs w:val="20"/>
        </w:rPr>
        <w:t>6. Kiến nghị những vấn đề liên quan đến hoạt động của ngân hàng hợp tác xã, quỹ tín dụng nhân dân và yêu cầu được trả lời; yêu cầu Hội đồng quản trị, Ban kiểm soát triệu tập Đại hội thành viên bất thường để giải quyết những vấn đề cấp thiết.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Chuyển nhượng vốn góp và các quyền lợi, nghĩa vụ của mình cho người khác theo quy định của pháp luật và Điều lệ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8. Xin ra khỏi ngân hàng hợp tác xã, quỹ tín dụng nhân dân theo quy định tại Điều lệ của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Các quyền khác theo quy định của pháp luật và Điều lệ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79.</w:t>
      </w:r>
      <w:r w:rsidRPr="005F6E83">
        <w:rPr>
          <w:rFonts w:ascii="Arial" w:hAnsi="Arial" w:cs="Arial"/>
          <w:color w:val="auto"/>
          <w:sz w:val="20"/>
          <w:szCs w:val="20"/>
        </w:rPr>
        <w:t xml:space="preserve"> Nghĩa vụ của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Thực hiện Điều lệ của ngân hàng hợp tác xã, quỹ tín dụng nhân dân và các nghị quyết của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Góp vốn theo quy định tại Điều lệ của ngân hàng hợp tác xã, quỹ tín dụng nhân dân và quy định của pháp luật có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Hợp tác, tương trợ giữa các thành viên, góp phần xây dựng và thúc đẩy sự phát triển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Cùng chịu trách nhiệm về các khoản rủi ro, thua lỗ trong hoạt động của ngân hàng hợp tác xã, quỹ tín dụng nhân dân trong phạm vi vốn góp của mình.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Hoàn trả vốn và lãi tiền vay của ngân hàng hợp tác xã, quỹ tín dụng nhân dân theo cam kết.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Bồi thường thiệt hại do mình gây ra cho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80. </w:t>
      </w:r>
      <w:r w:rsidRPr="005F6E83">
        <w:rPr>
          <w:rFonts w:ascii="Arial" w:hAnsi="Arial" w:cs="Arial"/>
          <w:color w:val="auto"/>
          <w:sz w:val="20"/>
          <w:szCs w:val="20"/>
        </w:rPr>
        <w:t xml:space="preserve">Đại hội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Đại hội thành viên là cơ quan có quyền quyết định cao nhất của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Đại hội thành viên thảo luận và quyết định những vấn đề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Báo cáo kết quả hoạt động kinh doanh trong năm, báo cáo công khai tài chính, kế toán, dự kiến phân phối lợi nhuận và xử lý các khoản lỗ nếu có; báo cáo hoạt động của Hội đồng quản trị và Ban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Phương hướng hoạt động kinh doanh năm tới;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Tăng, giảm vốn điều lệ; mức vốn góp của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Bầu, miễn nhiệm, bãi nhiệm Chủ tịch và thành viên khác của Hội đồng quản trị; Trưởng ban và thành viên khác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Thông qua danh sách kết nạp thành viên mới và cho thành viên ra khỏi ngân hàng hợp tác xã, quỹ tín dụng nhân dân</w:t>
      </w:r>
      <w:r w:rsidRPr="005F6E83" w:rsidDel="00A463F2">
        <w:rPr>
          <w:rFonts w:ascii="Arial" w:hAnsi="Arial" w:cs="Arial"/>
          <w:color w:val="auto"/>
          <w:sz w:val="20"/>
          <w:szCs w:val="20"/>
        </w:rPr>
        <w:t xml:space="preserve"> </w:t>
      </w:r>
      <w:r w:rsidRPr="005F6E83">
        <w:rPr>
          <w:rFonts w:ascii="Arial" w:hAnsi="Arial" w:cs="Arial"/>
          <w:color w:val="auto"/>
          <w:sz w:val="20"/>
          <w:szCs w:val="20"/>
        </w:rPr>
        <w:t>theo đề nghị của Hội đồng quản trị; quyết định khai trừ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Chia, tách, hợp nhất, sáp nhập, giải thể đối với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Sửa đổi, bổ sung Điều lệ;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h) Những vấn đề khác do Hội đồng quản trị, Ban kiểm soát hoặc có ít nhất một phần ba tổng số thành viên đề nghị.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81. </w:t>
      </w:r>
      <w:r w:rsidRPr="005F6E83">
        <w:rPr>
          <w:rFonts w:ascii="Arial" w:hAnsi="Arial" w:cs="Arial"/>
          <w:color w:val="auto"/>
          <w:sz w:val="20"/>
          <w:szCs w:val="20"/>
        </w:rPr>
        <w:t>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Hội đồng quản trị là cơ quan quản trị ngân hàng hợp tác xã, quỹ tín dụng nhân dân, bao gồm Chủ tịch và các thành viên khác của Hội đồng quản trị.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Số lượng thành viên Hội đồng quản trị do Đại hội thành viên quyết định, nhưng không ít hơn 03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Nhiệm kỳ của Hội đồng quản trị do Đại hội thành viên quyết định và được ghi trong Điều lệ, ít nhất là 02 năm và không quá 05 năm.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Thành viên Hội đồng quản trị phải là thành viên cá nhân hoặc người đại diện phần vốn góp của thành viên pháp nhân. Thành viên Ban kiểm soát, Kế toán trưởng, Thủ quỹ của ngân hàng hợp tác xã, quỹ tín dụng nhân dân không được đồng thời là thành viên Hội đồng quản trị và không phải là người có liên quan của thành viên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Chủ tịch và thành viên Hội đồng quản trị không được ủy quyền cho những người không phải là thành viên Hội đồng quản trị thực hiện quyền, nghĩa vụ của mình.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82. </w:t>
      </w:r>
      <w:r w:rsidRPr="005F6E83">
        <w:rPr>
          <w:rFonts w:ascii="Arial" w:hAnsi="Arial" w:cs="Arial"/>
          <w:color w:val="auto"/>
          <w:sz w:val="20"/>
          <w:szCs w:val="20"/>
        </w:rPr>
        <w:t>Nhiệm vụ, quyền hạn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Bổ nhiệm, miễn nhiệm, bãi nhiệm, thuê hoặc chấm dứt hợp đồng thuê Tổng giám đốc (Giám đốc) theo nghị quyết, quyết định của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Bổ nhiệm, miễn nhiệm các Phó Tổng giám đốc (Phó giám đốc) theo đề nghị của Tổng giám đốc (Giám đốc).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thực hiện nghị quyết, quyết định của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4. Chuẩn bị báo cáo đánh giá kết quả hoạt động kinh doanh; phê duyệt báo cáo tài chính, báo cáo về kế hoạch hoạt động kinh doanh, báo cáo hoạt động của Hội đồng quản trị để trình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Chuẩn bị chương trình Đại hội thành viên và triệu tập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Tổ chức thực hiện các quyền, nghĩa vụ của ngân hàng hợp tác xã, quỹ tín dụng nhân dân</w:t>
      </w:r>
      <w:r w:rsidRPr="005F6E83" w:rsidDel="00A463F2">
        <w:rPr>
          <w:rFonts w:ascii="Arial" w:hAnsi="Arial" w:cs="Arial"/>
          <w:color w:val="auto"/>
          <w:sz w:val="20"/>
          <w:szCs w:val="20"/>
        </w:rPr>
        <w:t xml:space="preserve"> </w:t>
      </w:r>
      <w:r w:rsidRPr="005F6E83">
        <w:rPr>
          <w:rFonts w:ascii="Arial" w:hAnsi="Arial" w:cs="Arial"/>
          <w:color w:val="auto"/>
          <w:sz w:val="20"/>
          <w:szCs w:val="20"/>
        </w:rPr>
        <w:t>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Xét kết nạp thành viên mới và giải quyết việc thành viên xin ra, trừ trường hợp khai trừ thành viên và báo cáo để Đại hội thành viên thông qua.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Chịu trách nhiệm về các quyết định của mình trước Đại hội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9. Các nhiệm vụ, quyền hạn khác theo quy định tại Điều lệ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83.</w:t>
      </w:r>
      <w:r w:rsidRPr="005F6E83">
        <w:rPr>
          <w:rFonts w:ascii="Arial" w:hAnsi="Arial" w:cs="Arial"/>
          <w:color w:val="auto"/>
          <w:sz w:val="20"/>
          <w:szCs w:val="20"/>
        </w:rPr>
        <w:t xml:space="preserve"> Tổ chức và hoạt động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Ban kiểm soát có không ít hơn 03 thành viên, trong đó ít nhất phải có 01 kiểm soát viên chuyên trách. Ngân hàng Nhà nước quy định điều kiện đối với quỹ tín dụng nhân dân được bầu 01 kiểm soát viên chuyên trách.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Trưởng ban và thành viên Ban kiểm soát do Đại hội thành viên bầu trực tiếp.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Thành viên Ban kiểm soát phải là thành viên cá nhân hoặc người đại diện phần vốn góp của thành viên pháp nhân. Thành viên Ban kiểm soát không được đồng thời là thành viên Hội đồng quản trị, Tổng giám đốc (Giám đốc), Phó Tổng giám đốc (Phó giám đốc), Kế toán trưởng, Thủ quỹ, nhân viên nghiệp vụ của ngân hàng hợp tác xã, quỹ tín dụng nhân dân và không phải là người có liên quan của thành viên Hội đồng quản trị, Tổng giám đốc (Giám đốc), Phó Tổng giám đốc (Phó giám đốc), Kế toán trưởng, Thủ quỹ.</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Ban kiểm soát chịu trách nhiệm trước Đại hội thành viên về việc thực hiện nhiệm vụ, quyền hạn được giao.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Nhiệm kỳ của Ban kiểm soát theo nhiệm kỳ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84. </w:t>
      </w:r>
      <w:r w:rsidRPr="005F6E83">
        <w:rPr>
          <w:rFonts w:ascii="Arial" w:hAnsi="Arial" w:cs="Arial"/>
          <w:color w:val="auto"/>
          <w:sz w:val="20"/>
          <w:szCs w:val="20"/>
        </w:rPr>
        <w:t>Nhiệm vụ, quyền hạn của Ban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Kiểm tra, giám sát hoạt động của ngân hàng hợp tác xã, quỹ tín dụng nhân dân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Kiểm tra việc thực hiện Điều lệ, nghị quyết, quyết định của Đại hội thành viên, nghị quyết, quyết định của Hội đồng quản trị; giám sát hoạt động của Hội đồng quản trị, Tổng giám đốc (Giám đốc) và thành viên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Kiểm tra hoạt động tài chính, giám sát việc chấp hành chế độ kế toán, phân phối thu nhập, xử lý các khoản lỗ, sử dụng các quỹ, tài sản và các khoản hỗ trợ của Nhà nước; giám sát an toàn trong hoạt động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Thực hiện kiểm toán nội bộ trong từng thời kỳ, từng lĩnh vực nhằm đánh giá chính xác hoạt động kinh doanh và thực trạng tài chính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Tiếp nhận, giải quyết theo thẩm quyền khiếu nại, tố cáo có liên quan đến hoạt động của ngân hàng hợp tác xã, quỹ tín dụng nhân dân theo quy định của pháp luật và Điều lệ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Triệu tập Đại hội thành viên bất thường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Khi Hội đồng quản trị, Tổng giám đốc (Giám đốc) có hành vi vi phạm pháp luật, Điều lệ của ngân hàng hợp tác xã, quỹ tín dụng nhân dân và nghị quyết của Đại hội thành viên; khi Hội đồng quản trị không thực hiện hoặc thực hiện không có kết quả các biện pháp ngăn chặn theo yêu cầu của Ban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b) Khi có ít nhất một phần ba tổng số thành viên Ban kiểm soát có yêu cầu triệu tập họp Đại hội thành viên gửi đến Hội đồng quản trị hoặc Ban kiểm soát mà Hội đồng quản trị không triệu tập Đại hội thành viên bất thường trong thời hạn 15 ngày, kể từ ngày nhận được yêu cầu.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Thông báo Hội đồng quản trị, báo cáo Đại hội thành viên và Ngân hàng Nhà nước về kết quả kiểm soát; kiến nghị với Hội đồng quản trị, Tổng giám đốc (Giám đốc) khắc phục những yếu kém, vi phạm trong hoạt động của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85.</w:t>
      </w:r>
      <w:r w:rsidRPr="005F6E83">
        <w:rPr>
          <w:rFonts w:ascii="Arial" w:hAnsi="Arial" w:cs="Arial"/>
          <w:color w:val="auto"/>
          <w:sz w:val="20"/>
          <w:szCs w:val="20"/>
        </w:rPr>
        <w:t xml:space="preserve"> Tổng giám đốc (Giám đốc)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Hội đồng quản trị bổ nhiệm một thành viên Hội đồng quản trị hoặc thuê người khác làm Tổng giám đốc (Giám đốc) ngân hàng hợp tác xã, quỹ tín dụng nhân dân. Tổng giám đốc (Giám đốc) là người điều hành cao nhất, có nhiệm vụ điều hành các công việc hằng ngày của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86.</w:t>
      </w:r>
      <w:r w:rsidRPr="005F6E83">
        <w:rPr>
          <w:rFonts w:ascii="Arial" w:hAnsi="Arial" w:cs="Arial"/>
          <w:color w:val="auto"/>
          <w:sz w:val="20"/>
          <w:szCs w:val="20"/>
        </w:rPr>
        <w:t xml:space="preserve"> Quyền, nghĩa vụ của Tổng giám đốc (Giám đốc)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Thực hiện kế hoạch kinh doanh.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thực hiện các quyết định của Hội đồng quản trị.</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Kiến nghị với Hội đồng quản trị về phương án bố trí cơ cấu tổ chức ngân hàng hợp tác xã,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Ký kết các hợp đồng nhân danh ngân hàng hợp tác xã,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Trình báo cáo tài chính hằng năm lên Hội đồng quản trị.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Chịu trách nhiệm trước Hội đồng quản trị về nhiệm vụ được giao.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Các quyền, nghĩa vụ khác theo quy định tại Điều lệ của ngân hàng hợp tác xã, quỹ tín dụng nhân dân.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7</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TỔ CHỨC TÀI CHÍNH VI MÔ</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87. </w:t>
      </w:r>
      <w:r w:rsidRPr="005F6E83">
        <w:rPr>
          <w:rFonts w:ascii="Arial" w:hAnsi="Arial" w:cs="Arial"/>
          <w:color w:val="auto"/>
          <w:sz w:val="20"/>
          <w:szCs w:val="20"/>
        </w:rPr>
        <w:t xml:space="preserve">Loại hình tổ chức tài chính vi mô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tài chính vi mô được thành lập dưới hình thức công ty trách nhiệm hữu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Cơ cấu tổ chức, quản trị, điều hành của tổ chức tài chính vi mô được thực hiện theo quy định của Luật này và các quy định khác của pháp luật có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88.</w:t>
      </w:r>
      <w:r w:rsidRPr="005F6E83">
        <w:rPr>
          <w:rFonts w:ascii="Arial" w:hAnsi="Arial" w:cs="Arial"/>
          <w:color w:val="auto"/>
          <w:sz w:val="20"/>
          <w:szCs w:val="20"/>
        </w:rPr>
        <w:t xml:space="preserve"> Thành viên, vốn góp, cơ cấu tổ chức, địa bàn hoạt động của tổ chức tài chính vi mô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Nhà nước quy định việc tham gia góp vốn thành lập tổ chức tài chính vi mô của tổ chức, cá nhân nước ngoài; số lượng thành viên góp vốn; tỷ lệ sở hữu vốn góp, phần vốn góp của các tổ chức, cá nhân trong nước và nước ngoài vào tổ chức tài chính vi mô; giới hạn về cơ cấu tổ chức mạng lưới, địa bàn hoạt động của tổ chức tài chính vi mô.</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8</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CHI NHÁNH NGÂN HÀNG NƯỚC NGOÀI TẠI VIỆT </w:t>
      </w:r>
      <w:smartTag w:uri="urn:schemas-microsoft-com:office:smarttags" w:element="country-region">
        <w:smartTag w:uri="urn:schemas-microsoft-com:office:smarttags" w:element="place">
          <w:r w:rsidRPr="005F6E83">
            <w:rPr>
              <w:rFonts w:ascii="Arial" w:hAnsi="Arial" w:cs="Arial"/>
              <w:b/>
              <w:color w:val="auto"/>
              <w:sz w:val="20"/>
              <w:szCs w:val="20"/>
            </w:rPr>
            <w:t>NAM</w:t>
          </w:r>
        </w:smartTag>
      </w:smartTag>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89.</w:t>
      </w:r>
      <w:r w:rsidRPr="005F6E83">
        <w:rPr>
          <w:rFonts w:ascii="Arial" w:hAnsi="Arial" w:cs="Arial"/>
          <w:color w:val="auto"/>
          <w:sz w:val="20"/>
          <w:szCs w:val="20"/>
        </w:rPr>
        <w:t xml:space="preserve"> Quản trị, điều hành của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Ngân hàng nước ngoài quyết định cơ cấu tổ chức, quản trị, điều hành của chi nhánh ngân hàng nước ngoài tại Việt Nam phù hợp với pháp luật của nước nơi ngân hàng nước ngoài đặt trụ sở chính và quy định của Luật này về cơ cấu tổ chức, quản trị, điều hành, kiểm soát nội bộ, kiểm toán nội bộ và phải được Ngân hàng Nhà nước chấp thuận bằng văn bản trước khi thực hiện.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Tổng giám đốc (Giám đốc) của chi nhánh ngân hàng nước ngoài đại diện cho chi nhánh ngân hàng nước ngoài trước pháp luật, là người chịu trách nhiệm về mọi hoạt động của chi nhánh </w:t>
      </w:r>
      <w:r w:rsidRPr="005F6E83">
        <w:rPr>
          <w:rFonts w:ascii="Arial" w:hAnsi="Arial" w:cs="Arial"/>
          <w:color w:val="auto"/>
          <w:sz w:val="20"/>
          <w:szCs w:val="20"/>
        </w:rPr>
        <w:lastRenderedPageBreak/>
        <w:t xml:space="preserve">ngân hàng nước ngoài và điều hành hoạt động hằng ngày theo quyền, nghĩa vụ phù hợp với quy định của Luật này và các quy định khác của pháp luật có liên quan.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Tổng giám đốc (Giám đốc) của chi nhánh ngân hàng nước ngoài không được tham gia quản trị, điều hành tổ chức tín dụng, tổ chức kinh tế khác và không được đồng thời làm Trưởng văn phòng đại diện tại Việt Nam của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Tổng giám đốc (Giám đốc) của chi nhánh ngân hàng nước ngoài phải có đủ tiêu chuẩn, điều kiện quy định tại khoản 4 Điều 50 của Luật này. Người dự kiến được bổ nhiệm làm Tổng giám đốc (Giám đốc) chi nhánh ngân hàng nước ngoài phải được Ngân hàng Nhà nước chấp thuận bằng văn bản trước khi bổ nhiệm. Trình tự, hồ sơ chấp thuận Tổng giám đốc (Giám đốc) chi nhánh ngân hàng nước ngoài, thông báo người được bổ nhiệm thực hiện theo quy định tại khoản 2 và khoản 3 Điều 51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IV</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TỔ CHỨC TÍN DỤNG</w:t>
      </w:r>
    </w:p>
    <w:p w:rsid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1</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NHỮNG QUY ĐỊNH CHUNG</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90.</w:t>
      </w:r>
      <w:r w:rsidRPr="005F6E83">
        <w:rPr>
          <w:rFonts w:ascii="Arial" w:hAnsi="Arial" w:cs="Arial"/>
          <w:color w:val="auto"/>
          <w:sz w:val="20"/>
          <w:szCs w:val="20"/>
        </w:rPr>
        <w:t xml:space="preserve"> Phạm vi hoạt động được phép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Ngân hàng Nhà nước quy định cụ thể phạm vi, loại hình, nội dung hoạt động ngân hàng, hoạt động kinh doanh khác của tổ chức tín dụng trong Giấy phép cấp cho từng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 chức tín dụng không được tiến hành bất kỳ hoạt động kinh doanh nào ngoài các hoạt động ngân hàng, hoạt động kinh doanh khác ghi trong Giấy phép được Ngân hàng Nhà nước cấp cho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Các hoạt động ngân hàng, hoạt động kinh doanh khác của tổ chức tín dụng quy định tại Luật này thực hiện theo hướng dẫn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91.</w:t>
      </w:r>
      <w:r w:rsidRPr="005F6E83">
        <w:rPr>
          <w:rFonts w:ascii="Arial" w:hAnsi="Arial" w:cs="Arial"/>
          <w:color w:val="auto"/>
          <w:sz w:val="20"/>
          <w:szCs w:val="20"/>
        </w:rPr>
        <w:t xml:space="preserve"> Lãi suất, phí trong hoạt động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được quyền ấn định và phải niêm yết công khai mức lãi suất huy động vốn, mức phí cung ứng dịch vụ trong hoạt động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 chức tín dụng và khách hàng có quyền thỏa thuận về lãi suất, phí cấp tín dụng trong hoạt động ngân hàng của tổ chức tín dụng theo quy định của pháp luật.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Trong trường hợp hoạt động ngân hàng có diễn biến bất thường, để bảo đảm an toàn của hệ thống tổ chức tín dụng, Ngân hàng Nhà nước có quyền quy định cơ chế xác định phí, lãi suất trong hoạt động kinh doanh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92.</w:t>
      </w:r>
      <w:r w:rsidRPr="005F6E83">
        <w:rPr>
          <w:rFonts w:ascii="Arial" w:hAnsi="Arial" w:cs="Arial"/>
          <w:color w:val="auto"/>
          <w:sz w:val="20"/>
          <w:szCs w:val="20"/>
        </w:rPr>
        <w:t xml:space="preserve"> Phát hành chứng chỉ tiền gửi, kỳ phiếu, tín phiếu, trái phiếu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được phát hành chứng chỉ tiền gửi, tín phiếu, kỳ phiếu để huy động vốn theo quy định của Luật này và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Căn cứ Luật này và Luật chứng khoán, Chính phủ quy định việc phát hành trái phiếu, trừ trái phiếu chuyển đổi để huy động vốn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93. </w:t>
      </w:r>
      <w:r w:rsidRPr="005F6E83">
        <w:rPr>
          <w:rFonts w:ascii="Arial" w:hAnsi="Arial" w:cs="Arial"/>
          <w:color w:val="auto"/>
          <w:sz w:val="20"/>
          <w:szCs w:val="20"/>
        </w:rPr>
        <w:t xml:space="preserve">Quy định nội bộ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Căn cứ vào quy định của Luật này và các quy định khác của pháp luật có liên quan, tổ chức tín dụng phải xây dựng và ban hành các quy định nội bộ đối với các hoạt động nghiệp vụ của tổ chức tín dụng, bảo đảm có cơ chế kiểm soát, kiểm toán nội bộ, quản lý rủi ro gắn với từng quy trình nghiệp vụ kinh doanh, phương án xử lý các trường hợp khẩn cấp.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2. Tổ chức tín dụng phải ban hành các quy định nội bộ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Quy định về cấp tín dụng, quản lý tiền vay để bảo đảm việc sử dụng vốn vay đúng mục đích;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Quy định về phân loại tài sản có, trích lập và sử dụng dự phòng rủi ro;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Quy định về đánh giá chất lượng tài sản có và tuân thủ tỷ lệ an toàn vốn tối thiểu;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Quy định về quản lý thanh khoản, trong đó có các thủ tục và các giới hạn quản lý thanh khoản;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Quy định về hệ thống kiểm soát nội bộ và cơ chế kiểm toán nội bộ phù hợp với tính chất và quy mô hoạt động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Quy định về hệ thống xếp hạng tín dụng nội bộ;</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Quy định về quản trị rủi ro trong hoạt động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Quy định về quy trình, thủ tục, bao gồm cả nguyên tắc nhận biết khách hàng để bảo đảm ngăn ngừa việc tổ chức tín dụng bị lạm dụng cho các mục đích rửa tiền, tài trợ khủng bố và tội phạm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i) Quy định về phương án xử lý các trường hợp khẩn cấp.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phải gửi cho Ngân hàng Nhà nước các quy định nội bộ tại khoản 2 Điều này ngay sau khi ban hành.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94. </w:t>
      </w:r>
      <w:r w:rsidRPr="005F6E83">
        <w:rPr>
          <w:rFonts w:ascii="Arial" w:hAnsi="Arial" w:cs="Arial"/>
          <w:color w:val="auto"/>
          <w:sz w:val="20"/>
          <w:szCs w:val="20"/>
        </w:rPr>
        <w:t>Xét duyệt cấp tín dụng, kiểm tra sử dụng tiền vay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phải yêu cầu khách hàng cung cấp tài liệu chứng minh phương án sử dụng vốn khả thi, khả năng tài chính của mình, mục đích sử dụng vốn hợp pháp, biện pháp bảo đảm tiền vay trước khi quyết định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phải tổ chức xét duyệt cấp tín dụng theo nguyên tắc phân định trách nhiệm giữa khâu thẩm định và quyết định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có quyền, nghĩa vụ kiểm tra, giám sát việc sử dụng vốn vay và trả nợ của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 chức tín dụng có quyền yêu cầu khách hàng vay báo cáo việc sử dụng vốn vay và chứng minh vốn vay được sử dụng đúng mục đích vay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95. </w:t>
      </w:r>
      <w:r w:rsidRPr="005F6E83">
        <w:rPr>
          <w:rFonts w:ascii="Arial" w:hAnsi="Arial" w:cs="Arial"/>
          <w:color w:val="auto"/>
          <w:sz w:val="20"/>
          <w:szCs w:val="20"/>
        </w:rPr>
        <w:t>Chấm dứt cấp tín dụng, xử lý nợ, miễn, giảm lãi suất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có quyền chấm dứt việc cấp tín dụng, thu hồi nợ trước hạn khi phát hiện khách hàng cung cấp thông tin sai sự thật, vi phạm các quy định trong hợp đồng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Trong trường hợp khách hàng không trả được nợ đến hạn, nếu các bên không có thỏa thuận khác thì tổ chức tín dụng có quyền xử lý nợ, tài sản bảo đảm tiền vay theo hợp đồng cấp tín dụng, hợp đồng bảo đảm và quy định của pháp luật. Việc cơ cấu lại thời hạn trả nợ, mua bán nợ của tổ chức tín dụng thực hiện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Trong trường hợp khách hàng vay hoặc người bảo đảm không trả được nợ do bị phá sản, việc thu hồi nợ của tổ chức tín dụng được thực hiện theo quy định của pháp luật về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 chức tín dụng có quyền quyết định miễn, giảm lãi suất, phí cho khách hàng theo quy định nội bộ của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96.</w:t>
      </w:r>
      <w:r w:rsidRPr="005F6E83">
        <w:rPr>
          <w:rFonts w:ascii="Arial" w:hAnsi="Arial" w:cs="Arial"/>
          <w:color w:val="auto"/>
          <w:sz w:val="20"/>
          <w:szCs w:val="20"/>
        </w:rPr>
        <w:t xml:space="preserve"> Lưu giữ hồ sơ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phải lưu giữ hồ sơ tín dụng, bao gồm: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Hợp đồng cấp tín dụng và tài liệu ghi rõ mục đích sử dụng vốn; hồ sơ về biện pháp bảo đảm;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Báo cáo thực trạng tài chính của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c) Quyết định cấp tín dụng có chữ ký của người có thẩm quyền; trường hợp quyết định tập thể, phải có biên bản ghi rõ quyết định được thông qua;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Những tài liệu phát sinh trong quá trình sử dụng khoản vay liên quan đến hợp đồng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Thời hạn lưu trữ hồ sơ tín dụng thực hiện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97.</w:t>
      </w:r>
      <w:r w:rsidRPr="005F6E83">
        <w:rPr>
          <w:rFonts w:ascii="Arial" w:hAnsi="Arial" w:cs="Arial"/>
          <w:color w:val="auto"/>
          <w:sz w:val="20"/>
          <w:szCs w:val="20"/>
        </w:rPr>
        <w:t xml:space="preserve"> Hoạt động ngân hàng điện tử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Tổ chức tín dụng được thực hiện các hoạt động kinh doanh qua việc sử dụng các phương tiện điện tử theo hướng dẫn của Ngân hàng Nhà nước về quản lý rủi ro và quy định của pháp luật về giao dịch điện tử.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2</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NGÂN HÀNG THƯƠNG MẠI</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98. </w:t>
      </w:r>
      <w:r w:rsidRPr="005F6E83">
        <w:rPr>
          <w:rFonts w:ascii="Arial" w:hAnsi="Arial" w:cs="Arial"/>
          <w:color w:val="auto"/>
          <w:sz w:val="20"/>
          <w:szCs w:val="20"/>
        </w:rPr>
        <w:t xml:space="preserve">Hoạt động ngân hàng của ngân hàng thương mại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Nhận tiền gửi không kỳ hạn, tiền gửi có kỳ hạn, tiền gửi tiết kiệm và các loại tiền gửi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Phát hành chứng chỉ tiền gửi, kỳ phiếu, tín phiếu, trái phiếu để huy động vốn trong nước và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Cấp tín dụng dưới các hình thức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Cho vay;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Chiết khấu, tái chiết khấu công cụ chuyển nhượng và giấy tờ có giá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Bảo lãnh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Phát hành thẻ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Bao thanh toán trong nước; bao thanh toán quốc tế đối với các ngân hàng được phép thực hiện thanh toán quốc tế;</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e) Các hình thức cấp tín dụng khác sau khi được Ngân hàng Nhà nước chấp thuận.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Mở tài khoản thanh toán cho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Cung ứng các phương tiện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Cung ứng các dịch vụ thanh toán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Thực hiện dịch vụ thanh toán trong nước bao gồm séc, lệnh chi, ủy nhiệm chi, nhờ thu, ủy nhiệm thu, thư tín dụng, thẻ ngân hàng, dịch vụ thu hộ và chi hộ;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Thực hiện dịch vụ thanh toán quốc tế và các dịch vụ thanh toán khác sau khi được Ngân hàng Nhà nước chấp thuận.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99. </w:t>
      </w:r>
      <w:r w:rsidRPr="005F6E83">
        <w:rPr>
          <w:rFonts w:ascii="Arial" w:hAnsi="Arial" w:cs="Arial"/>
          <w:color w:val="auto"/>
          <w:sz w:val="20"/>
          <w:szCs w:val="20"/>
        </w:rPr>
        <w:t>Vay vốn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Ngân hàng thương mại được vay vốn của Ngân hàng Nhà nước dưới hình thức tái cấp vốn theo quy định của Luật Ngân hàng Nhà nước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100. </w:t>
      </w:r>
      <w:r w:rsidRPr="005F6E83">
        <w:rPr>
          <w:rFonts w:ascii="Arial" w:hAnsi="Arial" w:cs="Arial"/>
          <w:color w:val="auto"/>
          <w:sz w:val="20"/>
          <w:szCs w:val="20"/>
        </w:rPr>
        <w:t xml:space="preserve">Vay vốn của tổ chức tín dụng, tổ chức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thương mại được vay vốn của tổ chức tín dụng, tổ chức tài chính trong nước và nước ngoài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101. </w:t>
      </w:r>
      <w:r w:rsidRPr="005F6E83">
        <w:rPr>
          <w:rFonts w:ascii="Arial" w:hAnsi="Arial" w:cs="Arial"/>
          <w:color w:val="auto"/>
          <w:sz w:val="20"/>
          <w:szCs w:val="20"/>
        </w:rPr>
        <w:t xml:space="preserve">Mở tài khoản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Ngân hàng thương mại phải mở tài khoản tiền gửi tại Ngân hàng Nhà nước và duy trì trên tài khoản tiền gửi này số dư bình quân không thấp hơn mức dự trữ bắt buộc.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thương mại được mở tài khoản thanh toán tại tổ chức tín dụng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Ngân hàng thương mại được mở tài khoản tiền gửi, tài khoản thanh toán ở nước ngoài theo quy định của pháp luật về ngoại hối.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102. </w:t>
      </w:r>
      <w:r w:rsidRPr="005F6E83">
        <w:rPr>
          <w:rFonts w:ascii="Arial" w:hAnsi="Arial" w:cs="Arial"/>
          <w:color w:val="auto"/>
          <w:sz w:val="20"/>
          <w:szCs w:val="20"/>
        </w:rPr>
        <w:t>Tổ chức và tham gia các hệ thống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Ngân hàng thương mại được tổ chức thanh toán nội bộ, tham gia hệ thống thanh toán liên ngân hàng quốc gia.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Ngân hàng thương mại được tham gia hệ thống thanh toán quốc tế sau khi được Ngân hàng Nhà nước chấp thuận.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103.</w:t>
      </w:r>
      <w:r w:rsidRPr="005F6E83">
        <w:rPr>
          <w:rFonts w:ascii="Arial" w:hAnsi="Arial" w:cs="Arial"/>
          <w:color w:val="auto"/>
          <w:sz w:val="20"/>
          <w:szCs w:val="20"/>
        </w:rPr>
        <w:t xml:space="preserve"> Góp vốn, mua cổ phần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Ngân hàng thương mại chỉ được dùng vốn điều lệ và quỹ dự trữ để góp vốn, mua cổ phần theo quy định tại các khoản 2, 3, 4 và 6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Ngân hàng thương mại phải thành lập hoặc mua lại công ty con, công ty liên kết để thực hiện hoạt động kinh doanh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Bảo lãnh phát hành chứng khoán, môi giới chứng khoán; quản lý, phân phối chứng chỉ quỹ đầu tư chứng khoán; quản lý danh mục đầu tư chứng khoán và mua, bán cổ phiếu;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Cho thuê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Bảo hiểm.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Ngân hàng thương mại được thành lập, mua lại công ty con, công ty liên kết hoạt động trong lĩnh vực quản lý tài sản bảo đảm, kiều hối, kinh doanh ngoại hối, vàng, bao thanh toán, phát hành thẻ tín dụng, tín dụng tiêu dùng, dịch vụ trung gian thanh toán, thông tin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Ngân hàng thương mại được góp vốn, mua cổ phần của doanh nghiệp hoạt động trong các lĩnh vực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Bảo hiểm, chứng khoán, kiều hối, kinh doanh ngoại hối, vàng, bao thanh toán, phát hành thẻ tín dụng, tín dụng tiêu dùng, dịch vụ trung gian thanh toán, thông tin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Lĩnh vực khác không quy định tại điểm a khoản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Việc thành lập, mua lại công ty con, công ty liên kết theo quy định tại khoản 2 và khoản 3 Điều này và việc góp vốn, mua cổ phần của ngân hàng thương mại theo quy định tại điểm b khoản 4 Điều này phải được sự chấp thuận trước bằng văn bản của Ngân hàng Nhà nước. Ngân hàng Nhà nước quy định cụ thể điều kiện, hồ sơ, trình tự, thủ tục chấp thuận.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Điều kiện, thủ tục và trình tự thành lập công ty con, công ty liên kết của ngân hàng thương mại thực hiện theo quy định của pháp luật có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Ngân hàng thương mại, công ty con của ngân hàng thương mại được mua, nắm giữ cổ phiếu của tổ chức tín dụng khác với điều kiện và trong giới hạn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104. </w:t>
      </w:r>
      <w:r w:rsidRPr="005F6E83">
        <w:rPr>
          <w:rFonts w:ascii="Arial" w:hAnsi="Arial" w:cs="Arial"/>
          <w:color w:val="auto"/>
          <w:sz w:val="20"/>
          <w:szCs w:val="20"/>
        </w:rPr>
        <w:t>Tham gia thị trường tiền tệ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thương mại được tham gia đấu thầu tín phiếu Kho bạc, mua, bán công cụ chuyển nhượng, trái phiếu Chính phủ, tín phiếu Kho bạc, tín phiếu Ngân hàng Nhà nước và các giấy tờ có giá khác trên thị trường tiền tệ.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105. </w:t>
      </w:r>
      <w:r w:rsidRPr="005F6E83">
        <w:rPr>
          <w:rFonts w:ascii="Arial" w:hAnsi="Arial" w:cs="Arial"/>
          <w:color w:val="auto"/>
          <w:sz w:val="20"/>
          <w:szCs w:val="20"/>
        </w:rPr>
        <w:t>Kinh doanh, cung ứng dịch vụ ngoại hối và sản phẩm phái sinh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Sau khi được Ngân hàng Nhà nước chấp thuận bằng văn bản, ngân hàng thương mại được kinh doanh, cung ứng dịch vụ cho khách hàng ở trong nước và nước ngoài các sản phẩm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Ngoại hối;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Phái sinh về tỷ giá, lãi suất, ngoại hối, tiền tệ và tài sản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2. Ngân hàng Nhà nước quy định về phạm vi kinh doanh ngoại hối; điều kiện, trình tự, thủ tục chấp thuận việc kinh doanh ngoại hối; kinh doanh, cung ứng sản phẩm phái sinh của ngân hàng thương mại.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Việc cung ứng dịch vụ ngoại hối của ngân hàng thương mại cho khách hàng thực hiện theo quy định của pháp luật về ngoại hối.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106.</w:t>
      </w:r>
      <w:r w:rsidRPr="005F6E83">
        <w:rPr>
          <w:rFonts w:ascii="Arial" w:hAnsi="Arial" w:cs="Arial"/>
          <w:color w:val="auto"/>
          <w:sz w:val="20"/>
          <w:szCs w:val="20"/>
        </w:rPr>
        <w:t xml:space="preserve"> Nghiệp vụ ủy thác và đại lý</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Ngân hàng thương mại được quyền ủy thác, nhận ủy thác, đại lý trong lĩnh vực liên quan đến hoạt động ngân hàng, kinh doanh bảo hiểm, quản lý tài sản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107. </w:t>
      </w:r>
      <w:r w:rsidRPr="005F6E83">
        <w:rPr>
          <w:rFonts w:ascii="Arial" w:hAnsi="Arial" w:cs="Arial"/>
          <w:color w:val="auto"/>
          <w:sz w:val="20"/>
          <w:szCs w:val="20"/>
        </w:rPr>
        <w:t>Các hoạt động kinh doanh khác của ngân hàng thương mại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Dịch vụ quản lý tiền mặt, tư vấn ngân hàng, tài chính; các dịch vụ quản lý, bảo quản tài sản, cho thuê tủ, két an toàn.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Tư vấn tài chính doanh nghiệp, tư vấn mua, bán, hợp nhất, sáp nhập doanh nghiệp và tư vấn đầu tư.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Mua, bán trái phiếu Chính phủ, trái phiếu doanh nghiệp.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Dịch vụ môi giới tiền tệ.</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Lưu ký chứng khoán, kinh doanh vàng và các hoạt động kinh doanh khác liên quan đến hoạt động ngân hàng sau khi được Ngân hàng Nhà nước chấp thuận bằng văn bản.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 Mục 3</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CÔNG TY TÀI CHÍNH</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108. </w:t>
      </w:r>
      <w:r w:rsidRPr="005F6E83">
        <w:rPr>
          <w:rFonts w:ascii="Arial" w:hAnsi="Arial" w:cs="Arial"/>
          <w:color w:val="auto"/>
          <w:sz w:val="20"/>
          <w:szCs w:val="20"/>
        </w:rPr>
        <w:t xml:space="preserve">Hoạt động ngân hàng của công ty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Công ty tài chính được thực hiện một hoặc một số hoạt động ngân hàng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Nhận tiền gửi của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Phát hành chứng chỉ tiền gửi, kỳ phiếu, tín phiếu, trái phiếu để huy động vốn của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Vay vốn của tổ chức tín dụng, tổ chức tài chính trong nước và nước ngoài theo quy định của pháp luật; vay Ngân hàng Nhà nước dưới hình thức tái cấp vốn theo quy định của Luật Ngân hàng Nhà nước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Cho vay, bao gồm cả cho vay trả góp, cho vay tiêu dùng;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Bảo lãnh ngân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Chiết khấu, tái chiết khấu công cụ chuyển nhượng, các giấy tờ có giá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Phát hành thẻ tín dụng, bao thanh toán, cho thuê tài chính và các hình thức cấp tín dụng khác sau khi được Ngân hàng Nhà nước chấp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Chính phủ quy định cụ thể điều kiện để công ty tài chính thực hiện hoạt động ngân hàng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109. </w:t>
      </w:r>
      <w:r w:rsidRPr="005F6E83">
        <w:rPr>
          <w:rFonts w:ascii="Arial" w:hAnsi="Arial" w:cs="Arial"/>
          <w:color w:val="auto"/>
          <w:sz w:val="20"/>
          <w:szCs w:val="20"/>
        </w:rPr>
        <w:t>Mở tài khoản của công ty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Công ty tài chính có nhận tiền gửi phải mở tài khoản tiền gửi tại Ngân hàng Nhà nước và duy trì trên tài khoản tiền gửi này số dư bình quân không thấp hơn mức dự trữ bắt buộc.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Công ty tài chính được mở tài khoản thanh toán tại ngân hàng thương mại,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Công ty tài chính được phép thực hiện hoạt động phát hành thẻ tín dụng được mở tài khoản tại ngân hàng nước ngoài theo quy định của pháp luật về ngoại hối.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Công ty tài chính được mở tài khoản tiền gửi, tài khoản quản lý tiền vay cho khách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lastRenderedPageBreak/>
        <w:t xml:space="preserve">Điều 110. </w:t>
      </w:r>
      <w:r w:rsidRPr="005F6E83">
        <w:rPr>
          <w:rFonts w:ascii="Arial" w:hAnsi="Arial" w:cs="Arial"/>
          <w:color w:val="auto"/>
          <w:sz w:val="20"/>
          <w:szCs w:val="20"/>
        </w:rPr>
        <w:t>Góp vốn, mua cổ phần của công ty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Công ty tài chính chỉ được dùng vốn điều lệ và quỹ dự trữ để góp vốn, mua cổ phần theo quy định tại khoản 2 và khoản 3 Điều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Công ty tài chính được góp vốn, mua cổ phần của doanh nghiệp, quỹ đầu tư.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Công ty tài chính chỉ được thành lập, mua lại công ty con, công ty liên kết hoạt động trong các lĩnh vực bảo hiểm, chứng khoán, quản lý tài sản bảo đảm sau khi được Ngân hàng Nhà nước chấp thuận bằng văn bản.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Ngân hàng Nhà nước quy định cụ thể điều kiện, hồ sơ, trình tự, thủ tục chấp thuận việc thành lập công ty con, công ty liên kết của công ty tài chính quy định tại khoản 3 Điều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Điều kiện, trình tự, thủ tục thành lập công ty con, công ty liên kết của công ty tài chính thực hiện theo quy định của pháp luật có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111. </w:t>
      </w:r>
      <w:r w:rsidRPr="005F6E83">
        <w:rPr>
          <w:rFonts w:ascii="Arial" w:hAnsi="Arial" w:cs="Arial"/>
          <w:color w:val="auto"/>
          <w:sz w:val="20"/>
          <w:szCs w:val="20"/>
        </w:rPr>
        <w:t xml:space="preserve">Các hoạt động kinh doanh khác của công ty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Tiếp nhận vốn ủy thác của Chính phủ, tổ chức, cá nhân để thực hiện các hoạt động đầu tư vào các dự án sản xuất, kinh doanh, cấp tín dụng được phép; ủy thác vốn cho tổ chức tín dụng thực hiện cấp tín dụng. Việc tiếp nhận vốn ủy thác của cá nhân và ủy thác vốn cho các tổ chức tín dụng cấp tín dụng thực hiện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Tham gia thị trường tiền tệ theo quy định tại Điều 104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Mua, bán trái phiếu Chính phủ, trái phiếu doanh nghiệp.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Bảo lãnh phát hành trái phiếu Chính phủ, trái phiếu doanh nghiệp; đại lý phát hành trái phiếu, cổ phiếu và các loại giấy tờ có giá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Kinh doanh, cung ứng dịch vụ ngoại hối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Làm đại lý kinh doanh bảo hiểm.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7. Cung ứng dịch vụ tư vấn trong lĩnh vực ngân hàng, tài chính, đầu tư.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8. Cung ứng dịch vụ quản lý, bảo quản tài sản của khách hàng.   </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Mục 4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CÔNG TY CHO THUÊ TÀI CHÍNH</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112. </w:t>
      </w:r>
      <w:r w:rsidRPr="005F6E83">
        <w:rPr>
          <w:rFonts w:ascii="Arial" w:hAnsi="Arial" w:cs="Arial"/>
          <w:color w:val="auto"/>
          <w:sz w:val="20"/>
          <w:szCs w:val="20"/>
        </w:rPr>
        <w:t xml:space="preserve">Hoạt động ngân hàng của công ty cho thuê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Nhận tiền gửi của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Phát hành chứng chỉ tiền gửi, kỳ phiếu, tín phiếu, trái phiếu để huy động vốn của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Vay vốn của tổ chức tín dụng, tổ chức tài chính trong nước và nước ngoài theo quy định của pháp luật; vay Ngân hàng Nhà nước dưới hình thức tái cấp vốn theo quy định của Luật Ngân hàng Nhà nước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Cho thuê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Cho vay bổ sung vốn lưu động đối với bên thuê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Cho thuê vận hành với điều kiện tổng giá trị tài sản cho thuê vận hành không vượt quá 30% tổng tài sản có của công ty cho thuê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Thực hiện hình thức cấp tín dụng khác khi được Ngân hàng Nhà nước chấp thuận.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113. </w:t>
      </w:r>
      <w:r w:rsidRPr="005F6E83">
        <w:rPr>
          <w:rFonts w:ascii="Arial" w:hAnsi="Arial" w:cs="Arial"/>
          <w:color w:val="auto"/>
          <w:sz w:val="20"/>
          <w:szCs w:val="20"/>
        </w:rPr>
        <w:t>Hoạt động cho thuê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Hoạt động cho thuê tài chính là việc cấp tín dụng trung hạn, dài hạn trên cơ sở hợp đồng cho thuê tài chính và phải có một trong các điều kiện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Khi kết thúc thời hạn cho thuê theo hợp đồng, bên thuê được nhận chuyển quyền sở hữu tài sản cho thuê hoặc tiếp tục thuê theo thỏa thuận của hai bên;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2. Khi kết thúc thời hạn cho thuê theo hợp đồng, bên thuê được quyền ưu tiên mua tài sản cho thuê theo giá danh nghĩa thấp hơn giá trị thực tế của tài sản cho thuê tại thời điểm mua lại;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Thời hạn cho thuê một tài sản phải ít nhất bằng 60% thời gian cần thiết để khấu hao tài sản cho thuê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Tổng số tiền thuê một tài sản quy định tại hợp đồng cho thuê tài chính ít nhất phải bằng giá trị của tài sản đó tại thời điểm ký hợp đồng.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114. </w:t>
      </w:r>
      <w:r w:rsidRPr="005F6E83">
        <w:rPr>
          <w:rFonts w:ascii="Arial" w:hAnsi="Arial" w:cs="Arial"/>
          <w:color w:val="auto"/>
          <w:sz w:val="20"/>
          <w:szCs w:val="20"/>
        </w:rPr>
        <w:t xml:space="preserve">Mở tài khoản của công ty cho thuê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Công ty cho thuê tài chính có nhận tiền gửi phải mở tài khoản tiền gửi tại Ngân hàng Nhà nước và duy trì trên tài khoản tiền gửi này số dư bình quân không thấp hơn mức dự trữ bắt buộc.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Công ty cho thuê tài chính được mở tài khoản thanh toán tại ngân hàng thương mại,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115. </w:t>
      </w:r>
      <w:r w:rsidRPr="005F6E83">
        <w:rPr>
          <w:rFonts w:ascii="Arial" w:hAnsi="Arial" w:cs="Arial"/>
          <w:color w:val="auto"/>
          <w:sz w:val="20"/>
          <w:szCs w:val="20"/>
        </w:rPr>
        <w:t>Góp vốn, mua cổ phần của công ty cho thuê tài chính</w:t>
      </w:r>
    </w:p>
    <w:p w:rsidR="005F6E83" w:rsidRPr="005F6E83" w:rsidDel="0091648A"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Công ty cho thuê tài chính không được góp vốn, mua cổ phần, thành lập công ty con, công ty liên kết dưới mọi hình thức.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116. </w:t>
      </w:r>
      <w:r w:rsidRPr="005F6E83">
        <w:rPr>
          <w:rFonts w:ascii="Arial" w:hAnsi="Arial" w:cs="Arial"/>
          <w:color w:val="auto"/>
          <w:sz w:val="20"/>
          <w:szCs w:val="20"/>
        </w:rPr>
        <w:t xml:space="preserve">Các hoạt động khác của công ty cho thuê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Tiếp nhận vốn ủy thác của Chính phủ, tổ chức, cá nhân để thực hiện hoạt động cho thuê tài chính. Việc tiếp nhận vốn ủy thác của cá nhân thực hiện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Tham gia đấu thầu tín phiếu Kho bạc do Ngân hàng Nhà nước tổ chức.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Mua, bán trái phiếu Chính phủ.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Kinh doanh, cung ứng dịch vụ ngoại hối và ủy thác cho thuê tài chính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Làm đại lý kinh doanh bảo hiểm.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Cung ứng dịch vụ tư vấn trong lĩnh vực ngân hàng, tài chính, đầu tư cho bên thuê tài chính.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5</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TỔ CHỨC TÍN DỤNG LÀ HỢP TÁC XÃ</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117. </w:t>
      </w:r>
      <w:r w:rsidRPr="005F6E83">
        <w:rPr>
          <w:rFonts w:ascii="Arial" w:hAnsi="Arial" w:cs="Arial"/>
          <w:color w:val="auto"/>
          <w:sz w:val="20"/>
          <w:szCs w:val="20"/>
        </w:rPr>
        <w:t xml:space="preserve">Hoạt động của ngân hàng hợp tác xã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Hoạt động chủ yếu của ngân hàng hợp tác xã là điều hòa vốn và thực hiện các hoạt động ngân hàng đối với thành viên là các quỹ tín dụng nhân dân.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hợp tác xã được thực hiện một số hoạt động ngân hàng, hoạt động kinh doanh khác theo quy định tại mục 2 Chương IV của Luật này sau khi được Ngân hàng Nhà nước chấp thuận bằng văn bản.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118. </w:t>
      </w:r>
      <w:r w:rsidRPr="005F6E83">
        <w:rPr>
          <w:rFonts w:ascii="Arial" w:hAnsi="Arial" w:cs="Arial"/>
          <w:color w:val="auto"/>
          <w:sz w:val="20"/>
          <w:szCs w:val="20"/>
        </w:rPr>
        <w:t xml:space="preserve">Hoạt động của quỹ tín dụng nhân dân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Nhận tiền gửi bằng đồng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Nhận tiền gửi của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Nhận tiền gửi từ các tổ chức, cá nhân không phải là thành viên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Cho vay bằng đồng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Cho vay đối với khách hàng là thành viên;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Cho vay đối với khách hàng không phải là thành viên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Cung ứng dịch vụ chuyển tiền, thực hiện các nghiệp vụ thu hộ, chi hộ cho các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Các hoạt động khác, bao gồm: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Tiếp nhận vốn ủy thác cho vay của Chính phủ, tổ chức, cá nhân;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Vay vốn của các tổ chức tín dụng, tổ chức tài chính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Tham gia góp vốn thành lập ngân hàng hợp tác xã;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Mở tài khoản tiền gửi tại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Mở tài khoản thanh toán tại ngân hàng thương mại,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e) Nhận ủy thác và làm đại lý một số lĩnh vực liên quan đến hoạt động ngân hàng, quản lý tài sản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g) Làm đại lý kinh doanh bảo hiểm;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 Cung ứng dịch vụ tư vấn về ngân hàng, tài chính cho các thành viên.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Ngân hàng Nhà nước quy định cụ thể địa bàn hoạt động của từng quỹ tín dụng nhân dân trong Giấy phép.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6</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 TỔ CHỨC TÀI CHÍNH VI MÔ</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119. </w:t>
      </w:r>
      <w:r w:rsidRPr="005F6E83">
        <w:rPr>
          <w:rFonts w:ascii="Arial" w:hAnsi="Arial" w:cs="Arial"/>
          <w:color w:val="auto"/>
          <w:sz w:val="20"/>
          <w:szCs w:val="20"/>
        </w:rPr>
        <w:t xml:space="preserve">Huy động vốn của tổ chức tài chính vi mô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Nhận tiền gửi bằng đồng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dưới các hình thức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Tiết kiệm bắt buộc theo quy định của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Tiền gửi của tổ chức và cá nhân bao gồm cả tiền gửi tự nguyện của khách hàng tài chính vi mô, trừ tiền gửi nhằm mục đích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Vay vốn của tổ chức tín dụng, tổ chức tài chính, và các cá nhân, tổ chức khác trong nước và nước ngoài theo quy định của pháp luật.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120. </w:t>
      </w:r>
      <w:r w:rsidRPr="005F6E83">
        <w:rPr>
          <w:rFonts w:ascii="Arial" w:hAnsi="Arial" w:cs="Arial"/>
          <w:color w:val="auto"/>
          <w:sz w:val="20"/>
          <w:szCs w:val="20"/>
        </w:rPr>
        <w:t>Cấp tín dụng của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tài chính vi mô chỉ được cấp tín dụng bằng đồng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dưới hình thức cho vay. Việc cấp tín dụng của tổ chức tài chính vi mô có thể được bảo đảm bằng tiết kiệm bắt buộc, bảo lãnh của nhóm khách hàng tiết kiệm và vay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 chức tài chính vi mô phải duy trì tỷ lệ tổng dư nợ các khoản cấp tín dụng cho cá nhân, hộ gia đình có thu nhập thấp, doanh nghiệp siêu nhỏ trong tổng dư nợ cấp tín dụng không thấp hơn tỷ lệ do Ngân hàng Nhà nước quy định.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121.</w:t>
      </w:r>
      <w:r w:rsidRPr="005F6E83">
        <w:rPr>
          <w:rFonts w:ascii="Arial" w:hAnsi="Arial" w:cs="Arial"/>
          <w:color w:val="auto"/>
          <w:sz w:val="20"/>
          <w:szCs w:val="20"/>
        </w:rPr>
        <w:t xml:space="preserve"> Mở tài khoản của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tài chính vi mô được mở tài khoản tiền gửi tại Ngân hàng Nhà nước, ngân hàng thương mại.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tài chính vi mô không được mở tài khoản thanh toán cho khách hàng.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122. </w:t>
      </w:r>
      <w:r w:rsidRPr="005F6E83">
        <w:rPr>
          <w:rFonts w:ascii="Arial" w:hAnsi="Arial" w:cs="Arial"/>
          <w:color w:val="auto"/>
          <w:sz w:val="20"/>
          <w:szCs w:val="20"/>
        </w:rPr>
        <w:t>Hoạt động khác của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Ủy thác, nhận ủy thác cho vay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Cung ứng các dịch vụ tư vấn tài chính liên quan đến lĩnh vực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Cung ứng dịch vụ thu hộ, chi hộ và chuyển tiền cho khách hàng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Làm đại lý cung ứng dịch vụ bảo hiểm.</w:t>
      </w:r>
    </w:p>
    <w:p w:rsidR="005F6E83" w:rsidRPr="005F6E83" w:rsidRDefault="005F6E83" w:rsidP="005F6E83">
      <w:pPr>
        <w:spacing w:after="120"/>
        <w:ind w:firstLine="720"/>
        <w:jc w:val="both"/>
        <w:rPr>
          <w:rFonts w:ascii="Arial" w:hAnsi="Arial" w:cs="Arial"/>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lastRenderedPageBreak/>
        <w:t>Mục 7</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HOẠT ĐỘNG CỦA</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CHI NHÁNH NGÂN HÀNG NƯỚC NGOÀI TẠI VIỆT </w:t>
      </w:r>
      <w:smartTag w:uri="urn:schemas-microsoft-com:office:smarttags" w:element="country-region">
        <w:smartTag w:uri="urn:schemas-microsoft-com:office:smarttags" w:element="place">
          <w:r w:rsidRPr="005F6E83">
            <w:rPr>
              <w:rFonts w:ascii="Arial" w:hAnsi="Arial" w:cs="Arial"/>
              <w:b/>
              <w:color w:val="auto"/>
              <w:sz w:val="20"/>
              <w:szCs w:val="20"/>
            </w:rPr>
            <w:t>NAM</w:t>
          </w:r>
        </w:smartTag>
      </w:smartTag>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   Điều 123. </w:t>
      </w:r>
      <w:r w:rsidRPr="005F6E83">
        <w:rPr>
          <w:rFonts w:ascii="Arial" w:hAnsi="Arial" w:cs="Arial"/>
          <w:color w:val="auto"/>
          <w:sz w:val="20"/>
          <w:szCs w:val="20"/>
        </w:rPr>
        <w:t>Nội dung hoạt động của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Chi nhánh ngân hàng nước ngoài được thực hiện các hoạt động theo quy định tại mục 2 Chương IV của Luật này, trừ các hoạt động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Hoạt động quy định tại Điều 103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Hoạt động mà ngân hàng nước ngoài không được phép thực hiện tại nước nơi ngân hàng nước ngoài đặt trụ sở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Chi nhánh ngân hàng nước ngoài chỉ được cung ứng một số dịch vụ ngoại hối trên thị trường quốc tế cho khách hàng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xml:space="preserve"> theo quy định của pháp luật về ngoại hối.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Ngân hàng Nhà nước quy định cụ thể nội dung hoạt động trong Giấy phép cấp cho chi nhánh ngân hàng nước ngoài theo quy định của Luật này, phù hợp với quy mô, loại hình, lĩnh vực hoạt động của ngân hàng nước ngoài.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CHƯƠNG V </w:t>
      </w:r>
      <w:r w:rsidRPr="005F6E83">
        <w:rPr>
          <w:rFonts w:ascii="Arial" w:hAnsi="Arial" w:cs="Arial"/>
          <w:b/>
          <w:color w:val="auto"/>
          <w:sz w:val="20"/>
          <w:szCs w:val="20"/>
        </w:rPr>
        <w:br/>
        <w:t xml:space="preserve">VĂN PHÒNG ĐẠI DIỆN CỦA TỔ CHỨC TÍN DỤNG NƯỚC NGOÀI,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TỔ CHỨC NƯỚC NGOÀI KHÁC CÓ HOẠT ĐỘNG NGÂN HÀNG</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124.</w:t>
      </w:r>
      <w:r w:rsidRPr="005F6E83">
        <w:rPr>
          <w:rFonts w:ascii="Arial" w:hAnsi="Arial" w:cs="Arial"/>
          <w:color w:val="auto"/>
          <w:sz w:val="20"/>
          <w:szCs w:val="20"/>
        </w:rPr>
        <w:t xml:space="preserve"> Thành lập văn phòng đại diện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Tổ chức tín dụng nước ngoài, tổ chức nước ngoài khác có hoạt động ngân hàng được phép thành lập văn phòng đại diện tại các tỉnh, thành phố trực thuộc trung ương trên lãnh thổ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 Tại mỗi tỉnh, thành phố trực thuộc trung ương, tổ chức tín dụng nước ngoài, tổ chức nước ngoài khác có hoạt động ngân hàng chỉ được phép thành lập một văn phòng đại diện.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125. </w:t>
      </w:r>
      <w:r w:rsidRPr="005F6E83">
        <w:rPr>
          <w:rFonts w:ascii="Arial" w:hAnsi="Arial" w:cs="Arial"/>
          <w:color w:val="auto"/>
          <w:sz w:val="20"/>
          <w:szCs w:val="20"/>
        </w:rPr>
        <w:t>Nội dung hoạt động của văn phòng đại diện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Văn phòng đại diện của tổ chức tín dụng nước ngoài, tổ chức nước ngoài khác có hoạt động ngân hàng được thực hiện các hoạt động sau đây theo nội dung ghi trong Giấy phép do Ngân hàng Nhà nước cấp: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Làm chức năng văn phòng liên lạc;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Nghiên cứu thị trường;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Xúc tiến các dự án đầu tư của tổ chức tín dụng nước ngoài, tổ chức nước ngoài khác có hoạt động ngân hàng tại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Thúc đẩy và theo dõi việc thực hiện các hợp đồng,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Hoạt động khác phù hợp với quy định của pháp luật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VI</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CÁC HẠN CHẾ ĐỂ BẢO ĐẢM AN TOÀN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TRONG HOẠT ĐỘNG CỦA TỔ CHỨC TÍN DỤNG</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126.</w:t>
      </w:r>
      <w:r w:rsidRPr="005F6E83">
        <w:rPr>
          <w:rFonts w:ascii="Arial" w:hAnsi="Arial" w:cs="Arial"/>
          <w:color w:val="auto"/>
          <w:sz w:val="20"/>
          <w:szCs w:val="20"/>
        </w:rPr>
        <w:t xml:space="preserve"> Những trường hợp không được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không được cấp tín dụng đối với những tổ chức, cá nhân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Thành viên Hội đồng quản trị, thành viên Hội đồng thành viên, thành viên Ban kiểm soát, Tổng giám đốc (Giám đốc), Phó Tổng giám đốc (Phó giám đốc) và các chức danh tương đương của tổ chức tín dụng, chi nhánh ngân hàng nước ngoài, pháp nhân là cổ đông có người đại diện phần </w:t>
      </w:r>
      <w:r w:rsidRPr="005F6E83">
        <w:rPr>
          <w:rFonts w:ascii="Arial" w:hAnsi="Arial" w:cs="Arial"/>
          <w:color w:val="auto"/>
          <w:sz w:val="20"/>
          <w:szCs w:val="20"/>
        </w:rPr>
        <w:lastRenderedPageBreak/>
        <w:t>vốn góp là thành viên Hội đồng quản trị, thành viên Ban kiểm soát của tổ chức tín dụng là công ty cổ phần, pháp nhân là thành viên góp vốn, chủ sở hữu của tổ chức tín dụng là công ty trách nhiệm hữu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Cha, mẹ, vợ, chồng, con của thành viên Hội đồng quản trị, thành viên Hội đồng thành viên, thành viên Ban kiểm soát, Tổng giám đốc (Giám đốc), Phó Tổng giám đốc (Phó giám đốc) và các chức danh tương đương.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Quy định tại khoản 1 Điều này không áp dụng đối với quỹ tín dụng nhân dân, tổ chức tài chính vi mô.</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khác cấp tín dụng cho đối tượng quy định tại khoản 1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 chức tín dụng không được cấp tín dụng cho doanh nghiệp hoạt động trong lĩnh vực kinh doanh chứng khoán mà tổ chức tín dụng nắm quyền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Tổ chức tín dụng không được cấp tín dụng trên cơ sở nhận bảo đảm bằng cổ phiếu của chính tổ chức tín dụng hoặc công ty con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Tổ chức tín dụng không được cho vay để góp vốn vào một tổ chức tín dụng khác trên cơ sở nhận tài sản bảo đảm bằng cổ phiếu của chính tổ chức tín dụng nhận vốn góp.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127. </w:t>
      </w:r>
      <w:r w:rsidRPr="005F6E83">
        <w:rPr>
          <w:rFonts w:ascii="Arial" w:hAnsi="Arial" w:cs="Arial"/>
          <w:color w:val="auto"/>
          <w:sz w:val="20"/>
          <w:szCs w:val="20"/>
        </w:rPr>
        <w:t>Hạn chế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không được cấp tín dụng không có bảo đảm, cấp tín dụng với điều kiện ưu đãi cho những đối tượng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Tổ chức kiểm toán, kiểm toán viên đang kiểm toán tại tổ chức tín dụng, chi nhánh ngân hàng nước ngoài; thanh tra viên đang thanh tra tại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Kế toán trưởng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Cổ đông lớn, cổ đông sáng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Doanh nghiệp có một trong những đối tượng quy định tại khoản 1 Điều 126 của Luật này sở hữu trên 10% vốn điều lệ của doanh nghiệp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Người thẩm định, xét duyệt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e) Các công ty con, công ty liên kết của tổ chức tín dụng hoặc doanh nghiệp mà tổ chức tín dụng nắm quyền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Tổng mức dư nợ cấp tín dụng đối với các đối tượng quy định tại các điểm a, b, c, d và đ khoản 1 Điều này không được vượt quá 5% vốn tự có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Việc cấp tín dụng đối với những đối tượng quy định tại khoản 1 Điều này phải được Hội đồng quản trị, Hội đồng thành viên của tổ chức tín dụng thông qua và công khai trong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20% vốn tự có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128. </w:t>
      </w:r>
      <w:r w:rsidRPr="005F6E83">
        <w:rPr>
          <w:rFonts w:ascii="Arial" w:hAnsi="Arial" w:cs="Arial"/>
          <w:color w:val="auto"/>
          <w:sz w:val="20"/>
          <w:szCs w:val="20"/>
        </w:rPr>
        <w:t>Giới hạn cấp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Tổng mức dư nợ cấp tín dụng đối với một khách hàng không được vượt quá 15% vốn tự có của ngân hàng thương mại, chi nhánh ngân hàng nước ngoài, quỹ tín dụng nhân dân, tổ chức tài chính vi mô; tổng mức dư nợ cấp tín dụng đối với một khách hàng và người có liên quan không được vượt quá 25% vốn tự có của ngân hàng thương mại, chi nhánh ngân hàng nước ngoài, quỹ tín dụng nhân dân, tổ chức tài chính vi mô.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 xml:space="preserve">2. Tổng mức dư nợ cấp tín dụng đối với một khách hàng không được vượt quá 25% vốn tự có của tổ chức tín dụng phi ngân hàng; tổng mức dư nợ cấp tín dụng đối với một khách hàng và người có liên quan không được vượt quá 50% vốn tự có của tổ chức tín dụng phi ngân hàng.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Mức dư nợ cấp tín dụng quy định tại khoản 1 và khoản 2 Điều này không bao gồm các khoản cho vay từ nguồn vốn ủy thác của Chính phủ, của tổ chức, cá nhân hoặc trường hợp khách hàng vay là tổ chức tín dụng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Mức dư nợ cấp tín dụng quy định tại khoản 1 và khoản 2 Điều này bao gồm cả tổng mức đầu tư vào trái phiếu do khách hàng phát hành.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Giới hạn và điều kiện cấp tín dụng để đầu tư, kinh doanh cổ phiếu của ngân hàng thương mại, chi nhánh ngân hàng nước ngoài do Ngân hàng Nhà nước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Trường hợp nhu cầu vốn của một khách hàng và người có liên quan vượt quá giới hạn cấp tín dụng quy định tại khoản 1 và khoản 2 Điều này thì tổ chức tín dụng, chi nhánh ngân hàng nước ngoài được cấp tín dụng hợp vốn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Trong trường hợp đặc biệt, để thực hiện nhiệm vụ kinh tế - xã hội mà khả năng hợp vốn của các tổ chức tín dụng, chi nhánh ngân hàng nước ngoài chưa đáp ứng được yêu cầu vay vốn của một khách hàng thì Thủ tướng Chính phủ quyết định mức cấp tín dụng tối đa vượt quá các giới hạn quy định tại khoản 1 và khoản 2 Điều này đối với từng trường hợp cụ thể.</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129. </w:t>
      </w:r>
      <w:r w:rsidRPr="005F6E83">
        <w:rPr>
          <w:rFonts w:ascii="Arial" w:hAnsi="Arial" w:cs="Arial"/>
          <w:color w:val="auto"/>
          <w:sz w:val="20"/>
          <w:szCs w:val="20"/>
        </w:rPr>
        <w:t>Giới hạn góp vốn, mua cổ phần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Mức góp vốn, mua cổ phần của một ngân hàng thương mại và các công ty con, công ty liên kết của ngân hàng thương mại đó vào một doanh nghiệp hoạt động trên lĩnh vực quy định tại khoản 4 Điều 103 của Luật này không được vượt quá 11% vốn điều lệ của doanh nghiệp nhận vốn góp.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Tổng mức góp vốn, mua cổ phần của một ngân hàng thương mại vào các doanh nghiệp, kể cả các công ty con, công ty liên kết của ngân hàng thương mại đó không được vượt quá 40% vốn điều lệ và quỹ dự trữ của ngân hàng thương mại.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Mức góp vốn, mua cổ phần của một công ty tài chính và các công ty con, công ty liên kết của công ty tài chính vào một doanh nghiệp theo quy định tại khoản 2 Điều 110 của Luật này không được vượt quá 11% vốn điều lệ của doanh nghiệp nhận vốn góp.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Tổng mức góp vốn, mua cổ phần của một công ty tài chính theo quy định tại khoản 1 Điều 110 của Luật này vào các doanh nghiệp, kể cả các công ty con, công ty liên kết của công ty tài chính đó không được vượt quá 60% vốn điều lệ và quỹ dự trữ của công ty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Tổ chức tín dụng không được góp vốn, mua cổ phần của các doanh nghiệp, tổ chức tín dụng khác là cổ đông, thành viên góp vốn của chính tổ chức tín dụng đó.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130. </w:t>
      </w:r>
      <w:r w:rsidRPr="005F6E83">
        <w:rPr>
          <w:rFonts w:ascii="Arial" w:hAnsi="Arial" w:cs="Arial"/>
          <w:color w:val="auto"/>
          <w:sz w:val="20"/>
          <w:szCs w:val="20"/>
        </w:rPr>
        <w:t xml:space="preserve">Tỷ lệ bảo đảm an toàn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phải duy trì các tỷ lệ bảo đảm an toàn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Tỷ lệ khả năng chi trả;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Tỷ lệ an toàn vốn tối thiểu 8% hoặc tỷ lệ cao hơn theo quy định của Ngân hàng Nhà nước trong từng thời kỳ;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Tỷ lệ tối đa của nguồn vốn ngắn hạn được sử dụng để cho vay trung hạn và dài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Trạng thái ngoại tệ, vàng tối đa so với vốn tự có;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Tỷ lệ dư nợ cho vay so với tổng tiền gửi;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e) Các tỷ lệ tiền gửi trung, dài hạn so với tổng dư nợ cho vay trung, dài hạn.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thương mại, chi nhánh ngân hàng nước ngoài tham gia hệ thống thanh toán liên ngân hàng quốc gia phải nắm giữ số lượng tối thiểu giấy tờ có giá được phép cầm cố theo quy định của Ngân hàng Nhà nước trong từng thời kỳ.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Ngân hàng Nhà nước quy định cụ thể các tỷ lệ bảo đảm an toàn quy định tại khoản 1 Điều này đối với từng loại hình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Tổng số vốn của một tổ chức tín dụng đầu tư vào tổ chức tín dụng khác, công ty con của tổ chức tín dụng dưới hình thức góp vốn, mua cổ phần và các khoản đầu tư dưới hình thức góp vốn, mua cổ phần nhằm nắm quyền kiểm soát các doanh nghiệp hoạt động trong lĩnh vực ngân hàng, bảo hiểm, chứng khoán phải trừ khỏi vốn tự có khi tính các tỷ lệ an toàn.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Trong trường hợp tổ chức tín dụng, chi nhánh ngân hàng nước ngoài không đạt hoặc có khả năng không đạt tỷ lệ an toàn vốn tối thiểu theo quy định tại điểm b khoản 1 Điều này, tổ chức tín dụng, chi nhánh ngân hàng nước ngoài phải báo cáo Ngân hàng Nhà nước giải pháp, kế hoạch khắc phục để bảo đảm tỷ lệ an toàn vốn tối thiểu theo quy định. Ngân hàng Nhà nước áp dụng các biện pháp cần thiết theo quy định tại Điều 149 của Luật này, bao gồm cả việc hạn chế phạm vi hoạt động, xử lý tài sản của tổ chức tín dụng, chi nhánh ngân hàng nước ngoài nhằm bảo đảm để tổ chức tín dụng, chi nhánh ngân hàng nước ngoài đạt tỷ lệ an toàn vốn tối thiểu.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131. </w:t>
      </w:r>
      <w:r w:rsidRPr="005F6E83">
        <w:rPr>
          <w:rFonts w:ascii="Arial" w:hAnsi="Arial" w:cs="Arial"/>
          <w:color w:val="auto"/>
          <w:sz w:val="20"/>
          <w:szCs w:val="20"/>
        </w:rPr>
        <w:t>Dự phòng rủi ro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Việc phân loại tài sản có, mức trích, phương pháp trích lập dự phòng rủi ro và việc sử dụng dự phòng để xử lý rủi ro trong hoạt động do Ngân hàng Nhà nước quy định sau khi thống nhất với Bộ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Trong trường hợp tổ chức tín dụng, chi nhánh ngân hàng nước ngoài thu hồi được vốn đã xử lý bằng khoản dự phòng rủi ro, số tiền thu hồi này được coi là doanh thu của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132. </w:t>
      </w:r>
      <w:r w:rsidRPr="005F6E83">
        <w:rPr>
          <w:rFonts w:ascii="Arial" w:hAnsi="Arial" w:cs="Arial"/>
          <w:color w:val="auto"/>
          <w:sz w:val="20"/>
          <w:szCs w:val="20"/>
        </w:rPr>
        <w:t>Kinh doanh bất động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Tổ chức tín dụng không được kinh doanh bất động sản, trừ các trường hợp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Mua, đầu tư, sở hữu bất động sản để sử dụng làm trụ sở kinh doanh, địa điểm làm việc hoặc cơ sở kho tàng phục vụ trực tiếp cho các hoạt động nghiệp vụ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Cho thuê một phần trụ sở kinh doanh chưa sử dụng hết, thuộc sở hữu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Nắm giữ bất động sản do việc xử lý nợ vay. Trong thời hạn 03 năm, kể từ ngày quyết định xử lý tài sản bảo đảm là bất động sản, tổ chức tín dụng phải bán, chuyển nhượng hoặc mua lại bất động sản này để bảo đảm tỷ lệ đầu tư vào tài sản cố định và mục đích sử dụng tài sản cố định quy định tại Điều 140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133. </w:t>
      </w:r>
      <w:r w:rsidRPr="005F6E83">
        <w:rPr>
          <w:rFonts w:ascii="Arial" w:hAnsi="Arial" w:cs="Arial"/>
          <w:color w:val="auto"/>
          <w:sz w:val="20"/>
          <w:szCs w:val="20"/>
        </w:rPr>
        <w:t xml:space="preserve">Yêu cầu bảo đảm an toàn trong hoạt động ngân hàng điện tử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phải bảo đảm an toàn và bảo mật trong hoạt động ngân hàng điện tử theo hướng dẫn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134. </w:t>
      </w:r>
      <w:r w:rsidRPr="005F6E83">
        <w:rPr>
          <w:rFonts w:ascii="Arial" w:hAnsi="Arial" w:cs="Arial"/>
          <w:color w:val="auto"/>
          <w:sz w:val="20"/>
          <w:szCs w:val="20"/>
        </w:rPr>
        <w:t xml:space="preserve">Quyền, nghĩa vụ của công ty kiểm soát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Công ty đang sở hữu trực tiếp hoặc gián tiếp trên 20% vốn điều lệ hoặc vốn cổ phần có quyền biểu quyết hoặc nắm quyền kiểm soát của một ngân hàng thương mại trước ngày Luật này có hiệu lực; ngân hàng thương mại có công ty con, công ty liên kết (sau đây gọi tắt là công ty kiểm soát) có quyền, nghĩa vụ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1. Tuỳ thuộc vào loại hình pháp lý của công ty con, công ty liên kết, công ty kiểm soát thực hiện quyền, nghĩa vụ của mình với tư cách là thành viên góp vốn, chủ sở hữu hoặc cổ đông trong quan hệ với công ty con, công ty liên kết theo quy định của Luật này và các quy định khác của pháp luật có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Hợp đồng, giao dịch và quan hệ khác giữa công ty kiểm soát với công ty con, công ty liên kết đều phải được thiết lập và thực hiện độc lập, bình đẳng theo điều kiện áp dụng đối với các chủ thể pháp lý độc lập;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Công ty kiểm soát không được can thiệp vào tổ chức, hoạt động của công ty con, công ty liên kết ngoài các quyền của chủ sở hữu, thành viên góp vốn hoặc cổ đông.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135. </w:t>
      </w:r>
      <w:r w:rsidRPr="005F6E83">
        <w:rPr>
          <w:rFonts w:ascii="Arial" w:hAnsi="Arial" w:cs="Arial"/>
          <w:color w:val="auto"/>
          <w:sz w:val="20"/>
          <w:szCs w:val="20"/>
        </w:rPr>
        <w:t>Góp vốn, mua cổ phần giữa các công ty con, công ty liên kết, công ty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Công ty con, công ty liên kết của cùng một công ty kiểm soát không được góp vốn, mua cổ phần của nhau.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Công ty con, công ty liên kết của một tổ chức tín dụng không được góp vốn, mua cổ phần của chính tổ chức tín dụng đó.</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hAnsi="Arial" w:cs="Arial"/>
          <w:color w:val="auto"/>
          <w:sz w:val="20"/>
          <w:szCs w:val="20"/>
        </w:rPr>
        <w:t>3. Tổ chức tín dụng đang là công ty con, công ty liên kết của công ty kiểm soát không được góp vốn, mua cổ phần của công ty kiểm soát đó.</w:t>
      </w:r>
      <w:bookmarkStart w:id="8" w:name="VNS0006"/>
      <w:r w:rsidRPr="005F6E83">
        <w:rPr>
          <w:rFonts w:ascii="Arial" w:eastAsia=".VnTime" w:hAnsi="Arial" w:cs="Arial"/>
          <w:color w:val="auto"/>
          <w:sz w:val="20"/>
          <w:szCs w:val="20"/>
        </w:rPr>
        <w:t xml:space="preserve">  </w:t>
      </w:r>
    </w:p>
    <w:bookmarkEnd w:id="8"/>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VII</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TÀI CHÍNH, HẠCH TOÁN, BÁO CÁO</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136. </w:t>
      </w:r>
      <w:r w:rsidRPr="005F6E83">
        <w:rPr>
          <w:rFonts w:ascii="Arial" w:hAnsi="Arial" w:cs="Arial"/>
          <w:color w:val="auto"/>
          <w:sz w:val="20"/>
          <w:szCs w:val="20"/>
        </w:rPr>
        <w:t xml:space="preserve">Chế độ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Chế độ tài chính của tổ chức tín dụng, chi nhánh ngân hàng nước ngoài được thực hiện theo quy định của Chính phủ.</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137. </w:t>
      </w:r>
      <w:r w:rsidRPr="005F6E83">
        <w:rPr>
          <w:rFonts w:ascii="Arial" w:hAnsi="Arial" w:cs="Arial"/>
          <w:color w:val="auto"/>
          <w:sz w:val="20"/>
          <w:szCs w:val="20"/>
        </w:rPr>
        <w:t>Năm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Năm tài chính của tổ chức tín dụng, chi nhánh ngân hàng nước ngoài bắt đầu từ ngày 01 tháng 01 và kết thúc vào ngày 31 tháng 12 năm dương lịch.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138. </w:t>
      </w:r>
      <w:r w:rsidRPr="005F6E83">
        <w:rPr>
          <w:rFonts w:ascii="Arial" w:hAnsi="Arial" w:cs="Arial"/>
          <w:color w:val="auto"/>
          <w:sz w:val="20"/>
          <w:szCs w:val="20"/>
        </w:rPr>
        <w:t>Hạch toán, kế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phải thực hiện hạch toán, kế toán theo quy định của pháp luật về kế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139. </w:t>
      </w:r>
      <w:r w:rsidRPr="005F6E83">
        <w:rPr>
          <w:rFonts w:ascii="Arial" w:hAnsi="Arial" w:cs="Arial"/>
          <w:color w:val="auto"/>
          <w:sz w:val="20"/>
          <w:szCs w:val="20"/>
        </w:rPr>
        <w:t xml:space="preserve">Quỹ dự trữ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Hằng năm, tổ chức tín dụng, chi nhánh ngân hàng nước ngoài phải trích từ lợi nhuận sau thuế để lập và duy trì các quỹ dự trữ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Quỹ dự trữ bổ sung vốn điều lệ, vốn được cấp được trích hằng năm theo tỷ lệ 5% lợi nhuận sau thuế. Mức tối đa của quỹ này không vượt quá mức vốn điều lệ, vốn được cấp của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Quỹ dự phòng tài chính;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Các quỹ dự trữ khác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Tổ chức tín dụng không được dùng các quỹ quy định tại khoản 1 Điều này để trả cổ tức cho cổ đông</w:t>
      </w:r>
      <w:r w:rsidRPr="005F6E83" w:rsidDel="00E56103">
        <w:rPr>
          <w:rFonts w:ascii="Arial" w:hAnsi="Arial" w:cs="Arial"/>
          <w:color w:val="auto"/>
          <w:sz w:val="20"/>
          <w:szCs w:val="20"/>
        </w:rPr>
        <w:t xml:space="preserve"> </w:t>
      </w:r>
      <w:r w:rsidRPr="005F6E83">
        <w:rPr>
          <w:rFonts w:ascii="Arial" w:hAnsi="Arial" w:cs="Arial"/>
          <w:color w:val="auto"/>
          <w:sz w:val="20"/>
          <w:szCs w:val="20"/>
        </w:rPr>
        <w:t xml:space="preserve">hoặc phân chia lợi nhuận cho chủ sở hữu, thành viên góp vốn.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140. </w:t>
      </w:r>
      <w:r w:rsidRPr="005F6E83">
        <w:rPr>
          <w:rFonts w:ascii="Arial" w:hAnsi="Arial" w:cs="Arial"/>
          <w:color w:val="auto"/>
          <w:sz w:val="20"/>
          <w:szCs w:val="20"/>
        </w:rPr>
        <w:t>Mua, đầu tư vào tài sản cố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được mua, đầu tư vào tài sản cố định phục vụ trực tiếp cho hoạt động không quá 50% vốn điều lệ và quỹ dự trữ bổ sung vốn điều lệ đối với tổ chức tín dụng hoặc không quá 50% vốn được cấp và quỹ dự trữ bổ sung vốn được cấp đối với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141. </w:t>
      </w:r>
      <w:r w:rsidRPr="005F6E83">
        <w:rPr>
          <w:rFonts w:ascii="Arial" w:hAnsi="Arial" w:cs="Arial"/>
          <w:color w:val="auto"/>
          <w:sz w:val="20"/>
          <w:szCs w:val="20"/>
        </w:rPr>
        <w:t>Báo cáo</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1. Tổ chức tín dụng, chi nhánh ngân hàng nước ngoài phải thực hiện chế độ báo cáo theo quy định của pháp luật về kế toán, thống kê và báo cáo hoạt động nghiệp vụ định kỳ theo quy định của Ngân hàng Nhà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Ngoài báo cáo quy định tại khoản 1 Điều này, tổ chức tín dụng, chi nhánh ngân hàng nước ngoài có trách nhiệm báo cáo kịp thời bằng văn bản với Ngân hàng Nhà nước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Phát sinh diễn biến không bình thường trong hoạt động nghiệp vụ có thể ảnh hưởng nghiêm trọng đến tình hình kinh doanh của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Có thay đổi về tổ chức, quản trị, điều hành, tình hình tài chính của cổ đông lớn và các thay đổi khác có ảnh hưởng nghiêm trọng đến hoạt động kinh doanh của tổ chức tín dụng, chi nhánh ngân hàng nước ngoài.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Công ty con, công ty liên kết của tổ chức tín dụng có trách nhiệm gửi báo cáo tài chính, báo cáo hoạt động của mình cho Ngân hàng Nhà nước khi được yêu cầu.</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Trong thời hạn 90 ngày, kể từ ngày kết thúc năm tài chính, tổ chức tín dụng, chi nhánh ngân hàng nước ngoài phải gửi Ngân hàng Nhà nước các báo cáo hằng năm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5. Trong thời hạn 180 ngày, kể từ ngày kết thúc năm tài chính, tổ chức tín dụng liên doanh, tổ chức tín dụng 100% vốn nước ngoài, chi nhánh ngân hàng nước ngoài, văn phòng đại diện tại Việt Nam của tổ chức tín dụng nước ngoài, tổ chức nước ngoài khác có hoạt động ngân hàng phải gửi báo cáo tài chính hằng năm của tổ chức tín dụng nước ngoài, tổ chức nước ngoài khác có hoạt động ngân hàng cho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6. Tổ chức tín dụng liên doanh, tổ chức tín dụng 100% vốn nước ngoài, chi nhánh ngân hàng nước ngoài phải kịp thời báo cáo bằng văn bản với Ngân hàng Nhà nước khi tổ chức tín dụng nước ngoài có thay đổi thuộc một trong những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Chia, tách, sáp nhập, hợp nhất, thanh lý, phá sản, giải thể;</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Đổi tên, chuyển trụ sở chính;</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Thay đổi cổ đông lớn, Hội đồng quản trị, ban điều hành;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Thay đổi bất thường có ảnh hưởng lớn đến tổ chức,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142. </w:t>
      </w:r>
      <w:r w:rsidRPr="005F6E83">
        <w:rPr>
          <w:rFonts w:ascii="Arial" w:hAnsi="Arial" w:cs="Arial"/>
          <w:color w:val="auto"/>
          <w:sz w:val="20"/>
          <w:szCs w:val="20"/>
        </w:rPr>
        <w:t>Báo cáo của công ty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Trong thời hạn 120 ngày, kể từ thời điểm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 2. Trong thời hạn 90 ngày, kể từ ngày kết thúc năm tài chính, công ty kiểm soát phải lập và gửi cho Ngân hàng Nhà nước báo cáo tổng hợp về giao dịch mua, bán và giao dịch khác giữa công ty kiểm soát với công ty con, công ty liên kết của công ty kiểm soát.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143. </w:t>
      </w:r>
      <w:r w:rsidRPr="005F6E83">
        <w:rPr>
          <w:rFonts w:ascii="Arial" w:hAnsi="Arial" w:cs="Arial"/>
          <w:color w:val="auto"/>
          <w:sz w:val="20"/>
          <w:szCs w:val="20"/>
        </w:rPr>
        <w:t>Công khai báo cáo tài chính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Trong thời hạn 120 ngày, kể từ ngày kết thúc năm tài chính, tổ chức tín dụng, chi nhánh ngân hàng nước ngoài phải công khai các báo cáo tài chính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144. </w:t>
      </w:r>
      <w:r w:rsidRPr="005F6E83">
        <w:rPr>
          <w:rFonts w:ascii="Arial" w:hAnsi="Arial" w:cs="Arial"/>
          <w:color w:val="auto"/>
          <w:sz w:val="20"/>
          <w:szCs w:val="20"/>
        </w:rPr>
        <w:t>Chuyển lợi nhuận, chuyển tài sản ra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Chi nhánh ngân hàng nước ngoài, tổ chức tín dụng 100% vốn nước ngoài tại Việt Nam được chuyển ra nước ngoài số lợi nhuận còn lại sau khi đã trích lập các quỹ và thực hiện đầy đủ các nghĩa vụ tài chính theo quy định của pháp luật Việt Nam.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Bên nước ngoài trong tổ chức tín dụng liên doanh được chuyển ra nước ngoài số lợi nhuận được chia sau khi tổ chức tín dụng liên doanh đã trích lập các quỹ và thực hiện đầy đủ các nghĩa vụ tài chính theo quy định của pháp luật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Chi nhánh ngân hàng nước ngoài, tổ chức tín dụng 100% vốn nước ngoài và bên nước ngoài trong tổ chức tín dụng liên doanh được chuyển ra nước ngoài số tài sản còn lại của mình sau khi đã thanh lý, kết thúc hoạt động tại Việt Nam.</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4. Việc chuyển tiền và tài sản khác ra nước ngoài quy định tại các khoản 1, 2 và 3 Điều này được thực hiện theo quy định của pháp luật Việt </w:t>
      </w:r>
      <w:smartTag w:uri="urn:schemas-microsoft-com:office:smarttags" w:element="country-region">
        <w:smartTag w:uri="urn:schemas-microsoft-com:office:smarttags" w:element="place">
          <w:r w:rsidRPr="005F6E83">
            <w:rPr>
              <w:rFonts w:ascii="Arial" w:hAnsi="Arial" w:cs="Arial"/>
              <w:color w:val="auto"/>
              <w:sz w:val="20"/>
              <w:szCs w:val="20"/>
            </w:rPr>
            <w:t>Nam</w:t>
          </w:r>
        </w:smartTag>
      </w:smartTag>
      <w:r w:rsidRPr="005F6E83">
        <w:rPr>
          <w:rFonts w:ascii="Arial" w:hAnsi="Arial" w:cs="Arial"/>
          <w:color w:val="auto"/>
          <w:sz w:val="20"/>
          <w:szCs w:val="20"/>
        </w:rPr>
        <w:t>.</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VIII</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KIỂM SOÁT ĐẶC BIỆT, TỔ CHỨC LẠI, </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PHÁ SẢN, GIẢI THỂ, THANH LÝ TỔ CHỨC TÍN DỤNG</w:t>
      </w:r>
    </w:p>
    <w:p w:rsid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1</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KIỂM SOÁT ĐẶC BIỆT</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145. </w:t>
      </w:r>
      <w:r w:rsidRPr="005F6E83">
        <w:rPr>
          <w:rFonts w:ascii="Arial" w:hAnsi="Arial" w:cs="Arial"/>
          <w:color w:val="auto"/>
          <w:sz w:val="20"/>
          <w:szCs w:val="20"/>
        </w:rPr>
        <w:t>Báo cáo khó khăn về khả năng chi trả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Khi có nguy cơ mất khả năng chi trả, tổ chức tín dụng phải kịp thời báo cáo với Ngân hàng Nhà nước về thực trạng tài chính, nguyên nhân và các biện pháp đã áp dụng, dự kiến áp dụng để khắc phục.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146.</w:t>
      </w:r>
      <w:r w:rsidRPr="005F6E83">
        <w:rPr>
          <w:rFonts w:ascii="Arial" w:hAnsi="Arial" w:cs="Arial"/>
          <w:color w:val="auto"/>
          <w:sz w:val="20"/>
          <w:szCs w:val="20"/>
        </w:rPr>
        <w:t xml:space="preserve"> Áp dụng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Kiểm soát đặc biệt là việc một tổ chức tín dụng bị đặt dưới sự kiểm soát trực tiếp của Ngân hàng Nhà nước do có nguy cơ mất khả năng chi trả, mất khả năng thanh toán.</w:t>
      </w:r>
      <w:r w:rsidRPr="005F6E83">
        <w:rPr>
          <w:rFonts w:ascii="Arial" w:hAnsi="Arial" w:cs="Arial"/>
          <w:color w:val="auto"/>
          <w:sz w:val="20"/>
          <w:szCs w:val="20"/>
        </w:rPr>
        <w:tab/>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có trách nhiệm kiểm tra, phát hiện kịp thời những trường hợp có nguy cơ mất khả năng chi trả, mất khả năng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Ngân hàng Nhà nước xem xét, đặt tổ chức tín dụng vào tình trạng kiểm soát đặc biệt khi tổ chức tín dụng lâm vào một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Có nguy cơ mất khả năng chi trả;</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Nợ không có khả năng thu hồi có nguy cơ dẫn đến mất khả năng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Khi số lỗ lũy kế của tổ chức tín dụng lớn hơn 50% giá trị thực của vốn điều lệ và các quỹ dự trữ ghi trong báo cáo tài chính đã được kiểm toán gần nhất;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d) Hai năm liên tục bị xếp loại yếu kém theo quy định của Ngân hàng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đ) Không duy trì được tỷ lệ an toàn vốn tối thiểu quy định tại điểm b, khoản 1 Điều 130 của Luật này trong thời hạn một năm liên tục hoặc tỷ lệ an toàn vốn tối thiểu thấp hơn 4% trong thời hạn 06 tháng liên tục.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147. </w:t>
      </w:r>
      <w:r w:rsidRPr="005F6E83">
        <w:rPr>
          <w:rFonts w:ascii="Arial" w:hAnsi="Arial" w:cs="Arial"/>
          <w:color w:val="auto"/>
          <w:sz w:val="20"/>
          <w:szCs w:val="20"/>
        </w:rPr>
        <w:t>Quyết định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Ngân hàng Nhà nước quyết định đặt tổ chức tín dụng vào tình trạng kiểm soát đặc biệt và thành lập Ban kiểm soát đặc biệt.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Quyết định đặt tổ chức tín dụng vào tình trạng kiểm soát đặc biệt gồm các nội dung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a) Tên tổ chức tín dụng được kiểm soát đặc biệt;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b) Lý do kiểm soát đặc biệt;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Họ, tên thành viên và nhiệm vụ cụ thể của Ban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Thời hạn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Quyết định kiểm soát đặc biệt được Ngân hàng Nhà nước thông báo với cơ quan nhà nước có thẩm quyền và các cơ quan hữu quan trên địa bàn để phối hợp thực hiện.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Ngân hàng Nhà nước quy định cụ thể việc công bố thông tin kiểm soát đặc biệt đối với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lastRenderedPageBreak/>
        <w:t xml:space="preserve">Điều 148. </w:t>
      </w:r>
      <w:r w:rsidRPr="005F6E83">
        <w:rPr>
          <w:rFonts w:ascii="Arial" w:hAnsi="Arial" w:cs="Arial"/>
          <w:color w:val="auto"/>
          <w:sz w:val="20"/>
          <w:szCs w:val="20"/>
        </w:rPr>
        <w:t>Nhiệm vụ, quyền hạn của Ban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Ban kiểm soát đặc biệt có những nhiệm vụ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Chỉ đạo Hội đồng quản trị, Hội đồng thành viên, Ban kiểm soát, Tổng giám đốc (Giám đốc) và các chức danh tương đương của tổ chức tín dụng được đặt vào tình trạng kiểm soát đặc biệt xây dựng phương án củng cố tổ chức và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Chỉ đạo và giám sát việc triển khai các giải pháp được nêu trong phương án củng cố tổ chức và hoạt động đã được Ban kiểm soát đặc biệt thông qua;</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Báo cáo Ngân hàng Nhà nước về tình hình hoạt động, kết quả thực hiện phương án củng cố tổ chức và hoạt động.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Ban kiểm soát đặc biệt có những quyền hạn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Đình chỉ hoạt động không phù hợp với phương án củng cố tổ chức và hoạt động đã được thông qua, vi phạm quy định về an toàn trong hoạt động ngân hàng có thể gây tổn hại đến lợi ích của người gửi tiền;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Đình chỉ, tạm đình chỉ quyền quản trị, điều hành, kiểm soát tổ chức tín dụng của thành viên Hội đồng quản trị, Hội đồng thành viên, Ban kiểm soát; Tổng giám đốc (Giám đốc), Phó Tổng giám đốc (Phó giám đốc) nếu xét thấy cần thiết;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c) Yêu cầu Hội đồng quản trị, Hội đồng thành viên, Tổng giám đốc (Giám đốc) miễn nhiệm, đình chỉ công tác đối với người có hành vi vi phạm pháp luật, không chấp hành phương án củng cố tổ chức và hoạt động đã được thông qua;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d) Kiến nghị Ngân hàng Nhà nước quyết định gia hạn hoặc chấm dứt thời hạn kiểm soát đặc biệt, cho vay đặc biệt hoặc chấm dứt cho vay đặc biệt đối với tổ chức tín dụng, mua cổ phần của tổ chức tín dụng, thanh lý, thu hồi giấy phép hoạt động của tổ chức tín dụng, tiếp quản, sáp nhập, hợp nhất, mua lại bắt buộc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đ) Yêu cầu tổ chức tín dụng nộp đơn yêu cầu Tòa án mở thủ tục phá sản theo quy định của pháp luật về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Ban kiểm soát đặc biệt chịu trách nhiệm về các quyết định của mình trong quá trình thực hiện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149. </w:t>
      </w:r>
      <w:r w:rsidRPr="005F6E83">
        <w:rPr>
          <w:rFonts w:ascii="Arial" w:hAnsi="Arial" w:cs="Arial"/>
          <w:color w:val="auto"/>
          <w:sz w:val="20"/>
          <w:szCs w:val="20"/>
        </w:rPr>
        <w:t>Thẩm quyền của Ngân hàng Nhà nước đối với tổ chức tín dụng được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Ngân hàng Nhà nước quyết định xử lý kiến nghị của Ban kiểm soát đặc biệt quy định tại điểm d khoản 2 Điều 148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có quyền yêu cầu chủ sở hữu tăng vốn, xây dựng, thực hiện kế hoạch tái cơ cấu hoặc bắt buộc sáp nhập, hợp nhất, mua lại đối với tổ chức tín dụng được kiểm soát đặc biệt, nếu chủ sở hữu không có khả năng hoặc không thực hiện việc tăng vốn.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Ngân hàng Nhà nước có quyền trực tiếp hoặc chỉ định tổ chức tín dụng khác góp vốn, mua cổ phần của tổ chức tín dụng được kiểm soát đặc biệt trong trường hợp tổ chức tín dụng được kiểm soát đặc biệt không có khả năng thực hiện yêu cầu của Ngân hàng Nhà nước quy định tại khoản 2 Điều này hoặc khi Ngân hàng Nhà nước xác định số lỗ lũy kế của tổ chức tín dụng đã vượt quá giá trị thực của vốn điều lệ và các quỹ dự trữ của tổ chức tín dụng được kiểm soát đặc biệt ghi trong báo cáo tài chính đã được kiểm toán gần nhất và việc chấm dứt hoạt động của tổ chức tín dụng được kiểm soát đặc biệt có thể gây mất an toàn hệ thống tổ chức tín dụng.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Việc góp vốn, mua cổ phần quy định tại khoản 3 Điều này thực hiện theo quy định của Thủ tướng Chính phủ.</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150. </w:t>
      </w:r>
      <w:r w:rsidRPr="005F6E83">
        <w:rPr>
          <w:rFonts w:ascii="Arial" w:hAnsi="Arial" w:cs="Arial"/>
          <w:color w:val="auto"/>
          <w:sz w:val="20"/>
          <w:szCs w:val="20"/>
        </w:rPr>
        <w:t>Trách nhiệm của tổ chức tín dụng được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Hội đồng quản trị, Hội đồng thành viên, Ban kiểm soát, Tổng giám đốc (Giám đốc) của tổ chức tín dụng được kiểm soát đặc biệt có trách nhiệm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1. Xây dựng phương án củng cố tổ chức và hoạt động của tổ chức tín dụng trình Ban kiểm soát đặc biệt thông qua và tổ chức triển khai thực hiện phương án đó;</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Tiếp tục quản trị, kiểm soát, điều hành hoạt động và bảo đảm an toàn tài sản của tổ chức tín dụng, trừ trường hợp quy định tại điểm b khoản 2 Điều 148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Chấp hành yêu cầu của Ban kiểm soát đặc biệt liên quan đến tổ chức, quản trị, kiểm soát, điều hành tổ chức tín dụng quy định tại các điểm a, b, c và đ khoản 2 Điều 148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Thực hiện yêu cầu của Ngân hàng Nhà nước quy định tại Điều 149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151.</w:t>
      </w:r>
      <w:r w:rsidRPr="005F6E83">
        <w:rPr>
          <w:rFonts w:ascii="Arial" w:hAnsi="Arial" w:cs="Arial"/>
          <w:color w:val="auto"/>
          <w:sz w:val="20"/>
          <w:szCs w:val="20"/>
        </w:rPr>
        <w:t xml:space="preserve"> Khoản vay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được vay đặc biệt của Ngân hàng Nhà nước và các tổ chức tín dụng khác trong các trường hợp sau đây: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Tổ chức tín dụng lâm vào tình trạng mất khả năng chi trả, đe dọa sự ổn định của hệ thống các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Tổ chức tín dụng có nguy cơ mất khả năng chi trả do các sự cố nghiêm trọng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Khoản vay đặc biệt được ưu tiên hoàn trả trước tất cả các khoản nợ khác, kể cả các khoản nợ có tài sản bảo đảm của tổ chức tín dụng hoặc được chuyển đổi thành phần vốn góp, vốn cổ phần tại tổ chức tín dụng liên quan quy định tại Điều 149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Ngân hàng Nhà nước quy định cụ thể việc cho vay đặc biệt đối với các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152. </w:t>
      </w:r>
      <w:r w:rsidRPr="005F6E83">
        <w:rPr>
          <w:rFonts w:ascii="Arial" w:hAnsi="Arial" w:cs="Arial"/>
          <w:color w:val="auto"/>
          <w:sz w:val="20"/>
          <w:szCs w:val="20"/>
        </w:rPr>
        <w:t>Chấm dứt kiểm soát đặc biệt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Ngân hàng Nhà nước quyết định chấm dứt kiểm soát đặc biệt đối với tổ chức tín dụng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a) Hoạt động của tổ chức tín dụng trở lại bình thường;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b) Trong quá trình kiểm soát đặc biệt, tổ chức tín dụng được sáp nhập, hợp nhất vào một tổ chức tín dụng khác;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c) Tổ chức tín dụng không khôi phục được khả năng thanh toán.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Quyết định chấm dứt kiểm soát đặc biệt được thông báo cho các tổ chức, cá nhân liên quan.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Trường hợp chấm dứt kiểm soát đặc biệt theo quy định tại điểm c khoản 1 Điều này, Ngân hàng Nhà nước có văn bản chấm dứt việc áp dụng các biện pháp phục hồi khả năng thanh toán gửi Tòa án.</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Mục 2</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 xml:space="preserve">TỔ CHỨC LẠI, GIẢI THỂ, PHÁ SẢN, </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THANH LÝ, PHONG TỎA VỐN, TÀI SẢN</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153.</w:t>
      </w:r>
      <w:r w:rsidRPr="005F6E83">
        <w:rPr>
          <w:rFonts w:ascii="Arial" w:hAnsi="Arial" w:cs="Arial"/>
          <w:color w:val="auto"/>
          <w:sz w:val="20"/>
          <w:szCs w:val="20"/>
        </w:rPr>
        <w:t xml:space="preserve"> Tổ chức lại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Tổ chức tín dụng được tổ chức lại dưới hình thức chia, tách, hợp nhất, sáp nhập, chuyển đổi hình thức pháp lý sau khi được Ngân hàng Nhà nước chấp thuận bằng văn bản.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quy định cụ thể điều kiện, hồ sơ, trình tự, thủ tục chấp thuận việc tổ chức lại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154. </w:t>
      </w:r>
      <w:r w:rsidRPr="005F6E83">
        <w:rPr>
          <w:rFonts w:ascii="Arial" w:hAnsi="Arial" w:cs="Arial"/>
          <w:color w:val="auto"/>
          <w:sz w:val="20"/>
          <w:szCs w:val="20"/>
        </w:rPr>
        <w:t>Giải thể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Tổ chức tín dụng, chi nhánh ngân hàng nước ngoài giải thể trong các trường hợp sau đây: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Tự nguyện xin giải thể nếu có khả năng thanh toán hết nợ và được Ngân hàng Nhà nước chấp thuận bằng văn bản;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Khi hết thời hạn hoạt động không xin gia hạn hoặc xin gia hạn nhưng không được Ngân hàng Nhà nước chấp thuận bằng văn bản;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3. Bị thu hồi Giấy phép.</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155.</w:t>
      </w:r>
      <w:r w:rsidRPr="005F6E83">
        <w:rPr>
          <w:rFonts w:ascii="Arial" w:hAnsi="Arial" w:cs="Arial"/>
          <w:color w:val="auto"/>
          <w:sz w:val="20"/>
          <w:szCs w:val="20"/>
        </w:rPr>
        <w:t xml:space="preserve"> Phá sản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1. Sau khi Ngân hàng Nhà nước có văn bản chấm dứt kiểm soát đặc biệt hoặc văn bản chấm dứt áp dụng hoặc văn bản không áp dụng các biện pháp phục hồi khả năng thanh toán mà tổ chức tín dụng vẫn lâm vào tình trạng phá sản, thì tổ chức tín dụng đó phải làm đơn yêu cầu Tòa án mở thủ tục giải quyết yêu cầu tuyên bố phá sản theo quy định của pháp luật về phá sản.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Khi nhận được yêu cầu mở thủ tục phá sản tổ chức tín dụng theo quy định tại khoản 1 Điều này, Tòa án mở thủ tục giải quyết yêu cầu tuyên bố phá sản và áp dụng ngay thủ tục thanh lý tài sản của tổ chức tín dụng theo quy định của pháp luật về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 Điều 156. </w:t>
      </w:r>
      <w:r w:rsidRPr="005F6E83">
        <w:rPr>
          <w:rFonts w:ascii="Arial" w:hAnsi="Arial" w:cs="Arial"/>
          <w:color w:val="auto"/>
          <w:sz w:val="20"/>
          <w:szCs w:val="20"/>
        </w:rPr>
        <w:t>Thanh lý tài sản của tổ chức tín dụng</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Trong trường hợp tổ chức tín dụng bị tuyên bố phá sản, việc thanh lý tài sản của tổ chức tín dụng được thực hiện theo quy định của pháp luật về phá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Khi giải thể theo quy định tại Điều 154 của Luật này, tổ chức tín dụng phải tiến hành thanh lý tài sản dưới sự giám sát của Ngân hàng Nhà nước và theo trình tự, thủ tục thanh lý tài sản do Ngân hàng Nhà nước quy định.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3. Trong quá trình giám sát thanh lý tài sản tổ chức tín dụng quy định tại khoản 2 Điều này, nếu phát hiện tổ chức tín dụng không có khả năng thanh toán đầy đủ các khoản nợ, Ngân hàng Nhà nước ra quyết định chấm dứt thanh lý và yêu cầu tổ chức tín dụng nộp đơn yêu cầu mở thủ tục phá sản tổ chức tín dụng quy định tại Điều 155 của Luật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Tổ chức tín dụng bị thanh lý có trách nhiệm thanh toán các chi phí liên quan đến việc thanh lý tài sản.</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157. </w:t>
      </w:r>
      <w:r w:rsidRPr="005F6E83">
        <w:rPr>
          <w:rFonts w:ascii="Arial" w:hAnsi="Arial" w:cs="Arial"/>
          <w:color w:val="auto"/>
          <w:sz w:val="20"/>
          <w:szCs w:val="20"/>
        </w:rPr>
        <w:t>Phong tỏa vốn, tài sản của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Trong trường hợp cần thiết nhằm bảo vệ quyền lợi của người gửi tiền, Ngân hàng Nhà nước phong tỏa một phần hoặc toàn bộ vốn, tài sản của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Ngân hàng Nhà nước quy định cụ thể các trường hợp phong tỏa, chấm dứt phong tỏa vốn và tài sản của chi nhánh ngân hàng nước ngoài. </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IX</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CƠ QUAN QUẢN LÝ NHÀ NƯỚC</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158. </w:t>
      </w:r>
      <w:r w:rsidRPr="005F6E83">
        <w:rPr>
          <w:rFonts w:ascii="Arial" w:hAnsi="Arial" w:cs="Arial"/>
          <w:color w:val="auto"/>
          <w:sz w:val="20"/>
          <w:szCs w:val="20"/>
        </w:rPr>
        <w:t xml:space="preserve">Cơ quan quản lý nhà nước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Chính phủ thống nhất quản lý nhà nước về hoạt động ngân hàng trong phạm vi cả nước.</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2. Ngân hàng Nhà nước chịu trách nhiệm trước Chính phủ thực hiện việc quản lý nhà nước về tổ chức, hoạt động của các tổ chức tín dụng, chi nhánh ngân hàng nước ngoài.</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3. Bộ, cơ quan ngang bộ trong phạm vi nhiệm vụ, quyền hạn của mình có trách nhiệm quản lý nhà nước đối với tổ chức tín dụng, chi nhánh ngân hàng nước ngoài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Ủy ban nhân dân các cấp thực hiện việc quản lý nhà nước đối với tổ chức tín dụng, chi nhánh ngân hàng nước ngoài hoạt động tại địa phương theo quy định của pháp luật.</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159. </w:t>
      </w:r>
      <w:r w:rsidRPr="005F6E83">
        <w:rPr>
          <w:rFonts w:ascii="Arial" w:hAnsi="Arial" w:cs="Arial"/>
          <w:color w:val="auto"/>
          <w:sz w:val="20"/>
          <w:szCs w:val="20"/>
        </w:rPr>
        <w:t xml:space="preserve">Thẩm quyền kiểm tra, thanh tra, giám sát </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t>Ngân hàng Nhà nước thực hiện kiểm tra, thanh tra, giám sát đối với tổ chức tín dụng, chi nhánh ngân hàng nước ngoài, văn phòng đại diện tại Việt Nam của tổ chức tín dụng nước ngoài, tổ chức nước ngoài khác có hoạt động ngân hàng.</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b/>
          <w:color w:val="auto"/>
          <w:sz w:val="20"/>
          <w:szCs w:val="20"/>
        </w:rPr>
        <w:t xml:space="preserve">Điều 160. </w:t>
      </w:r>
      <w:r w:rsidRPr="005F6E83">
        <w:rPr>
          <w:rFonts w:ascii="Arial" w:eastAsia=".VnTime" w:hAnsi="Arial" w:cs="Arial"/>
          <w:color w:val="auto"/>
          <w:sz w:val="20"/>
          <w:szCs w:val="20"/>
        </w:rPr>
        <w:t xml:space="preserve">Quyền, nghĩa vụ của đối tượng thanh tra, giám sát </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lastRenderedPageBreak/>
        <w:t>1. Cung cấp kịp thời, đầy đủ, chính xác các thông tin, tài liệu theo yêu cầu của Ngân hàng Nhà nước trong quá trình thanh tra, giám sát, đồng thời phải chịu trách nhiệm về tính chính xác, trung thực của thông tin, tài liệu đã cung cấp.</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t>2. Báo cáo, giải trình đối với kiến nghị, khuyến nghị, cảnh báo rủi ro và an toàn hoạt động của Ngân hàng Nhà nước.</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t>3. Thực hiện kiến nghị, khuyến nghị, cảnh báo rủi ro và an toàn hoạt động của Ngân hàng Nhà nước.</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t>4. Thực hiện kết luận thanh tra, quyết định xử lý của Ngân hàng Nhà nước.</w:t>
      </w:r>
      <w:r w:rsidRPr="005F6E83" w:rsidDel="00434EAA">
        <w:rPr>
          <w:rFonts w:ascii="Arial" w:eastAsia=".VnTime" w:hAnsi="Arial" w:cs="Arial"/>
          <w:color w:val="auto"/>
          <w:sz w:val="20"/>
          <w:szCs w:val="20"/>
        </w:rPr>
        <w:t xml:space="preserve"> </w:t>
      </w:r>
    </w:p>
    <w:p w:rsidR="005F6E83" w:rsidRPr="005F6E83" w:rsidRDefault="005F6E83" w:rsidP="005F6E83">
      <w:pPr>
        <w:spacing w:after="120"/>
        <w:ind w:firstLine="720"/>
        <w:jc w:val="both"/>
        <w:rPr>
          <w:rFonts w:ascii="Arial" w:eastAsia=".VnTime" w:hAnsi="Arial" w:cs="Arial"/>
          <w:color w:val="auto"/>
          <w:sz w:val="20"/>
          <w:szCs w:val="20"/>
        </w:rPr>
      </w:pPr>
      <w:r w:rsidRPr="005F6E83">
        <w:rPr>
          <w:rFonts w:ascii="Arial" w:eastAsia=".VnTime" w:hAnsi="Arial" w:cs="Arial"/>
          <w:color w:val="auto"/>
          <w:sz w:val="20"/>
          <w:szCs w:val="20"/>
        </w:rPr>
        <w:t>5. Các quyền, nghĩa vụ khác theo quy định của pháp luật.</w:t>
      </w: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CHƯƠNG X</w:t>
      </w:r>
    </w:p>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ĐIỀU KHOẢN THI HÀNH</w:t>
      </w:r>
    </w:p>
    <w:p w:rsidR="005F6E83" w:rsidRPr="005F6E83" w:rsidRDefault="005F6E83" w:rsidP="005F6E83">
      <w:pPr>
        <w:jc w:val="center"/>
        <w:rPr>
          <w:rFonts w:ascii="Arial" w:hAnsi="Arial" w:cs="Arial"/>
          <w:b/>
          <w:color w:val="auto"/>
          <w:sz w:val="20"/>
          <w:szCs w:val="20"/>
        </w:rPr>
      </w:pP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Điều 161.</w:t>
      </w:r>
      <w:r w:rsidRPr="005F6E83">
        <w:rPr>
          <w:rFonts w:ascii="Arial" w:hAnsi="Arial" w:cs="Arial"/>
          <w:color w:val="auto"/>
          <w:sz w:val="20"/>
          <w:szCs w:val="20"/>
        </w:rPr>
        <w:t xml:space="preserve"> Quy định chuyển tiếp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Tổ chức tín dụng, chi nhánh ngân hàng nước ngoài, văn phòng đại diện của tổ chức tín dụng nước ngoài, tổ chức nước ngoài khác có hoạt động ngân hàng đã thành lập và hoạt động theo Giấy phép do Ngân hàng Nhà nước cấp trước ngày Luật này có hiệu lực thi hành không phải xin cấp lại Giấy phép theo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Trong thời hạn 02 năm, kể từ ngày Luật này có hiệu lực thi hành, tổ chức tín dụng, chi nhánh ngân hàng nước ngoài đã thành lập và hoạt động theo Giấy phép do Ngân hàng Nhà nước cấp trước ngày Luật này có hiệu lực thi hành phải hoàn tất việc điều chỉnh cơ cấu tổ chức theo quy định của Luật này, trừ trường hợp quy định tại các khoản 3, 4 và 5 Điều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 3. Kể từ ngày Luật này có hiệu lực thi hành, việc bầu, bổ nhiệm hoặc bổ sung, thay thế thành viên Hội đồng quản trị, thành viên Hội đồng thành viên, thành viên Ban kiểm soát, Tổng giám đốc (Giám đốc), Phó Tổng giám đốc (Phó giám đốc), Kế toán trưởng, Giám đốc Chi nhánh, Giám đốc công ty con và chức danh tương đương của tổ chức tín dụng; Tổng giám đốc (Giám đốc) của chi nhánh ngân hàng nước ngoài phải thực hiện theo quy định tại các điều 33, 34, 43, 44, 48, 50, 51, 62, 66, 70 và 89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4. Đối với các hợp đồng cấp tín dụng được ký kết trước ngày Luật này có hiệu lực thi hành, tổ chức tín dụng, chi nhánh ngân hàng nước ngoài và khách hàng được tiếp tục thực hiện theo các thỏa thuận đã ký kết cho đến hết thời hạn của hợp đồng cấp tín dụng. Việc sửa đổi, bổ sung hợp đồng cấp tín dụng nói trên chỉ được thực hiện nếu nội dung sửa đổi, bổ sung phù hợp với các quy định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5. Ngân hàng Nhà nước hướng dẫn cụ thể thời hạn, trình tự, thủ tục chuyển tiếp đối với các tổ chức tín dụng, chi nhánh ngân hàng nước ngoài đang hoạt động trước ngày Luật này có hiệu lực thi hành không phù hợp với quy định tại các điều 55, 103, 110, 115, 129 và 135 của Luật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6. Chương trình, dự án tài chính vi mô của tổ chức chính trị, tổ chức chính trị - xã hội, tổ chức phi chính phủ, tổ chức tín dụng đang thực hiện trước ngày Luật này có hiệu lực thi hành không phải điều chỉnh tổ chức và hoạt động theo quy định của Luật này. Thủ tướng Chính phủ quy định cụ thể hoạt động của các chương trình, dự án tài chính vi mô quy định tại khoản này.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7. Kể từ thời điểm Luật này có hiệu lực thi hành, các tổ chức không phải là tổ chức tín dụng đang thực hiện một hoặc một số hoạt động ngân hàng phải chấm dứt ngay các hoạt động ngân hàng, trừ trường hợp quy định tại khoản 6 Điều này.</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162. </w:t>
      </w:r>
      <w:r w:rsidRPr="005F6E83">
        <w:rPr>
          <w:rFonts w:ascii="Arial" w:hAnsi="Arial" w:cs="Arial"/>
          <w:color w:val="auto"/>
          <w:sz w:val="20"/>
          <w:szCs w:val="20"/>
        </w:rPr>
        <w:t>Hiệu lực thi hành</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1. Luật này có hiệu lực thi hành từ ngày 01 tháng 01 năm 2011.</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t xml:space="preserve">2. Luật các tổ chức tín dụng số 02/1997/QH10 và Luật sửa đổi, bổ sung một số điều của Luật các tổ chức tín dụng số 20/2004/QH11 hết hiệu lực kể từ ngày Luật này có hiệu lực.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b/>
          <w:color w:val="auto"/>
          <w:sz w:val="20"/>
          <w:szCs w:val="20"/>
        </w:rPr>
        <w:t xml:space="preserve">Điều 163. </w:t>
      </w:r>
      <w:r w:rsidRPr="005F6E83">
        <w:rPr>
          <w:rFonts w:ascii="Arial" w:hAnsi="Arial" w:cs="Arial"/>
          <w:color w:val="auto"/>
          <w:sz w:val="20"/>
          <w:szCs w:val="20"/>
        </w:rPr>
        <w:t xml:space="preserve">Quy định chi tiết và hướng dẫn thi hành </w:t>
      </w:r>
    </w:p>
    <w:p w:rsidR="005F6E83" w:rsidRPr="005F6E83" w:rsidRDefault="005F6E83" w:rsidP="005F6E83">
      <w:pPr>
        <w:spacing w:after="120"/>
        <w:ind w:firstLine="720"/>
        <w:jc w:val="both"/>
        <w:rPr>
          <w:rFonts w:ascii="Arial" w:hAnsi="Arial" w:cs="Arial"/>
          <w:color w:val="auto"/>
          <w:sz w:val="20"/>
          <w:szCs w:val="20"/>
        </w:rPr>
      </w:pPr>
      <w:r w:rsidRPr="005F6E83">
        <w:rPr>
          <w:rFonts w:ascii="Arial" w:hAnsi="Arial" w:cs="Arial"/>
          <w:color w:val="auto"/>
          <w:sz w:val="20"/>
          <w:szCs w:val="20"/>
        </w:rPr>
        <w:lastRenderedPageBreak/>
        <w:t>Chính phủ quy định chi tiết và hướng dẫn thi hành các điều, khoản được giao trong Luật; hướng dẫn những nội dung cần thiết khác trong Luật này để đáp ứng yêu cầu quản lý nhà nước.</w:t>
      </w:r>
    </w:p>
    <w:p w:rsidR="005F6E83" w:rsidRPr="005F6E83" w:rsidRDefault="005F5B34" w:rsidP="005F6E83">
      <w:pPr>
        <w:rPr>
          <w:rFonts w:ascii="Arial" w:hAnsi="Arial" w:cs="Arial"/>
          <w:color w:val="auto"/>
          <w:sz w:val="20"/>
          <w:szCs w:val="20"/>
        </w:rPr>
      </w:pPr>
      <w:r w:rsidRPr="005F6E83">
        <w:rPr>
          <w:rFonts w:ascii="Arial" w:hAnsi="Arial" w:cs="Arial"/>
          <w:noProof/>
          <w:color w:val="auto"/>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190500</wp:posOffset>
                </wp:positionV>
                <wp:extent cx="5571490" cy="0"/>
                <wp:effectExtent l="9525" t="6350" r="10160" b="127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1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8560749"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38.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2an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fTpyxfgG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"/>
            </w:pict>
          </mc:Fallback>
        </mc:AlternateContent>
      </w:r>
    </w:p>
    <w:p w:rsidR="005F6E83" w:rsidRPr="005F6E83" w:rsidRDefault="005F6E83" w:rsidP="005F6E83">
      <w:pPr>
        <w:rPr>
          <w:rFonts w:ascii="Arial" w:hAnsi="Arial" w:cs="Arial"/>
          <w:color w:val="auto"/>
          <w:sz w:val="20"/>
          <w:szCs w:val="20"/>
        </w:rPr>
      </w:pPr>
    </w:p>
    <w:p w:rsidR="005F6E83" w:rsidRPr="005F6E83" w:rsidRDefault="005F6E83" w:rsidP="005F6E83">
      <w:pPr>
        <w:ind w:firstLine="720"/>
        <w:jc w:val="both"/>
        <w:rPr>
          <w:rFonts w:ascii="Arial" w:hAnsi="Arial" w:cs="Arial"/>
          <w:i/>
          <w:color w:val="auto"/>
          <w:sz w:val="20"/>
          <w:szCs w:val="20"/>
        </w:rPr>
      </w:pPr>
      <w:r w:rsidRPr="005F6E83">
        <w:rPr>
          <w:rFonts w:ascii="Arial" w:hAnsi="Arial" w:cs="Arial"/>
          <w:i/>
          <w:color w:val="auto"/>
          <w:sz w:val="20"/>
          <w:szCs w:val="20"/>
        </w:rPr>
        <w:t>Luật này đã được Quốc hội nước Cộng hòa xã hội chủ nghĩa Việt Nam khóa XII, kỳ họp thứ 7 thông qua ngày 16 tháng 6 năm 2010.</w:t>
      </w:r>
    </w:p>
    <w:p w:rsidR="005F6E83" w:rsidRPr="005F6E83" w:rsidRDefault="005F6E83" w:rsidP="005F6E83">
      <w:pPr>
        <w:rPr>
          <w:rFonts w:ascii="Arial" w:hAnsi="Arial" w:cs="Arial"/>
          <w:color w:val="auto"/>
          <w:sz w:val="20"/>
          <w:szCs w:val="20"/>
        </w:rPr>
      </w:pPr>
      <w:r w:rsidRPr="005F6E83">
        <w:rPr>
          <w:rFonts w:ascii="Arial" w:hAnsi="Arial" w:cs="Arial"/>
          <w:color w:val="auto"/>
          <w:sz w:val="20"/>
          <w:szCs w:val="20"/>
        </w:rPr>
        <w:t xml:space="preserve">                                                          </w:t>
      </w:r>
    </w:p>
    <w:tbl>
      <w:tblPr>
        <w:tblW w:w="9000" w:type="dxa"/>
        <w:tblInd w:w="108" w:type="dxa"/>
        <w:tblLook w:val="01E0" w:firstRow="1" w:lastRow="1" w:firstColumn="1" w:lastColumn="1" w:noHBand="0" w:noVBand="0"/>
      </w:tblPr>
      <w:tblGrid>
        <w:gridCol w:w="4608"/>
        <w:gridCol w:w="4392"/>
      </w:tblGrid>
      <w:tr w:rsidR="005F6E83" w:rsidRPr="005F6E83" w:rsidTr="00C1668F">
        <w:tc>
          <w:tcPr>
            <w:tcW w:w="4608" w:type="dxa"/>
          </w:tcPr>
          <w:p w:rsidR="005F6E83" w:rsidRPr="005F6E83" w:rsidRDefault="005F6E83" w:rsidP="005F6E83">
            <w:pPr>
              <w:rPr>
                <w:rFonts w:ascii="Arial" w:hAnsi="Arial" w:cs="Arial"/>
                <w:color w:val="auto"/>
                <w:sz w:val="20"/>
                <w:szCs w:val="20"/>
              </w:rPr>
            </w:pPr>
          </w:p>
        </w:tc>
        <w:tc>
          <w:tcPr>
            <w:tcW w:w="4392" w:type="dxa"/>
          </w:tcPr>
          <w:p w:rsid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CHỦ TỊCH QUỐC HỘ</w:t>
            </w:r>
            <w:r w:rsidR="0078090F">
              <w:rPr>
                <w:rFonts w:ascii="Arial" w:hAnsi="Arial" w:cs="Arial"/>
                <w:b/>
                <w:color w:val="auto"/>
                <w:sz w:val="20"/>
                <w:szCs w:val="20"/>
              </w:rPr>
              <w:t>I</w:t>
            </w:r>
          </w:p>
          <w:p w:rsidR="00C1668F" w:rsidRDefault="00C1668F" w:rsidP="005F6E83">
            <w:pPr>
              <w:jc w:val="center"/>
              <w:rPr>
                <w:rFonts w:ascii="Arial" w:hAnsi="Arial" w:cs="Arial"/>
                <w:b/>
                <w:color w:val="auto"/>
                <w:sz w:val="20"/>
                <w:szCs w:val="20"/>
              </w:rPr>
            </w:pPr>
          </w:p>
          <w:p w:rsidR="00C1668F" w:rsidRDefault="00C1668F" w:rsidP="005F6E83">
            <w:pPr>
              <w:jc w:val="center"/>
              <w:rPr>
                <w:rFonts w:ascii="Arial" w:hAnsi="Arial" w:cs="Arial"/>
                <w:b/>
                <w:color w:val="auto"/>
                <w:sz w:val="20"/>
                <w:szCs w:val="20"/>
              </w:rPr>
            </w:pPr>
          </w:p>
          <w:p w:rsidR="00C1668F" w:rsidRDefault="00C1668F" w:rsidP="005F6E83">
            <w:pPr>
              <w:jc w:val="center"/>
              <w:rPr>
                <w:rFonts w:ascii="Arial" w:hAnsi="Arial" w:cs="Arial"/>
                <w:b/>
                <w:color w:val="auto"/>
                <w:sz w:val="20"/>
                <w:szCs w:val="20"/>
              </w:rPr>
            </w:pPr>
          </w:p>
          <w:p w:rsidR="00C1668F" w:rsidRPr="005F6E83" w:rsidRDefault="00C1668F" w:rsidP="005F6E83">
            <w:pPr>
              <w:jc w:val="center"/>
              <w:rPr>
                <w:rFonts w:ascii="Arial" w:hAnsi="Arial" w:cs="Arial"/>
                <w:b/>
                <w:color w:val="auto"/>
                <w:sz w:val="20"/>
                <w:szCs w:val="20"/>
              </w:rPr>
            </w:pPr>
          </w:p>
          <w:p w:rsidR="005F6E83" w:rsidRPr="005F6E83" w:rsidRDefault="005F6E83" w:rsidP="005F6E83">
            <w:pPr>
              <w:jc w:val="center"/>
              <w:rPr>
                <w:rFonts w:ascii="Arial" w:hAnsi="Arial" w:cs="Arial"/>
                <w:b/>
                <w:color w:val="auto"/>
                <w:sz w:val="20"/>
                <w:szCs w:val="20"/>
              </w:rPr>
            </w:pPr>
            <w:r w:rsidRPr="005F6E83">
              <w:rPr>
                <w:rFonts w:ascii="Arial" w:hAnsi="Arial" w:cs="Arial"/>
                <w:b/>
                <w:color w:val="auto"/>
                <w:sz w:val="20"/>
                <w:szCs w:val="20"/>
              </w:rPr>
              <w:t>Nguyễn Phú Trọng</w:t>
            </w:r>
          </w:p>
        </w:tc>
      </w:tr>
    </w:tbl>
    <w:p w:rsidR="005F6E83" w:rsidRPr="005F6E83" w:rsidRDefault="005F6E83" w:rsidP="005F6E83">
      <w:pPr>
        <w:rPr>
          <w:rFonts w:ascii="Arial" w:hAnsi="Arial" w:cs="Arial"/>
          <w:color w:val="auto"/>
          <w:sz w:val="20"/>
          <w:szCs w:val="20"/>
        </w:rPr>
      </w:pPr>
    </w:p>
    <w:p w:rsidR="005F6E83" w:rsidRPr="005F6E83" w:rsidRDefault="005F6E83" w:rsidP="005F6E83">
      <w:pPr>
        <w:rPr>
          <w:rFonts w:ascii="Arial" w:hAnsi="Arial" w:cs="Arial"/>
          <w:color w:val="auto"/>
          <w:sz w:val="20"/>
          <w:szCs w:val="20"/>
        </w:rPr>
      </w:pPr>
    </w:p>
    <w:p w:rsidR="005F6E83" w:rsidRPr="005F6E83" w:rsidRDefault="005F6E83" w:rsidP="005F6E83">
      <w:pPr>
        <w:rPr>
          <w:rFonts w:ascii="Arial" w:hAnsi="Arial" w:cs="Arial"/>
          <w:color w:val="auto"/>
          <w:sz w:val="20"/>
          <w:szCs w:val="20"/>
        </w:rPr>
      </w:pPr>
    </w:p>
    <w:p w:rsidR="005F6E83" w:rsidRPr="005F6E83" w:rsidRDefault="005F6E83" w:rsidP="005F6E83">
      <w:pPr>
        <w:rPr>
          <w:rFonts w:ascii="Arial" w:hAnsi="Arial" w:cs="Arial"/>
          <w:color w:val="auto"/>
          <w:sz w:val="20"/>
          <w:szCs w:val="20"/>
        </w:rPr>
      </w:pPr>
    </w:p>
    <w:p w:rsidR="005F6E83" w:rsidRPr="005F6E83" w:rsidRDefault="005F6E83" w:rsidP="005F6E83">
      <w:pPr>
        <w:rPr>
          <w:rFonts w:ascii="Arial" w:hAnsi="Arial" w:cs="Arial"/>
          <w:color w:val="auto"/>
          <w:sz w:val="20"/>
          <w:szCs w:val="20"/>
        </w:rPr>
      </w:pPr>
    </w:p>
    <w:p w:rsidR="005F6E83" w:rsidRPr="005F6E83" w:rsidRDefault="005F6E83" w:rsidP="005F6E83">
      <w:pPr>
        <w:rPr>
          <w:rFonts w:ascii="Arial" w:hAnsi="Arial" w:cs="Arial"/>
          <w:color w:val="auto"/>
          <w:sz w:val="20"/>
          <w:szCs w:val="20"/>
        </w:rPr>
      </w:pPr>
      <w:r w:rsidRPr="005F6E83">
        <w:rPr>
          <w:rFonts w:ascii="Arial" w:hAnsi="Arial" w:cs="Arial"/>
          <w:color w:val="auto"/>
          <w:sz w:val="20"/>
          <w:szCs w:val="20"/>
        </w:rPr>
        <w:t xml:space="preserve">            </w:t>
      </w:r>
      <w:r w:rsidRPr="005F6E83">
        <w:rPr>
          <w:rFonts w:ascii="Arial" w:hAnsi="Arial" w:cs="Arial"/>
          <w:color w:val="auto"/>
          <w:sz w:val="20"/>
          <w:szCs w:val="20"/>
        </w:rPr>
        <w:tab/>
      </w:r>
      <w:r w:rsidRPr="005F6E83">
        <w:rPr>
          <w:rFonts w:ascii="Arial" w:hAnsi="Arial" w:cs="Arial"/>
          <w:color w:val="auto"/>
          <w:sz w:val="20"/>
          <w:szCs w:val="20"/>
        </w:rPr>
        <w:tab/>
      </w:r>
      <w:r w:rsidRPr="005F6E83">
        <w:rPr>
          <w:rFonts w:ascii="Arial" w:hAnsi="Arial" w:cs="Arial"/>
          <w:color w:val="auto"/>
          <w:sz w:val="20"/>
          <w:szCs w:val="20"/>
        </w:rPr>
        <w:tab/>
      </w:r>
      <w:r w:rsidRPr="005F6E83">
        <w:rPr>
          <w:rFonts w:ascii="Arial" w:hAnsi="Arial" w:cs="Arial"/>
          <w:color w:val="auto"/>
          <w:sz w:val="20"/>
          <w:szCs w:val="20"/>
        </w:rPr>
        <w:tab/>
      </w:r>
      <w:r w:rsidRPr="005F6E83">
        <w:rPr>
          <w:rFonts w:ascii="Arial" w:hAnsi="Arial" w:cs="Arial"/>
          <w:color w:val="auto"/>
          <w:sz w:val="20"/>
          <w:szCs w:val="20"/>
        </w:rPr>
        <w:tab/>
      </w:r>
      <w:r w:rsidRPr="005F6E83">
        <w:rPr>
          <w:rFonts w:ascii="Arial" w:hAnsi="Arial" w:cs="Arial"/>
          <w:color w:val="auto"/>
          <w:sz w:val="20"/>
          <w:szCs w:val="20"/>
        </w:rPr>
        <w:tab/>
        <w:t xml:space="preserve">   </w:t>
      </w:r>
    </w:p>
    <w:p w:rsidR="005F6E83" w:rsidRPr="005F6E83" w:rsidRDefault="005F6E83" w:rsidP="005F6E83">
      <w:pPr>
        <w:rPr>
          <w:rFonts w:ascii="Arial" w:hAnsi="Arial" w:cs="Arial"/>
          <w:color w:val="auto"/>
          <w:sz w:val="20"/>
          <w:szCs w:val="20"/>
        </w:rPr>
      </w:pPr>
    </w:p>
    <w:sectPr w:rsidR="005F6E83" w:rsidRPr="005F6E83" w:rsidSect="005F6E83">
      <w:headerReference w:type="even" r:id="rId8"/>
      <w:headerReference w:type="default" r:id="rId9"/>
      <w:footerReference w:type="even" r:id="rId10"/>
      <w:footerReference w:type="default" r:id="rId11"/>
      <w:pgSz w:w="12240" w:h="15840" w:code="1"/>
      <w:pgMar w:top="1440" w:right="1440" w:bottom="1440" w:left="180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F4C" w:rsidRDefault="00104F4C">
      <w:r>
        <w:separator/>
      </w:r>
    </w:p>
  </w:endnote>
  <w:endnote w:type="continuationSeparator" w:id="0">
    <w:p w:rsidR="00104F4C" w:rsidRDefault="0010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E83" w:rsidRDefault="005F6E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E83" w:rsidRDefault="005F6E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E83" w:rsidRPr="00343BB9" w:rsidRDefault="005F6E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F4C" w:rsidRDefault="00104F4C">
      <w:r>
        <w:separator/>
      </w:r>
    </w:p>
  </w:footnote>
  <w:footnote w:type="continuationSeparator" w:id="0">
    <w:p w:rsidR="00104F4C" w:rsidRDefault="00104F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E83" w:rsidRDefault="005F6E83" w:rsidP="005F6E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6E83" w:rsidRDefault="005F6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E83" w:rsidRDefault="005F6E83" w:rsidP="005F6E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7963">
      <w:rPr>
        <w:rStyle w:val="PageNumber"/>
        <w:noProof/>
      </w:rPr>
      <w:t>56</w:t>
    </w:r>
    <w:r>
      <w:rPr>
        <w:rStyle w:val="PageNumber"/>
      </w:rPr>
      <w:fldChar w:fldCharType="end"/>
    </w:r>
  </w:p>
  <w:p w:rsidR="005F6E83" w:rsidRDefault="005F6E83" w:rsidP="005F6E83">
    <w:pPr>
      <w:pStyle w:val="Header"/>
      <w:jc w:val="right"/>
      <w:rPr>
        <w:i/>
        <w:sz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2CEB"/>
    <w:multiLevelType w:val="hybridMultilevel"/>
    <w:tmpl w:val="0BF28350"/>
    <w:lvl w:ilvl="0" w:tplc="326CA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DB227B"/>
    <w:multiLevelType w:val="hybridMultilevel"/>
    <w:tmpl w:val="C91CB606"/>
    <w:lvl w:ilvl="0" w:tplc="D7660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0F58BB"/>
    <w:multiLevelType w:val="multilevel"/>
    <w:tmpl w:val="595EE6B6"/>
    <w:lvl w:ilvl="0">
      <w:start w:val="1"/>
      <w:numFmt w:val="decimal"/>
      <w:lvlText w:val="%1."/>
      <w:lvlJc w:val="left"/>
      <w:pPr>
        <w:tabs>
          <w:tab w:val="num" w:pos="1740"/>
        </w:tabs>
        <w:ind w:left="1740" w:hanging="1020"/>
      </w:pPr>
      <w:rPr>
        <w:rFonts w:hint="default"/>
        <w:b w:val="0"/>
        <w:i w:val="0"/>
      </w:rPr>
    </w:lvl>
    <w:lvl w:ilvl="1">
      <w:start w:val="1"/>
      <w:numFmt w:val="decimal"/>
      <w:lvlRestart w:val="0"/>
      <w:pStyle w:val="Heading2"/>
      <w:lvlText w:val="Điều %2."/>
      <w:lvlJc w:val="left"/>
      <w:pPr>
        <w:tabs>
          <w:tab w:val="num" w:pos="2160"/>
        </w:tabs>
        <w:ind w:left="1800" w:firstLine="0"/>
      </w:pPr>
      <w:rPr>
        <w:rFonts w:ascii="Times New Roman" w:hAnsi="Times New Roman" w:hint="default"/>
        <w:b w:val="0"/>
        <w:bCs w:val="0"/>
        <w:i w:val="0"/>
        <w:iCs w:val="0"/>
        <w:caps w:val="0"/>
        <w:smallCaps w:val="0"/>
        <w:strike w:val="0"/>
        <w:dstrike w:val="0"/>
        <w:color w:val="auto"/>
        <w:spacing w:val="-2"/>
        <w:w w:val="100"/>
        <w:kern w:val="0"/>
        <w:position w:val="0"/>
        <w:sz w:val="27"/>
        <w:szCs w:val="28"/>
        <w:u w:val="none"/>
        <w:effect w:val="none"/>
        <w:bdr w:val="none" w:sz="0" w:space="0" w:color="auto"/>
        <w:shd w:val="clear" w:color="auto" w:fill="auto"/>
        <w:em w:val="none"/>
        <w:lang w:val="sv-S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1"/>
      <w:pStyle w:val="Heading3"/>
      <w:lvlText w:val="Mục %3."/>
      <w:lvlJc w:val="center"/>
      <w:pPr>
        <w:tabs>
          <w:tab w:val="num" w:pos="3420"/>
        </w:tabs>
        <w:ind w:left="3060" w:firstLine="0"/>
      </w:pPr>
      <w:rPr>
        <w:rFonts w:ascii="Times New Roman" w:hAnsi="Times New Roman" w:hint="default"/>
        <w:b/>
        <w:i w:val="0"/>
        <w:sz w:val="28"/>
        <w:szCs w:val="28"/>
      </w:rPr>
    </w:lvl>
    <w:lvl w:ilvl="3">
      <w:start w:val="1"/>
      <w:numFmt w:val="lowerLetter"/>
      <w:pStyle w:val="Heading4"/>
      <w:lvlText w:val="%4)"/>
      <w:lvlJc w:val="left"/>
      <w:pPr>
        <w:tabs>
          <w:tab w:val="num" w:pos="3780"/>
        </w:tabs>
        <w:ind w:left="3420" w:firstLine="0"/>
      </w:pPr>
      <w:rPr>
        <w:rFonts w:hint="default"/>
      </w:rPr>
    </w:lvl>
    <w:lvl w:ilvl="4">
      <w:start w:val="1"/>
      <w:numFmt w:val="decimal"/>
      <w:lvlText w:val="%5."/>
      <w:lvlJc w:val="left"/>
      <w:pPr>
        <w:tabs>
          <w:tab w:val="num" w:pos="2340"/>
        </w:tabs>
        <w:ind w:left="2340" w:hanging="360"/>
      </w:pPr>
      <w:rPr>
        <w:rFonts w:hint="default"/>
        <w:b w:val="0"/>
        <w:i w:val="0"/>
        <w:strike w:val="0"/>
      </w:rPr>
    </w:lvl>
    <w:lvl w:ilvl="5">
      <w:start w:val="1"/>
      <w:numFmt w:val="lowerLetter"/>
      <w:pStyle w:val="Heading6"/>
      <w:lvlText w:val="(%6)"/>
      <w:lvlJc w:val="left"/>
      <w:pPr>
        <w:tabs>
          <w:tab w:val="num" w:pos="5220"/>
        </w:tabs>
        <w:ind w:left="4860" w:firstLine="0"/>
      </w:pPr>
      <w:rPr>
        <w:rFonts w:hint="default"/>
      </w:rPr>
    </w:lvl>
    <w:lvl w:ilvl="6">
      <w:start w:val="1"/>
      <w:numFmt w:val="decimal"/>
      <w:pStyle w:val="Heading7"/>
      <w:lvlText w:val="%7."/>
      <w:lvlJc w:val="left"/>
      <w:pPr>
        <w:tabs>
          <w:tab w:val="num" w:pos="5940"/>
        </w:tabs>
        <w:ind w:left="5580" w:firstLine="0"/>
      </w:pPr>
      <w:rPr>
        <w:rFonts w:ascii="Times New Roman" w:eastAsia="Times New Roman" w:hAnsi="Times New Roman" w:cs="Times New Roman" w:hint="default"/>
        <w:sz w:val="28"/>
        <w:szCs w:val="28"/>
      </w:rPr>
    </w:lvl>
    <w:lvl w:ilvl="7">
      <w:start w:val="1"/>
      <w:numFmt w:val="lowerLetter"/>
      <w:pStyle w:val="Heading8"/>
      <w:lvlText w:val="(%8)"/>
      <w:lvlJc w:val="left"/>
      <w:pPr>
        <w:tabs>
          <w:tab w:val="num" w:pos="6660"/>
        </w:tabs>
        <w:ind w:left="6300" w:firstLine="0"/>
      </w:pPr>
      <w:rPr>
        <w:rFonts w:hint="default"/>
      </w:rPr>
    </w:lvl>
    <w:lvl w:ilvl="8">
      <w:start w:val="1"/>
      <w:numFmt w:val="lowerRoman"/>
      <w:pStyle w:val="Heading9"/>
      <w:lvlText w:val="(%9)"/>
      <w:lvlJc w:val="left"/>
      <w:pPr>
        <w:tabs>
          <w:tab w:val="num" w:pos="7380"/>
        </w:tabs>
        <w:ind w:left="7020" w:firstLine="0"/>
      </w:pPr>
      <w:rPr>
        <w:rFonts w:hint="default"/>
      </w:rPr>
    </w:lvl>
  </w:abstractNum>
  <w:abstractNum w:abstractNumId="3">
    <w:nsid w:val="43F55941"/>
    <w:multiLevelType w:val="hybridMultilevel"/>
    <w:tmpl w:val="415A8FF8"/>
    <w:lvl w:ilvl="0" w:tplc="13ECB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303892"/>
    <w:multiLevelType w:val="hybridMultilevel"/>
    <w:tmpl w:val="756C1E26"/>
    <w:lvl w:ilvl="0" w:tplc="4D78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2F7A7D"/>
    <w:multiLevelType w:val="hybridMultilevel"/>
    <w:tmpl w:val="1ADE2494"/>
    <w:lvl w:ilvl="0" w:tplc="E3327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D7A60"/>
    <w:multiLevelType w:val="singleLevel"/>
    <w:tmpl w:val="FE943F82"/>
    <w:lvl w:ilvl="0">
      <w:start w:val="1"/>
      <w:numFmt w:val="decimal"/>
      <w:lvlText w:val="%1"/>
      <w:lvlJc w:val="left"/>
      <w:pPr>
        <w:tabs>
          <w:tab w:val="num" w:pos="720"/>
        </w:tabs>
        <w:ind w:left="0" w:firstLine="0"/>
      </w:pPr>
      <w:rPr>
        <w:rFonts w:ascii="Arial" w:hAnsi="Arial" w:hint="default"/>
        <w:b w:val="0"/>
        <w:i w:val="0"/>
        <w:sz w:val="22"/>
        <w:szCs w:val="22"/>
      </w:rPr>
    </w:lvl>
  </w:abstractNum>
  <w:abstractNum w:abstractNumId="7">
    <w:nsid w:val="7C56404E"/>
    <w:multiLevelType w:val="hybridMultilevel"/>
    <w:tmpl w:val="E9D0756A"/>
    <w:lvl w:ilvl="0" w:tplc="E4ECD7C8">
      <w:start w:val="1"/>
      <w:numFmt w:val="decimal"/>
      <w:lvlText w:val="%1."/>
      <w:lvlJc w:val="left"/>
      <w:pPr>
        <w:tabs>
          <w:tab w:val="num" w:pos="927"/>
        </w:tabs>
        <w:ind w:left="927" w:hanging="360"/>
      </w:pPr>
      <w:rPr>
        <w:rFonts w:ascii="Times New Roman" w:eastAsia="Times New Roman" w:hAnsi="Times New Roman" w:cs="Times New Roman"/>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abstractNumId w:val="2"/>
  </w:num>
  <w:num w:numId="2">
    <w:abstractNumId w:val="6"/>
  </w:num>
  <w:num w:numId="3">
    <w:abstractNumId w:val="7"/>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E83"/>
    <w:rsid w:val="00104F4C"/>
    <w:rsid w:val="005C7963"/>
    <w:rsid w:val="005F5B34"/>
    <w:rsid w:val="005F6E83"/>
    <w:rsid w:val="006B321B"/>
    <w:rsid w:val="0078090F"/>
    <w:rsid w:val="00C1668F"/>
    <w:rsid w:val="00EE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E83"/>
    <w:rPr>
      <w:color w:val="0000FF"/>
      <w:sz w:val="28"/>
      <w:szCs w:val="28"/>
    </w:rPr>
  </w:style>
  <w:style w:type="paragraph" w:styleId="Heading1">
    <w:name w:val="heading 1"/>
    <w:basedOn w:val="Normal"/>
    <w:next w:val="Normal"/>
    <w:link w:val="Heading1Char"/>
    <w:qFormat/>
    <w:rsid w:val="005F6E83"/>
    <w:pPr>
      <w:keepNext/>
      <w:keepLines/>
      <w:spacing w:before="480"/>
      <w:outlineLvl w:val="0"/>
    </w:pPr>
    <w:rPr>
      <w:rFonts w:ascii="Cambria" w:hAnsi="Cambria"/>
      <w:b/>
      <w:bCs/>
      <w:color w:val="365F91"/>
    </w:rPr>
  </w:style>
  <w:style w:type="paragraph" w:styleId="Heading2">
    <w:name w:val="heading 2"/>
    <w:basedOn w:val="Normal"/>
    <w:next w:val="Normal"/>
    <w:link w:val="Heading2Char"/>
    <w:qFormat/>
    <w:rsid w:val="005F6E83"/>
    <w:pPr>
      <w:keepNext/>
      <w:numPr>
        <w:ilvl w:val="1"/>
        <w:numId w:val="1"/>
      </w:numPr>
      <w:spacing w:before="240" w:after="60"/>
      <w:outlineLvl w:val="1"/>
    </w:pPr>
    <w:rPr>
      <w:rFonts w:ascii="Arial" w:hAnsi="Arial" w:cs="Arial"/>
      <w:b/>
      <w:bCs/>
      <w:i/>
      <w:iCs/>
      <w:color w:val="auto"/>
    </w:rPr>
  </w:style>
  <w:style w:type="paragraph" w:styleId="Heading3">
    <w:name w:val="heading 3"/>
    <w:basedOn w:val="Normal"/>
    <w:next w:val="Normal"/>
    <w:link w:val="Heading3Char"/>
    <w:qFormat/>
    <w:rsid w:val="005F6E83"/>
    <w:pPr>
      <w:keepNext/>
      <w:numPr>
        <w:ilvl w:val="2"/>
        <w:numId w:val="1"/>
      </w:numPr>
      <w:spacing w:before="240" w:after="60"/>
      <w:jc w:val="center"/>
      <w:outlineLvl w:val="2"/>
    </w:pPr>
    <w:rPr>
      <w:b/>
      <w:bCs/>
      <w:color w:val="auto"/>
      <w:szCs w:val="26"/>
    </w:rPr>
  </w:style>
  <w:style w:type="paragraph" w:styleId="Heading4">
    <w:name w:val="heading 4"/>
    <w:basedOn w:val="Normal"/>
    <w:next w:val="Normal"/>
    <w:link w:val="Heading4Char"/>
    <w:qFormat/>
    <w:rsid w:val="005F6E83"/>
    <w:pPr>
      <w:keepNext/>
      <w:numPr>
        <w:ilvl w:val="3"/>
        <w:numId w:val="1"/>
      </w:numPr>
      <w:spacing w:before="240" w:after="60"/>
      <w:outlineLvl w:val="3"/>
    </w:pPr>
    <w:rPr>
      <w:b/>
      <w:bCs/>
      <w:color w:val="auto"/>
    </w:rPr>
  </w:style>
  <w:style w:type="paragraph" w:styleId="Heading6">
    <w:name w:val="heading 6"/>
    <w:basedOn w:val="Normal"/>
    <w:next w:val="Normal"/>
    <w:link w:val="Heading6Char"/>
    <w:qFormat/>
    <w:rsid w:val="005F6E83"/>
    <w:pPr>
      <w:numPr>
        <w:ilvl w:val="5"/>
        <w:numId w:val="1"/>
      </w:numPr>
      <w:spacing w:before="240" w:after="60"/>
      <w:outlineLvl w:val="5"/>
    </w:pPr>
    <w:rPr>
      <w:b/>
      <w:bCs/>
      <w:color w:val="auto"/>
      <w:sz w:val="22"/>
      <w:szCs w:val="22"/>
    </w:rPr>
  </w:style>
  <w:style w:type="paragraph" w:styleId="Heading7">
    <w:name w:val="heading 7"/>
    <w:basedOn w:val="Normal"/>
    <w:next w:val="Normal"/>
    <w:link w:val="Heading7Char"/>
    <w:qFormat/>
    <w:rsid w:val="005F6E83"/>
    <w:pPr>
      <w:numPr>
        <w:ilvl w:val="6"/>
        <w:numId w:val="1"/>
      </w:numPr>
      <w:spacing w:before="240" w:after="60"/>
      <w:outlineLvl w:val="6"/>
    </w:pPr>
    <w:rPr>
      <w:color w:val="auto"/>
      <w:sz w:val="24"/>
      <w:szCs w:val="24"/>
    </w:rPr>
  </w:style>
  <w:style w:type="paragraph" w:styleId="Heading8">
    <w:name w:val="heading 8"/>
    <w:basedOn w:val="Normal"/>
    <w:next w:val="Normal"/>
    <w:link w:val="Heading8Char"/>
    <w:qFormat/>
    <w:rsid w:val="005F6E83"/>
    <w:pPr>
      <w:numPr>
        <w:ilvl w:val="7"/>
        <w:numId w:val="1"/>
      </w:numPr>
      <w:spacing w:before="240" w:after="60"/>
      <w:outlineLvl w:val="7"/>
    </w:pPr>
    <w:rPr>
      <w:i/>
      <w:iCs/>
      <w:color w:val="auto"/>
      <w:sz w:val="24"/>
      <w:szCs w:val="24"/>
    </w:rPr>
  </w:style>
  <w:style w:type="paragraph" w:styleId="Heading9">
    <w:name w:val="heading 9"/>
    <w:basedOn w:val="Normal"/>
    <w:next w:val="Normal"/>
    <w:link w:val="Heading9Char"/>
    <w:qFormat/>
    <w:rsid w:val="005F6E83"/>
    <w:pPr>
      <w:numPr>
        <w:ilvl w:val="8"/>
        <w:numId w:val="1"/>
      </w:numPr>
      <w:spacing w:before="240" w:after="60"/>
      <w:outlineLvl w:val="8"/>
    </w:pPr>
    <w:rPr>
      <w:rFonts w:ascii="Arial" w:hAnsi="Arial" w:cs="Arial"/>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E83"/>
    <w:rPr>
      <w:rFonts w:ascii="Cambria" w:hAnsi="Cambria"/>
      <w:b/>
      <w:bCs/>
      <w:color w:val="365F91"/>
      <w:sz w:val="28"/>
      <w:szCs w:val="28"/>
      <w:lang w:val="en-US" w:eastAsia="en-US" w:bidi="ar-SA"/>
    </w:rPr>
  </w:style>
  <w:style w:type="character" w:customStyle="1" w:styleId="Heading2Char">
    <w:name w:val="Heading 2 Char"/>
    <w:basedOn w:val="DefaultParagraphFont"/>
    <w:link w:val="Heading2"/>
    <w:rsid w:val="005F6E83"/>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5F6E83"/>
    <w:rPr>
      <w:b/>
      <w:bCs/>
      <w:sz w:val="28"/>
      <w:szCs w:val="26"/>
      <w:lang w:val="en-US" w:eastAsia="en-US" w:bidi="ar-SA"/>
    </w:rPr>
  </w:style>
  <w:style w:type="character" w:customStyle="1" w:styleId="Heading4Char">
    <w:name w:val="Heading 4 Char"/>
    <w:basedOn w:val="DefaultParagraphFont"/>
    <w:link w:val="Heading4"/>
    <w:rsid w:val="005F6E83"/>
    <w:rPr>
      <w:b/>
      <w:bCs/>
      <w:sz w:val="28"/>
      <w:szCs w:val="28"/>
      <w:lang w:val="en-US" w:eastAsia="en-US" w:bidi="ar-SA"/>
    </w:rPr>
  </w:style>
  <w:style w:type="character" w:customStyle="1" w:styleId="Heading6Char">
    <w:name w:val="Heading 6 Char"/>
    <w:basedOn w:val="DefaultParagraphFont"/>
    <w:link w:val="Heading6"/>
    <w:rsid w:val="005F6E83"/>
    <w:rPr>
      <w:b/>
      <w:bCs/>
      <w:sz w:val="22"/>
      <w:szCs w:val="22"/>
      <w:lang w:val="en-US" w:eastAsia="en-US" w:bidi="ar-SA"/>
    </w:rPr>
  </w:style>
  <w:style w:type="character" w:customStyle="1" w:styleId="Heading7Char">
    <w:name w:val="Heading 7 Char"/>
    <w:basedOn w:val="DefaultParagraphFont"/>
    <w:link w:val="Heading7"/>
    <w:rsid w:val="005F6E83"/>
    <w:rPr>
      <w:sz w:val="24"/>
      <w:szCs w:val="24"/>
      <w:lang w:val="en-US" w:eastAsia="en-US" w:bidi="ar-SA"/>
    </w:rPr>
  </w:style>
  <w:style w:type="character" w:customStyle="1" w:styleId="Heading8Char">
    <w:name w:val="Heading 8 Char"/>
    <w:basedOn w:val="DefaultParagraphFont"/>
    <w:link w:val="Heading8"/>
    <w:rsid w:val="005F6E83"/>
    <w:rPr>
      <w:i/>
      <w:iCs/>
      <w:sz w:val="24"/>
      <w:szCs w:val="24"/>
      <w:lang w:val="en-US" w:eastAsia="en-US" w:bidi="ar-SA"/>
    </w:rPr>
  </w:style>
  <w:style w:type="character" w:customStyle="1" w:styleId="Heading9Char">
    <w:name w:val="Heading 9 Char"/>
    <w:basedOn w:val="DefaultParagraphFont"/>
    <w:link w:val="Heading9"/>
    <w:rsid w:val="005F6E83"/>
    <w:rPr>
      <w:rFonts w:ascii="Arial" w:hAnsi="Arial" w:cs="Arial"/>
      <w:sz w:val="22"/>
      <w:szCs w:val="22"/>
      <w:lang w:val="en-US" w:eastAsia="en-US" w:bidi="ar-SA"/>
    </w:rPr>
  </w:style>
  <w:style w:type="paragraph" w:styleId="Header">
    <w:name w:val="header"/>
    <w:basedOn w:val="Normal"/>
    <w:link w:val="HeaderChar"/>
    <w:rsid w:val="005F6E83"/>
    <w:pPr>
      <w:tabs>
        <w:tab w:val="center" w:pos="4320"/>
        <w:tab w:val="right" w:pos="8640"/>
      </w:tabs>
    </w:pPr>
    <w:rPr>
      <w:color w:val="auto"/>
      <w:sz w:val="24"/>
      <w:szCs w:val="24"/>
    </w:rPr>
  </w:style>
  <w:style w:type="character" w:customStyle="1" w:styleId="HeaderChar">
    <w:name w:val="Header Char"/>
    <w:basedOn w:val="DefaultParagraphFont"/>
    <w:link w:val="Header"/>
    <w:rsid w:val="005F6E83"/>
    <w:rPr>
      <w:sz w:val="24"/>
      <w:szCs w:val="24"/>
      <w:lang w:val="en-US" w:eastAsia="en-US" w:bidi="ar-SA"/>
    </w:rPr>
  </w:style>
  <w:style w:type="paragraph" w:styleId="Footer">
    <w:name w:val="footer"/>
    <w:basedOn w:val="Normal"/>
    <w:link w:val="FooterChar"/>
    <w:rsid w:val="005F6E83"/>
    <w:pPr>
      <w:tabs>
        <w:tab w:val="center" w:pos="4320"/>
        <w:tab w:val="right" w:pos="8640"/>
      </w:tabs>
    </w:pPr>
    <w:rPr>
      <w:color w:val="auto"/>
      <w:sz w:val="24"/>
      <w:szCs w:val="24"/>
    </w:rPr>
  </w:style>
  <w:style w:type="character" w:customStyle="1" w:styleId="FooterChar">
    <w:name w:val="Footer Char"/>
    <w:basedOn w:val="DefaultParagraphFont"/>
    <w:link w:val="Footer"/>
    <w:rsid w:val="005F6E83"/>
    <w:rPr>
      <w:sz w:val="24"/>
      <w:szCs w:val="24"/>
      <w:lang w:val="en-US" w:eastAsia="en-US" w:bidi="ar-SA"/>
    </w:rPr>
  </w:style>
  <w:style w:type="character" w:styleId="PageNumber">
    <w:name w:val="page number"/>
    <w:basedOn w:val="DefaultParagraphFont"/>
    <w:rsid w:val="005F6E83"/>
  </w:style>
  <w:style w:type="paragraph" w:styleId="BodyTextIndent">
    <w:name w:val="Body Text Indent"/>
    <w:basedOn w:val="Normal"/>
    <w:link w:val="BodyTextIndentChar"/>
    <w:rsid w:val="005F6E83"/>
    <w:pPr>
      <w:ind w:left="720" w:firstLine="720"/>
    </w:pPr>
    <w:rPr>
      <w:color w:val="auto"/>
      <w:szCs w:val="24"/>
    </w:rPr>
  </w:style>
  <w:style w:type="character" w:customStyle="1" w:styleId="BodyTextIndentChar">
    <w:name w:val="Body Text Indent Char"/>
    <w:basedOn w:val="DefaultParagraphFont"/>
    <w:link w:val="BodyTextIndent"/>
    <w:rsid w:val="005F6E83"/>
    <w:rPr>
      <w:sz w:val="28"/>
      <w:szCs w:val="24"/>
      <w:lang w:val="en-US" w:eastAsia="en-US" w:bidi="ar-SA"/>
    </w:rPr>
  </w:style>
  <w:style w:type="paragraph" w:styleId="BodyText">
    <w:name w:val="Body Text"/>
    <w:basedOn w:val="Normal"/>
    <w:link w:val="BodyTextChar"/>
    <w:rsid w:val="005F6E83"/>
    <w:rPr>
      <w:color w:val="auto"/>
      <w:szCs w:val="24"/>
    </w:rPr>
  </w:style>
  <w:style w:type="character" w:customStyle="1" w:styleId="BodyTextChar">
    <w:name w:val="Body Text Char"/>
    <w:basedOn w:val="DefaultParagraphFont"/>
    <w:link w:val="BodyText"/>
    <w:rsid w:val="005F6E83"/>
    <w:rPr>
      <w:sz w:val="28"/>
      <w:szCs w:val="24"/>
      <w:lang w:val="en-US" w:eastAsia="en-US" w:bidi="ar-SA"/>
    </w:rPr>
  </w:style>
  <w:style w:type="paragraph" w:customStyle="1" w:styleId="ndieund">
    <w:name w:val="ndieund"/>
    <w:basedOn w:val="Normal"/>
    <w:rsid w:val="005F6E83"/>
    <w:pPr>
      <w:spacing w:after="120"/>
      <w:ind w:firstLine="720"/>
      <w:jc w:val="both"/>
    </w:pPr>
    <w:rPr>
      <w:rFonts w:ascii=".VnTime" w:hAnsi=".VnTime"/>
      <w:color w:val="auto"/>
      <w:szCs w:val="24"/>
    </w:rPr>
  </w:style>
  <w:style w:type="paragraph" w:customStyle="1" w:styleId="pwclistbullet">
    <w:name w:val="pwclistbullet"/>
    <w:basedOn w:val="Normal"/>
    <w:rsid w:val="005F6E83"/>
    <w:pPr>
      <w:spacing w:before="100" w:beforeAutospacing="1" w:after="100" w:afterAutospacing="1"/>
    </w:pPr>
    <w:rPr>
      <w:color w:val="auto"/>
      <w:sz w:val="24"/>
      <w:szCs w:val="24"/>
    </w:rPr>
  </w:style>
  <w:style w:type="paragraph" w:customStyle="1" w:styleId="n-dieund">
    <w:name w:val="n-dieund"/>
    <w:basedOn w:val="Normal"/>
    <w:rsid w:val="005F6E83"/>
    <w:pPr>
      <w:tabs>
        <w:tab w:val="left" w:pos="567"/>
        <w:tab w:val="right" w:pos="4962"/>
        <w:tab w:val="right" w:pos="6663"/>
        <w:tab w:val="right" w:pos="8647"/>
        <w:tab w:val="right" w:pos="8931"/>
      </w:tabs>
      <w:spacing w:after="120"/>
      <w:ind w:firstLine="567"/>
      <w:jc w:val="both"/>
    </w:pPr>
    <w:rPr>
      <w:rFonts w:ascii=".VnTime" w:hAnsi=".VnTime"/>
      <w:color w:val="auto"/>
      <w:szCs w:val="20"/>
      <w:lang w:val="en-AU"/>
    </w:rPr>
  </w:style>
  <w:style w:type="paragraph" w:customStyle="1" w:styleId="PWCNormal">
    <w:name w:val="PWCNormal"/>
    <w:basedOn w:val="Normal"/>
    <w:rsid w:val="005F6E83"/>
    <w:pPr>
      <w:adjustRightInd w:val="0"/>
      <w:spacing w:after="220" w:line="360" w:lineRule="atLeast"/>
      <w:jc w:val="both"/>
      <w:textAlignment w:val="baseline"/>
    </w:pPr>
    <w:rPr>
      <w:rFonts w:ascii="Arial" w:hAnsi="Arial" w:cs="Arial"/>
      <w:color w:val="auto"/>
      <w:sz w:val="22"/>
      <w:szCs w:val="22"/>
      <w:lang w:val="en-GB"/>
    </w:rPr>
  </w:style>
  <w:style w:type="paragraph" w:styleId="FootnoteText">
    <w:name w:val="footnote text"/>
    <w:basedOn w:val="Normal"/>
    <w:link w:val="FootnoteTextChar"/>
    <w:semiHidden/>
    <w:rsid w:val="005F6E83"/>
    <w:rPr>
      <w:color w:val="auto"/>
      <w:sz w:val="20"/>
      <w:szCs w:val="20"/>
    </w:rPr>
  </w:style>
  <w:style w:type="character" w:customStyle="1" w:styleId="FootnoteTextChar">
    <w:name w:val="Footnote Text Char"/>
    <w:basedOn w:val="DefaultParagraphFont"/>
    <w:link w:val="FootnoteText"/>
    <w:semiHidden/>
    <w:rsid w:val="005F6E83"/>
    <w:rPr>
      <w:lang w:val="en-US" w:eastAsia="en-US" w:bidi="ar-SA"/>
    </w:rPr>
  </w:style>
  <w:style w:type="paragraph" w:styleId="BalloonText">
    <w:name w:val="Balloon Text"/>
    <w:basedOn w:val="Normal"/>
    <w:link w:val="BalloonTextChar"/>
    <w:semiHidden/>
    <w:unhideWhenUsed/>
    <w:rsid w:val="005F6E83"/>
    <w:rPr>
      <w:rFonts w:ascii="Tahoma" w:hAnsi="Tahoma" w:cs="Tahoma"/>
      <w:sz w:val="16"/>
      <w:szCs w:val="16"/>
    </w:rPr>
  </w:style>
  <w:style w:type="character" w:customStyle="1" w:styleId="BalloonTextChar">
    <w:name w:val="Balloon Text Char"/>
    <w:basedOn w:val="DefaultParagraphFont"/>
    <w:link w:val="BalloonText"/>
    <w:semiHidden/>
    <w:rsid w:val="005F6E83"/>
    <w:rPr>
      <w:rFonts w:ascii="Tahoma" w:hAnsi="Tahoma" w:cs="Tahoma"/>
      <w:color w:val="0000FF"/>
      <w:sz w:val="16"/>
      <w:szCs w:val="16"/>
      <w:lang w:val="en-US" w:eastAsia="en-US" w:bidi="ar-SA"/>
    </w:rPr>
  </w:style>
  <w:style w:type="paragraph" w:styleId="EndnoteText">
    <w:name w:val="endnote text"/>
    <w:basedOn w:val="Normal"/>
    <w:link w:val="EndnoteTextChar"/>
    <w:rsid w:val="005F6E83"/>
    <w:rPr>
      <w:sz w:val="20"/>
      <w:szCs w:val="20"/>
    </w:rPr>
  </w:style>
  <w:style w:type="character" w:customStyle="1" w:styleId="EndnoteTextChar">
    <w:name w:val="Endnote Text Char"/>
    <w:basedOn w:val="DefaultParagraphFont"/>
    <w:link w:val="EndnoteText"/>
    <w:rsid w:val="005F6E83"/>
    <w:rPr>
      <w:color w:val="0000FF"/>
      <w:lang w:val="en-US" w:eastAsia="en-US" w:bidi="ar-SA"/>
    </w:rPr>
  </w:style>
  <w:style w:type="character" w:styleId="EndnoteReference">
    <w:name w:val="endnote reference"/>
    <w:basedOn w:val="DefaultParagraphFont"/>
    <w:rsid w:val="005F6E83"/>
    <w:rPr>
      <w:vertAlign w:val="superscript"/>
    </w:rPr>
  </w:style>
  <w:style w:type="paragraph" w:customStyle="1" w:styleId="n-muc1">
    <w:name w:val="n-muc1"/>
    <w:basedOn w:val="Normal"/>
    <w:rsid w:val="005F6E83"/>
    <w:pPr>
      <w:spacing w:before="240" w:after="80"/>
      <w:jc w:val="center"/>
    </w:pPr>
    <w:rPr>
      <w:rFonts w:ascii=".VnArial" w:hAnsi=".VnArial"/>
      <w:b/>
      <w:bCs/>
      <w:i/>
      <w:iCs/>
      <w:color w:val="auto"/>
      <w:sz w:val="26"/>
      <w:szCs w:val="26"/>
    </w:rPr>
  </w:style>
  <w:style w:type="paragraph" w:customStyle="1" w:styleId="Char">
    <w:name w:val="Char"/>
    <w:basedOn w:val="Normal"/>
    <w:rsid w:val="005F6E83"/>
    <w:pPr>
      <w:spacing w:after="160" w:line="240" w:lineRule="exact"/>
    </w:pPr>
    <w:rPr>
      <w:color w:val="auto"/>
      <w:sz w:val="20"/>
      <w:szCs w:val="20"/>
      <w:lang w:val="en-AU"/>
    </w:rPr>
  </w:style>
  <w:style w:type="paragraph" w:styleId="BodyText2">
    <w:name w:val="Body Text 2"/>
    <w:basedOn w:val="Normal"/>
    <w:link w:val="BodyText2Char"/>
    <w:rsid w:val="005F6E83"/>
    <w:pPr>
      <w:jc w:val="both"/>
    </w:pPr>
    <w:rPr>
      <w:rFonts w:ascii=".VnTime" w:hAnsi=".VnTime"/>
      <w:i/>
      <w:iCs/>
      <w:snapToGrid w:val="0"/>
      <w:color w:val="auto"/>
      <w:sz w:val="26"/>
      <w:szCs w:val="20"/>
      <w:lang w:eastAsia="en-AU"/>
    </w:rPr>
  </w:style>
  <w:style w:type="character" w:customStyle="1" w:styleId="BodyText2Char">
    <w:name w:val="Body Text 2 Char"/>
    <w:basedOn w:val="DefaultParagraphFont"/>
    <w:link w:val="BodyText2"/>
    <w:rsid w:val="005F6E83"/>
    <w:rPr>
      <w:rFonts w:ascii=".VnTime" w:hAnsi=".VnTime"/>
      <w:i/>
      <w:iCs/>
      <w:snapToGrid w:val="0"/>
      <w:sz w:val="26"/>
      <w:lang w:val="en-US" w:eastAsia="en-AU" w:bidi="ar-SA"/>
    </w:rPr>
  </w:style>
  <w:style w:type="character" w:customStyle="1" w:styleId="CharChar3">
    <w:name w:val="Char Char3"/>
    <w:basedOn w:val="DefaultParagraphFont"/>
    <w:locked/>
    <w:rsid w:val="005F6E83"/>
    <w:rPr>
      <w:sz w:val="24"/>
      <w:szCs w:val="24"/>
      <w:lang w:val="en-US" w:eastAsia="en-US"/>
    </w:rPr>
  </w:style>
  <w:style w:type="paragraph" w:styleId="ListParagraph">
    <w:name w:val="List Paragraph"/>
    <w:basedOn w:val="Normal"/>
    <w:qFormat/>
    <w:rsid w:val="005F6E83"/>
    <w:pPr>
      <w:ind w:left="720"/>
      <w:contextualSpacing/>
    </w:pPr>
  </w:style>
  <w:style w:type="paragraph" w:customStyle="1" w:styleId="CharCharCharCharCharCharChar">
    <w:name w:val="Char Char Char Char Char Char Char"/>
    <w:basedOn w:val="Normal"/>
    <w:rsid w:val="005F6E83"/>
    <w:pPr>
      <w:spacing w:after="160" w:line="240" w:lineRule="exact"/>
    </w:pPr>
    <w:rPr>
      <w:rFonts w:ascii="Verdana" w:hAnsi="Verdana" w:cs="Angsana New"/>
      <w:color w:val="auto"/>
      <w:sz w:val="20"/>
      <w:szCs w:val="20"/>
      <w:lang w:val="en-GB"/>
    </w:rPr>
  </w:style>
  <w:style w:type="table" w:styleId="TableGrid">
    <w:name w:val="Table Grid"/>
    <w:basedOn w:val="TableNormal"/>
    <w:rsid w:val="005F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6E83"/>
    <w:rPr>
      <w:color w:val="0000FF"/>
      <w:sz w:val="28"/>
      <w:szCs w:val="28"/>
    </w:rPr>
  </w:style>
  <w:style w:type="paragraph" w:styleId="Heading1">
    <w:name w:val="heading 1"/>
    <w:basedOn w:val="Normal"/>
    <w:next w:val="Normal"/>
    <w:link w:val="Heading1Char"/>
    <w:qFormat/>
    <w:rsid w:val="005F6E83"/>
    <w:pPr>
      <w:keepNext/>
      <w:keepLines/>
      <w:spacing w:before="480"/>
      <w:outlineLvl w:val="0"/>
    </w:pPr>
    <w:rPr>
      <w:rFonts w:ascii="Cambria" w:hAnsi="Cambria"/>
      <w:b/>
      <w:bCs/>
      <w:color w:val="365F91"/>
    </w:rPr>
  </w:style>
  <w:style w:type="paragraph" w:styleId="Heading2">
    <w:name w:val="heading 2"/>
    <w:basedOn w:val="Normal"/>
    <w:next w:val="Normal"/>
    <w:link w:val="Heading2Char"/>
    <w:qFormat/>
    <w:rsid w:val="005F6E83"/>
    <w:pPr>
      <w:keepNext/>
      <w:numPr>
        <w:ilvl w:val="1"/>
        <w:numId w:val="1"/>
      </w:numPr>
      <w:spacing w:before="240" w:after="60"/>
      <w:outlineLvl w:val="1"/>
    </w:pPr>
    <w:rPr>
      <w:rFonts w:ascii="Arial" w:hAnsi="Arial" w:cs="Arial"/>
      <w:b/>
      <w:bCs/>
      <w:i/>
      <w:iCs/>
      <w:color w:val="auto"/>
    </w:rPr>
  </w:style>
  <w:style w:type="paragraph" w:styleId="Heading3">
    <w:name w:val="heading 3"/>
    <w:basedOn w:val="Normal"/>
    <w:next w:val="Normal"/>
    <w:link w:val="Heading3Char"/>
    <w:qFormat/>
    <w:rsid w:val="005F6E83"/>
    <w:pPr>
      <w:keepNext/>
      <w:numPr>
        <w:ilvl w:val="2"/>
        <w:numId w:val="1"/>
      </w:numPr>
      <w:spacing w:before="240" w:after="60"/>
      <w:jc w:val="center"/>
      <w:outlineLvl w:val="2"/>
    </w:pPr>
    <w:rPr>
      <w:b/>
      <w:bCs/>
      <w:color w:val="auto"/>
      <w:szCs w:val="26"/>
    </w:rPr>
  </w:style>
  <w:style w:type="paragraph" w:styleId="Heading4">
    <w:name w:val="heading 4"/>
    <w:basedOn w:val="Normal"/>
    <w:next w:val="Normal"/>
    <w:link w:val="Heading4Char"/>
    <w:qFormat/>
    <w:rsid w:val="005F6E83"/>
    <w:pPr>
      <w:keepNext/>
      <w:numPr>
        <w:ilvl w:val="3"/>
        <w:numId w:val="1"/>
      </w:numPr>
      <w:spacing w:before="240" w:after="60"/>
      <w:outlineLvl w:val="3"/>
    </w:pPr>
    <w:rPr>
      <w:b/>
      <w:bCs/>
      <w:color w:val="auto"/>
    </w:rPr>
  </w:style>
  <w:style w:type="paragraph" w:styleId="Heading6">
    <w:name w:val="heading 6"/>
    <w:basedOn w:val="Normal"/>
    <w:next w:val="Normal"/>
    <w:link w:val="Heading6Char"/>
    <w:qFormat/>
    <w:rsid w:val="005F6E83"/>
    <w:pPr>
      <w:numPr>
        <w:ilvl w:val="5"/>
        <w:numId w:val="1"/>
      </w:numPr>
      <w:spacing w:before="240" w:after="60"/>
      <w:outlineLvl w:val="5"/>
    </w:pPr>
    <w:rPr>
      <w:b/>
      <w:bCs/>
      <w:color w:val="auto"/>
      <w:sz w:val="22"/>
      <w:szCs w:val="22"/>
    </w:rPr>
  </w:style>
  <w:style w:type="paragraph" w:styleId="Heading7">
    <w:name w:val="heading 7"/>
    <w:basedOn w:val="Normal"/>
    <w:next w:val="Normal"/>
    <w:link w:val="Heading7Char"/>
    <w:qFormat/>
    <w:rsid w:val="005F6E83"/>
    <w:pPr>
      <w:numPr>
        <w:ilvl w:val="6"/>
        <w:numId w:val="1"/>
      </w:numPr>
      <w:spacing w:before="240" w:after="60"/>
      <w:outlineLvl w:val="6"/>
    </w:pPr>
    <w:rPr>
      <w:color w:val="auto"/>
      <w:sz w:val="24"/>
      <w:szCs w:val="24"/>
    </w:rPr>
  </w:style>
  <w:style w:type="paragraph" w:styleId="Heading8">
    <w:name w:val="heading 8"/>
    <w:basedOn w:val="Normal"/>
    <w:next w:val="Normal"/>
    <w:link w:val="Heading8Char"/>
    <w:qFormat/>
    <w:rsid w:val="005F6E83"/>
    <w:pPr>
      <w:numPr>
        <w:ilvl w:val="7"/>
        <w:numId w:val="1"/>
      </w:numPr>
      <w:spacing w:before="240" w:after="60"/>
      <w:outlineLvl w:val="7"/>
    </w:pPr>
    <w:rPr>
      <w:i/>
      <w:iCs/>
      <w:color w:val="auto"/>
      <w:sz w:val="24"/>
      <w:szCs w:val="24"/>
    </w:rPr>
  </w:style>
  <w:style w:type="paragraph" w:styleId="Heading9">
    <w:name w:val="heading 9"/>
    <w:basedOn w:val="Normal"/>
    <w:next w:val="Normal"/>
    <w:link w:val="Heading9Char"/>
    <w:qFormat/>
    <w:rsid w:val="005F6E83"/>
    <w:pPr>
      <w:numPr>
        <w:ilvl w:val="8"/>
        <w:numId w:val="1"/>
      </w:numPr>
      <w:spacing w:before="240" w:after="60"/>
      <w:outlineLvl w:val="8"/>
    </w:pPr>
    <w:rPr>
      <w:rFonts w:ascii="Arial" w:hAnsi="Arial" w:cs="Arial"/>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E83"/>
    <w:rPr>
      <w:rFonts w:ascii="Cambria" w:hAnsi="Cambria"/>
      <w:b/>
      <w:bCs/>
      <w:color w:val="365F91"/>
      <w:sz w:val="28"/>
      <w:szCs w:val="28"/>
      <w:lang w:val="en-US" w:eastAsia="en-US" w:bidi="ar-SA"/>
    </w:rPr>
  </w:style>
  <w:style w:type="character" w:customStyle="1" w:styleId="Heading2Char">
    <w:name w:val="Heading 2 Char"/>
    <w:basedOn w:val="DefaultParagraphFont"/>
    <w:link w:val="Heading2"/>
    <w:rsid w:val="005F6E83"/>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5F6E83"/>
    <w:rPr>
      <w:b/>
      <w:bCs/>
      <w:sz w:val="28"/>
      <w:szCs w:val="26"/>
      <w:lang w:val="en-US" w:eastAsia="en-US" w:bidi="ar-SA"/>
    </w:rPr>
  </w:style>
  <w:style w:type="character" w:customStyle="1" w:styleId="Heading4Char">
    <w:name w:val="Heading 4 Char"/>
    <w:basedOn w:val="DefaultParagraphFont"/>
    <w:link w:val="Heading4"/>
    <w:rsid w:val="005F6E83"/>
    <w:rPr>
      <w:b/>
      <w:bCs/>
      <w:sz w:val="28"/>
      <w:szCs w:val="28"/>
      <w:lang w:val="en-US" w:eastAsia="en-US" w:bidi="ar-SA"/>
    </w:rPr>
  </w:style>
  <w:style w:type="character" w:customStyle="1" w:styleId="Heading6Char">
    <w:name w:val="Heading 6 Char"/>
    <w:basedOn w:val="DefaultParagraphFont"/>
    <w:link w:val="Heading6"/>
    <w:rsid w:val="005F6E83"/>
    <w:rPr>
      <w:b/>
      <w:bCs/>
      <w:sz w:val="22"/>
      <w:szCs w:val="22"/>
      <w:lang w:val="en-US" w:eastAsia="en-US" w:bidi="ar-SA"/>
    </w:rPr>
  </w:style>
  <w:style w:type="character" w:customStyle="1" w:styleId="Heading7Char">
    <w:name w:val="Heading 7 Char"/>
    <w:basedOn w:val="DefaultParagraphFont"/>
    <w:link w:val="Heading7"/>
    <w:rsid w:val="005F6E83"/>
    <w:rPr>
      <w:sz w:val="24"/>
      <w:szCs w:val="24"/>
      <w:lang w:val="en-US" w:eastAsia="en-US" w:bidi="ar-SA"/>
    </w:rPr>
  </w:style>
  <w:style w:type="character" w:customStyle="1" w:styleId="Heading8Char">
    <w:name w:val="Heading 8 Char"/>
    <w:basedOn w:val="DefaultParagraphFont"/>
    <w:link w:val="Heading8"/>
    <w:rsid w:val="005F6E83"/>
    <w:rPr>
      <w:i/>
      <w:iCs/>
      <w:sz w:val="24"/>
      <w:szCs w:val="24"/>
      <w:lang w:val="en-US" w:eastAsia="en-US" w:bidi="ar-SA"/>
    </w:rPr>
  </w:style>
  <w:style w:type="character" w:customStyle="1" w:styleId="Heading9Char">
    <w:name w:val="Heading 9 Char"/>
    <w:basedOn w:val="DefaultParagraphFont"/>
    <w:link w:val="Heading9"/>
    <w:rsid w:val="005F6E83"/>
    <w:rPr>
      <w:rFonts w:ascii="Arial" w:hAnsi="Arial" w:cs="Arial"/>
      <w:sz w:val="22"/>
      <w:szCs w:val="22"/>
      <w:lang w:val="en-US" w:eastAsia="en-US" w:bidi="ar-SA"/>
    </w:rPr>
  </w:style>
  <w:style w:type="paragraph" w:styleId="Header">
    <w:name w:val="header"/>
    <w:basedOn w:val="Normal"/>
    <w:link w:val="HeaderChar"/>
    <w:rsid w:val="005F6E83"/>
    <w:pPr>
      <w:tabs>
        <w:tab w:val="center" w:pos="4320"/>
        <w:tab w:val="right" w:pos="8640"/>
      </w:tabs>
    </w:pPr>
    <w:rPr>
      <w:color w:val="auto"/>
      <w:sz w:val="24"/>
      <w:szCs w:val="24"/>
    </w:rPr>
  </w:style>
  <w:style w:type="character" w:customStyle="1" w:styleId="HeaderChar">
    <w:name w:val="Header Char"/>
    <w:basedOn w:val="DefaultParagraphFont"/>
    <w:link w:val="Header"/>
    <w:rsid w:val="005F6E83"/>
    <w:rPr>
      <w:sz w:val="24"/>
      <w:szCs w:val="24"/>
      <w:lang w:val="en-US" w:eastAsia="en-US" w:bidi="ar-SA"/>
    </w:rPr>
  </w:style>
  <w:style w:type="paragraph" w:styleId="Footer">
    <w:name w:val="footer"/>
    <w:basedOn w:val="Normal"/>
    <w:link w:val="FooterChar"/>
    <w:rsid w:val="005F6E83"/>
    <w:pPr>
      <w:tabs>
        <w:tab w:val="center" w:pos="4320"/>
        <w:tab w:val="right" w:pos="8640"/>
      </w:tabs>
    </w:pPr>
    <w:rPr>
      <w:color w:val="auto"/>
      <w:sz w:val="24"/>
      <w:szCs w:val="24"/>
    </w:rPr>
  </w:style>
  <w:style w:type="character" w:customStyle="1" w:styleId="FooterChar">
    <w:name w:val="Footer Char"/>
    <w:basedOn w:val="DefaultParagraphFont"/>
    <w:link w:val="Footer"/>
    <w:rsid w:val="005F6E83"/>
    <w:rPr>
      <w:sz w:val="24"/>
      <w:szCs w:val="24"/>
      <w:lang w:val="en-US" w:eastAsia="en-US" w:bidi="ar-SA"/>
    </w:rPr>
  </w:style>
  <w:style w:type="character" w:styleId="PageNumber">
    <w:name w:val="page number"/>
    <w:basedOn w:val="DefaultParagraphFont"/>
    <w:rsid w:val="005F6E83"/>
  </w:style>
  <w:style w:type="paragraph" w:styleId="BodyTextIndent">
    <w:name w:val="Body Text Indent"/>
    <w:basedOn w:val="Normal"/>
    <w:link w:val="BodyTextIndentChar"/>
    <w:rsid w:val="005F6E83"/>
    <w:pPr>
      <w:ind w:left="720" w:firstLine="720"/>
    </w:pPr>
    <w:rPr>
      <w:color w:val="auto"/>
      <w:szCs w:val="24"/>
    </w:rPr>
  </w:style>
  <w:style w:type="character" w:customStyle="1" w:styleId="BodyTextIndentChar">
    <w:name w:val="Body Text Indent Char"/>
    <w:basedOn w:val="DefaultParagraphFont"/>
    <w:link w:val="BodyTextIndent"/>
    <w:rsid w:val="005F6E83"/>
    <w:rPr>
      <w:sz w:val="28"/>
      <w:szCs w:val="24"/>
      <w:lang w:val="en-US" w:eastAsia="en-US" w:bidi="ar-SA"/>
    </w:rPr>
  </w:style>
  <w:style w:type="paragraph" w:styleId="BodyText">
    <w:name w:val="Body Text"/>
    <w:basedOn w:val="Normal"/>
    <w:link w:val="BodyTextChar"/>
    <w:rsid w:val="005F6E83"/>
    <w:rPr>
      <w:color w:val="auto"/>
      <w:szCs w:val="24"/>
    </w:rPr>
  </w:style>
  <w:style w:type="character" w:customStyle="1" w:styleId="BodyTextChar">
    <w:name w:val="Body Text Char"/>
    <w:basedOn w:val="DefaultParagraphFont"/>
    <w:link w:val="BodyText"/>
    <w:rsid w:val="005F6E83"/>
    <w:rPr>
      <w:sz w:val="28"/>
      <w:szCs w:val="24"/>
      <w:lang w:val="en-US" w:eastAsia="en-US" w:bidi="ar-SA"/>
    </w:rPr>
  </w:style>
  <w:style w:type="paragraph" w:customStyle="1" w:styleId="ndieund">
    <w:name w:val="ndieund"/>
    <w:basedOn w:val="Normal"/>
    <w:rsid w:val="005F6E83"/>
    <w:pPr>
      <w:spacing w:after="120"/>
      <w:ind w:firstLine="720"/>
      <w:jc w:val="both"/>
    </w:pPr>
    <w:rPr>
      <w:rFonts w:ascii=".VnTime" w:hAnsi=".VnTime"/>
      <w:color w:val="auto"/>
      <w:szCs w:val="24"/>
    </w:rPr>
  </w:style>
  <w:style w:type="paragraph" w:customStyle="1" w:styleId="pwclistbullet">
    <w:name w:val="pwclistbullet"/>
    <w:basedOn w:val="Normal"/>
    <w:rsid w:val="005F6E83"/>
    <w:pPr>
      <w:spacing w:before="100" w:beforeAutospacing="1" w:after="100" w:afterAutospacing="1"/>
    </w:pPr>
    <w:rPr>
      <w:color w:val="auto"/>
      <w:sz w:val="24"/>
      <w:szCs w:val="24"/>
    </w:rPr>
  </w:style>
  <w:style w:type="paragraph" w:customStyle="1" w:styleId="n-dieund">
    <w:name w:val="n-dieund"/>
    <w:basedOn w:val="Normal"/>
    <w:rsid w:val="005F6E83"/>
    <w:pPr>
      <w:tabs>
        <w:tab w:val="left" w:pos="567"/>
        <w:tab w:val="right" w:pos="4962"/>
        <w:tab w:val="right" w:pos="6663"/>
        <w:tab w:val="right" w:pos="8647"/>
        <w:tab w:val="right" w:pos="8931"/>
      </w:tabs>
      <w:spacing w:after="120"/>
      <w:ind w:firstLine="567"/>
      <w:jc w:val="both"/>
    </w:pPr>
    <w:rPr>
      <w:rFonts w:ascii=".VnTime" w:hAnsi=".VnTime"/>
      <w:color w:val="auto"/>
      <w:szCs w:val="20"/>
      <w:lang w:val="en-AU"/>
    </w:rPr>
  </w:style>
  <w:style w:type="paragraph" w:customStyle="1" w:styleId="PWCNormal">
    <w:name w:val="PWCNormal"/>
    <w:basedOn w:val="Normal"/>
    <w:rsid w:val="005F6E83"/>
    <w:pPr>
      <w:adjustRightInd w:val="0"/>
      <w:spacing w:after="220" w:line="360" w:lineRule="atLeast"/>
      <w:jc w:val="both"/>
      <w:textAlignment w:val="baseline"/>
    </w:pPr>
    <w:rPr>
      <w:rFonts w:ascii="Arial" w:hAnsi="Arial" w:cs="Arial"/>
      <w:color w:val="auto"/>
      <w:sz w:val="22"/>
      <w:szCs w:val="22"/>
      <w:lang w:val="en-GB"/>
    </w:rPr>
  </w:style>
  <w:style w:type="paragraph" w:styleId="FootnoteText">
    <w:name w:val="footnote text"/>
    <w:basedOn w:val="Normal"/>
    <w:link w:val="FootnoteTextChar"/>
    <w:semiHidden/>
    <w:rsid w:val="005F6E83"/>
    <w:rPr>
      <w:color w:val="auto"/>
      <w:sz w:val="20"/>
      <w:szCs w:val="20"/>
    </w:rPr>
  </w:style>
  <w:style w:type="character" w:customStyle="1" w:styleId="FootnoteTextChar">
    <w:name w:val="Footnote Text Char"/>
    <w:basedOn w:val="DefaultParagraphFont"/>
    <w:link w:val="FootnoteText"/>
    <w:semiHidden/>
    <w:rsid w:val="005F6E83"/>
    <w:rPr>
      <w:lang w:val="en-US" w:eastAsia="en-US" w:bidi="ar-SA"/>
    </w:rPr>
  </w:style>
  <w:style w:type="paragraph" w:styleId="BalloonText">
    <w:name w:val="Balloon Text"/>
    <w:basedOn w:val="Normal"/>
    <w:link w:val="BalloonTextChar"/>
    <w:semiHidden/>
    <w:unhideWhenUsed/>
    <w:rsid w:val="005F6E83"/>
    <w:rPr>
      <w:rFonts w:ascii="Tahoma" w:hAnsi="Tahoma" w:cs="Tahoma"/>
      <w:sz w:val="16"/>
      <w:szCs w:val="16"/>
    </w:rPr>
  </w:style>
  <w:style w:type="character" w:customStyle="1" w:styleId="BalloonTextChar">
    <w:name w:val="Balloon Text Char"/>
    <w:basedOn w:val="DefaultParagraphFont"/>
    <w:link w:val="BalloonText"/>
    <w:semiHidden/>
    <w:rsid w:val="005F6E83"/>
    <w:rPr>
      <w:rFonts w:ascii="Tahoma" w:hAnsi="Tahoma" w:cs="Tahoma"/>
      <w:color w:val="0000FF"/>
      <w:sz w:val="16"/>
      <w:szCs w:val="16"/>
      <w:lang w:val="en-US" w:eastAsia="en-US" w:bidi="ar-SA"/>
    </w:rPr>
  </w:style>
  <w:style w:type="paragraph" w:styleId="EndnoteText">
    <w:name w:val="endnote text"/>
    <w:basedOn w:val="Normal"/>
    <w:link w:val="EndnoteTextChar"/>
    <w:rsid w:val="005F6E83"/>
    <w:rPr>
      <w:sz w:val="20"/>
      <w:szCs w:val="20"/>
    </w:rPr>
  </w:style>
  <w:style w:type="character" w:customStyle="1" w:styleId="EndnoteTextChar">
    <w:name w:val="Endnote Text Char"/>
    <w:basedOn w:val="DefaultParagraphFont"/>
    <w:link w:val="EndnoteText"/>
    <w:rsid w:val="005F6E83"/>
    <w:rPr>
      <w:color w:val="0000FF"/>
      <w:lang w:val="en-US" w:eastAsia="en-US" w:bidi="ar-SA"/>
    </w:rPr>
  </w:style>
  <w:style w:type="character" w:styleId="EndnoteReference">
    <w:name w:val="endnote reference"/>
    <w:basedOn w:val="DefaultParagraphFont"/>
    <w:rsid w:val="005F6E83"/>
    <w:rPr>
      <w:vertAlign w:val="superscript"/>
    </w:rPr>
  </w:style>
  <w:style w:type="paragraph" w:customStyle="1" w:styleId="n-muc1">
    <w:name w:val="n-muc1"/>
    <w:basedOn w:val="Normal"/>
    <w:rsid w:val="005F6E83"/>
    <w:pPr>
      <w:spacing w:before="240" w:after="80"/>
      <w:jc w:val="center"/>
    </w:pPr>
    <w:rPr>
      <w:rFonts w:ascii=".VnArial" w:hAnsi=".VnArial"/>
      <w:b/>
      <w:bCs/>
      <w:i/>
      <w:iCs/>
      <w:color w:val="auto"/>
      <w:sz w:val="26"/>
      <w:szCs w:val="26"/>
    </w:rPr>
  </w:style>
  <w:style w:type="paragraph" w:customStyle="1" w:styleId="Char">
    <w:name w:val="Char"/>
    <w:basedOn w:val="Normal"/>
    <w:rsid w:val="005F6E83"/>
    <w:pPr>
      <w:spacing w:after="160" w:line="240" w:lineRule="exact"/>
    </w:pPr>
    <w:rPr>
      <w:color w:val="auto"/>
      <w:sz w:val="20"/>
      <w:szCs w:val="20"/>
      <w:lang w:val="en-AU"/>
    </w:rPr>
  </w:style>
  <w:style w:type="paragraph" w:styleId="BodyText2">
    <w:name w:val="Body Text 2"/>
    <w:basedOn w:val="Normal"/>
    <w:link w:val="BodyText2Char"/>
    <w:rsid w:val="005F6E83"/>
    <w:pPr>
      <w:jc w:val="both"/>
    </w:pPr>
    <w:rPr>
      <w:rFonts w:ascii=".VnTime" w:hAnsi=".VnTime"/>
      <w:i/>
      <w:iCs/>
      <w:snapToGrid w:val="0"/>
      <w:color w:val="auto"/>
      <w:sz w:val="26"/>
      <w:szCs w:val="20"/>
      <w:lang w:eastAsia="en-AU"/>
    </w:rPr>
  </w:style>
  <w:style w:type="character" w:customStyle="1" w:styleId="BodyText2Char">
    <w:name w:val="Body Text 2 Char"/>
    <w:basedOn w:val="DefaultParagraphFont"/>
    <w:link w:val="BodyText2"/>
    <w:rsid w:val="005F6E83"/>
    <w:rPr>
      <w:rFonts w:ascii=".VnTime" w:hAnsi=".VnTime"/>
      <w:i/>
      <w:iCs/>
      <w:snapToGrid w:val="0"/>
      <w:sz w:val="26"/>
      <w:lang w:val="en-US" w:eastAsia="en-AU" w:bidi="ar-SA"/>
    </w:rPr>
  </w:style>
  <w:style w:type="character" w:customStyle="1" w:styleId="CharChar3">
    <w:name w:val="Char Char3"/>
    <w:basedOn w:val="DefaultParagraphFont"/>
    <w:locked/>
    <w:rsid w:val="005F6E83"/>
    <w:rPr>
      <w:sz w:val="24"/>
      <w:szCs w:val="24"/>
      <w:lang w:val="en-US" w:eastAsia="en-US"/>
    </w:rPr>
  </w:style>
  <w:style w:type="paragraph" w:styleId="ListParagraph">
    <w:name w:val="List Paragraph"/>
    <w:basedOn w:val="Normal"/>
    <w:qFormat/>
    <w:rsid w:val="005F6E83"/>
    <w:pPr>
      <w:ind w:left="720"/>
      <w:contextualSpacing/>
    </w:pPr>
  </w:style>
  <w:style w:type="paragraph" w:customStyle="1" w:styleId="CharCharCharCharCharCharChar">
    <w:name w:val="Char Char Char Char Char Char Char"/>
    <w:basedOn w:val="Normal"/>
    <w:rsid w:val="005F6E83"/>
    <w:pPr>
      <w:spacing w:after="160" w:line="240" w:lineRule="exact"/>
    </w:pPr>
    <w:rPr>
      <w:rFonts w:ascii="Verdana" w:hAnsi="Verdana" w:cs="Angsana New"/>
      <w:color w:val="auto"/>
      <w:sz w:val="20"/>
      <w:szCs w:val="20"/>
      <w:lang w:val="en-GB"/>
    </w:rPr>
  </w:style>
  <w:style w:type="table" w:styleId="TableGrid">
    <w:name w:val="Table Grid"/>
    <w:basedOn w:val="TableNormal"/>
    <w:rsid w:val="005F6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37214</Words>
  <Characters>131822</Characters>
  <Application>Microsoft Office Word</Application>
  <DocSecurity>0</DocSecurity>
  <Lines>2470</Lines>
  <Paragraphs>1233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168303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wordprocess</cp:lastModifiedBy>
  <cp:revision>3</cp:revision>
  <dcterms:created xsi:type="dcterms:W3CDTF">2024-03-26T03:23:00Z</dcterms:created>
  <dcterms:modified xsi:type="dcterms:W3CDTF">2024-03-26T03:24:00Z</dcterms:modified>
</cp:coreProperties>
</file>