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472"/>
        <w:gridCol w:w="5440"/>
      </w:tblGrid>
      <w:tr w:rsidR="006419E5" w:rsidRPr="006419E5" w:rsidTr="006419E5">
        <w:trPr>
          <w:trHeight w:val="720"/>
        </w:trPr>
        <w:tc>
          <w:tcPr>
            <w:tcW w:w="3510" w:type="dxa"/>
            <w:shd w:val="clear" w:color="auto" w:fill="auto"/>
          </w:tcPr>
          <w:p w:rsidR="00A212EF" w:rsidRPr="006419E5" w:rsidRDefault="001A6990" w:rsidP="006419E5">
            <w:pPr>
              <w:pStyle w:val="Bodytext20"/>
              <w:shd w:val="clear" w:color="auto" w:fill="auto"/>
              <w:tabs>
                <w:tab w:val="left" w:pos="3701"/>
              </w:tabs>
              <w:spacing w:line="240" w:lineRule="auto"/>
              <w:jc w:val="center"/>
              <w:rPr>
                <w:rFonts w:ascii="Arial" w:hAnsi="Arial" w:cs="Arial"/>
                <w:sz w:val="20"/>
                <w:szCs w:val="20"/>
              </w:rPr>
            </w:pPr>
            <w:r w:rsidRPr="006419E5">
              <w:rPr>
                <w:rFonts w:ascii="Arial" w:hAnsi="Arial" w:cs="Arial"/>
                <w:sz w:val="20"/>
                <w:szCs w:val="20"/>
              </w:rPr>
              <w:t>QUỐC</w:t>
            </w:r>
            <w:r w:rsidR="00A212EF" w:rsidRPr="006419E5">
              <w:rPr>
                <w:rFonts w:ascii="Arial" w:hAnsi="Arial" w:cs="Arial"/>
                <w:sz w:val="20"/>
                <w:szCs w:val="20"/>
              </w:rPr>
              <w:t xml:space="preserve"> HỘI</w:t>
            </w:r>
          </w:p>
          <w:p w:rsidR="001A6990" w:rsidRPr="006419E5" w:rsidRDefault="001A6990" w:rsidP="006419E5">
            <w:pPr>
              <w:pStyle w:val="Bodytext20"/>
              <w:shd w:val="clear" w:color="auto" w:fill="auto"/>
              <w:tabs>
                <w:tab w:val="left" w:pos="3701"/>
              </w:tabs>
              <w:spacing w:line="240" w:lineRule="auto"/>
              <w:jc w:val="center"/>
              <w:rPr>
                <w:rFonts w:ascii="Arial" w:hAnsi="Arial" w:cs="Arial"/>
                <w:b w:val="0"/>
                <w:sz w:val="20"/>
                <w:szCs w:val="20"/>
                <w:lang w:val="en-US"/>
              </w:rPr>
            </w:pPr>
            <w:r w:rsidRPr="006419E5">
              <w:rPr>
                <w:rFonts w:ascii="Arial" w:hAnsi="Arial" w:cs="Arial"/>
                <w:b w:val="0"/>
                <w:sz w:val="20"/>
                <w:szCs w:val="20"/>
                <w:lang w:val="en-US"/>
              </w:rPr>
              <w:t>__________</w:t>
            </w:r>
          </w:p>
          <w:p w:rsidR="00A212EF" w:rsidRPr="006419E5" w:rsidRDefault="00A212EF" w:rsidP="006419E5">
            <w:pPr>
              <w:pStyle w:val="Bodytext20"/>
              <w:shd w:val="clear" w:color="auto" w:fill="auto"/>
              <w:tabs>
                <w:tab w:val="left" w:pos="3701"/>
              </w:tabs>
              <w:spacing w:line="240" w:lineRule="auto"/>
              <w:jc w:val="center"/>
              <w:rPr>
                <w:rFonts w:ascii="Arial" w:hAnsi="Arial" w:cs="Arial"/>
                <w:b w:val="0"/>
                <w:sz w:val="20"/>
                <w:szCs w:val="20"/>
              </w:rPr>
            </w:pPr>
            <w:r w:rsidRPr="006419E5">
              <w:rPr>
                <w:rFonts w:ascii="Arial" w:hAnsi="Arial" w:cs="Arial"/>
                <w:sz w:val="20"/>
                <w:szCs w:val="20"/>
              </w:rPr>
              <w:t xml:space="preserve"> </w:t>
            </w:r>
            <w:r w:rsidRPr="006419E5">
              <w:rPr>
                <w:rFonts w:ascii="Arial" w:hAnsi="Arial" w:cs="Arial"/>
                <w:b w:val="0"/>
                <w:sz w:val="20"/>
                <w:szCs w:val="20"/>
              </w:rPr>
              <w:t>Luật số: 56/2020/QH14</w:t>
            </w:r>
          </w:p>
        </w:tc>
        <w:tc>
          <w:tcPr>
            <w:tcW w:w="5490" w:type="dxa"/>
            <w:shd w:val="clear" w:color="auto" w:fill="auto"/>
          </w:tcPr>
          <w:p w:rsidR="00A212EF" w:rsidRPr="006419E5" w:rsidRDefault="00A212EF" w:rsidP="006419E5">
            <w:pPr>
              <w:pStyle w:val="Bodytext20"/>
              <w:shd w:val="clear" w:color="auto" w:fill="auto"/>
              <w:tabs>
                <w:tab w:val="left" w:pos="3701"/>
              </w:tabs>
              <w:spacing w:line="240" w:lineRule="auto"/>
              <w:jc w:val="center"/>
              <w:rPr>
                <w:rFonts w:ascii="Arial" w:hAnsi="Arial" w:cs="Arial"/>
                <w:sz w:val="20"/>
                <w:szCs w:val="20"/>
              </w:rPr>
            </w:pPr>
            <w:r w:rsidRPr="006419E5">
              <w:rPr>
                <w:rFonts w:ascii="Arial" w:hAnsi="Arial" w:cs="Arial"/>
                <w:sz w:val="20"/>
                <w:szCs w:val="20"/>
              </w:rPr>
              <w:t>CỘNG HÒA XÃ HỘI CHỦ NGHĨA VIỆT NAM</w:t>
            </w:r>
          </w:p>
          <w:p w:rsidR="00A212EF" w:rsidRPr="006419E5" w:rsidRDefault="001A6990" w:rsidP="006419E5">
            <w:pPr>
              <w:pStyle w:val="BodyText"/>
              <w:shd w:val="clear" w:color="auto" w:fill="auto"/>
              <w:spacing w:after="0" w:line="240" w:lineRule="auto"/>
              <w:ind w:firstLine="0"/>
              <w:jc w:val="center"/>
              <w:rPr>
                <w:rFonts w:ascii="Arial" w:hAnsi="Arial" w:cs="Arial"/>
                <w:b/>
                <w:bCs/>
                <w:sz w:val="20"/>
                <w:szCs w:val="20"/>
              </w:rPr>
            </w:pPr>
            <w:r w:rsidRPr="006419E5">
              <w:rPr>
                <w:rFonts w:ascii="Arial" w:hAnsi="Arial" w:cs="Arial"/>
                <w:b/>
                <w:bCs/>
                <w:sz w:val="20"/>
                <w:szCs w:val="20"/>
              </w:rPr>
              <w:t>Độc</w:t>
            </w:r>
            <w:r w:rsidR="00A212EF" w:rsidRPr="006419E5">
              <w:rPr>
                <w:rFonts w:ascii="Arial" w:hAnsi="Arial" w:cs="Arial"/>
                <w:b/>
                <w:bCs/>
                <w:sz w:val="20"/>
                <w:szCs w:val="20"/>
              </w:rPr>
              <w:t xml:space="preserve"> lập - Tự do - Hạnh phúc</w:t>
            </w:r>
          </w:p>
          <w:p w:rsidR="00A212EF" w:rsidRPr="006419E5" w:rsidRDefault="001A6990" w:rsidP="006419E5">
            <w:pPr>
              <w:pStyle w:val="BodyText"/>
              <w:shd w:val="clear" w:color="auto" w:fill="auto"/>
              <w:spacing w:after="0" w:line="240" w:lineRule="auto"/>
              <w:ind w:firstLine="0"/>
              <w:jc w:val="center"/>
              <w:rPr>
                <w:rFonts w:ascii="Arial" w:hAnsi="Arial" w:cs="Arial"/>
                <w:sz w:val="20"/>
                <w:szCs w:val="20"/>
                <w:lang w:val="en-US"/>
              </w:rPr>
            </w:pPr>
            <w:r w:rsidRPr="006419E5">
              <w:rPr>
                <w:rFonts w:ascii="Arial" w:hAnsi="Arial" w:cs="Arial"/>
                <w:bCs/>
                <w:sz w:val="20"/>
                <w:szCs w:val="20"/>
                <w:lang w:val="en-US"/>
              </w:rPr>
              <w:t>________________________</w:t>
            </w:r>
          </w:p>
        </w:tc>
      </w:tr>
    </w:tbl>
    <w:p w:rsidR="00A212EF" w:rsidRPr="00EB6DED" w:rsidRDefault="00A212EF" w:rsidP="00185CE7">
      <w:pPr>
        <w:pStyle w:val="Bodytext20"/>
        <w:shd w:val="clear" w:color="auto" w:fill="auto"/>
        <w:tabs>
          <w:tab w:val="left" w:pos="3701"/>
        </w:tabs>
        <w:spacing w:line="240" w:lineRule="auto"/>
        <w:jc w:val="center"/>
        <w:rPr>
          <w:rFonts w:ascii="Arial" w:hAnsi="Arial" w:cs="Arial"/>
          <w:sz w:val="20"/>
          <w:szCs w:val="20"/>
        </w:rPr>
      </w:pPr>
    </w:p>
    <w:p w:rsidR="00765FDA" w:rsidRPr="00EB6DED" w:rsidRDefault="006419E5" w:rsidP="00185CE7">
      <w:pPr>
        <w:pStyle w:val="Bodytext20"/>
        <w:shd w:val="clear" w:color="auto" w:fill="auto"/>
        <w:tabs>
          <w:tab w:val="left" w:pos="3701"/>
        </w:tabs>
        <w:spacing w:line="240" w:lineRule="auto"/>
        <w:jc w:val="center"/>
        <w:rPr>
          <w:rFonts w:ascii="Arial" w:hAnsi="Arial" w:cs="Arial"/>
          <w:sz w:val="20"/>
          <w:szCs w:val="20"/>
        </w:rPr>
      </w:pPr>
      <w:r w:rsidRPr="00EB6DED">
        <w:rPr>
          <w:rFonts w:ascii="Arial" w:hAnsi="Arial" w:cs="Arial"/>
          <w:sz w:val="20"/>
          <w:szCs w:val="20"/>
        </w:rPr>
        <w:tab/>
      </w:r>
    </w:p>
    <w:p w:rsidR="00765FDA" w:rsidRPr="00EB6DED" w:rsidRDefault="006419E5" w:rsidP="00185CE7">
      <w:pPr>
        <w:pStyle w:val="BodyText"/>
        <w:spacing w:after="0" w:line="240" w:lineRule="auto"/>
        <w:ind w:firstLine="0"/>
        <w:jc w:val="center"/>
        <w:rPr>
          <w:rFonts w:ascii="Arial" w:hAnsi="Arial" w:cs="Arial"/>
          <w:b/>
          <w:sz w:val="20"/>
          <w:szCs w:val="20"/>
        </w:rPr>
      </w:pPr>
      <w:r w:rsidRPr="00EB6DED">
        <w:rPr>
          <w:rFonts w:ascii="Arial" w:hAnsi="Arial" w:cs="Arial"/>
          <w:b/>
          <w:sz w:val="20"/>
          <w:szCs w:val="20"/>
        </w:rPr>
        <w:t>LUẬT</w:t>
      </w:r>
    </w:p>
    <w:p w:rsidR="00765FDA" w:rsidRPr="00EB6DED" w:rsidRDefault="001A6990" w:rsidP="00185CE7">
      <w:pPr>
        <w:pStyle w:val="BodyText"/>
        <w:shd w:val="clear" w:color="auto" w:fill="auto"/>
        <w:spacing w:after="0" w:line="240" w:lineRule="auto"/>
        <w:ind w:firstLine="0"/>
        <w:jc w:val="center"/>
        <w:rPr>
          <w:rFonts w:ascii="Arial" w:hAnsi="Arial" w:cs="Arial"/>
          <w:b/>
          <w:bCs/>
          <w:smallCaps/>
          <w:sz w:val="20"/>
          <w:szCs w:val="20"/>
          <w:lang w:val="en-US"/>
        </w:rPr>
      </w:pPr>
      <w:r w:rsidRPr="00EB6DED">
        <w:rPr>
          <w:rFonts w:ascii="Arial" w:hAnsi="Arial" w:cs="Arial"/>
          <w:b/>
          <w:bCs/>
          <w:sz w:val="20"/>
          <w:szCs w:val="20"/>
        </w:rPr>
        <w:t>SỬA ĐỔI, BỔ SUNG MỘT S</w:t>
      </w:r>
      <w:r w:rsidRPr="00EB6DED">
        <w:rPr>
          <w:rFonts w:ascii="Arial" w:hAnsi="Arial" w:cs="Arial"/>
          <w:b/>
          <w:bCs/>
          <w:sz w:val="20"/>
          <w:szCs w:val="20"/>
          <w:lang w:val="en-US"/>
        </w:rPr>
        <w:t>Ố</w:t>
      </w:r>
      <w:r w:rsidR="006419E5" w:rsidRPr="00EB6DED">
        <w:rPr>
          <w:rFonts w:ascii="Arial" w:hAnsi="Arial" w:cs="Arial"/>
          <w:b/>
          <w:bCs/>
          <w:sz w:val="20"/>
          <w:szCs w:val="20"/>
        </w:rPr>
        <w:t xml:space="preserve"> </w:t>
      </w:r>
      <w:r w:rsidRPr="00EB6DED">
        <w:rPr>
          <w:rFonts w:ascii="Arial" w:hAnsi="Arial" w:cs="Arial"/>
          <w:b/>
          <w:bCs/>
          <w:sz w:val="20"/>
          <w:szCs w:val="20"/>
        </w:rPr>
        <w:t>ĐIỀU CỦA LUẬT GIÁM ĐỊNH T</w:t>
      </w:r>
      <w:r w:rsidRPr="00EB6DED">
        <w:rPr>
          <w:rFonts w:ascii="Arial" w:hAnsi="Arial" w:cs="Arial"/>
          <w:b/>
          <w:bCs/>
          <w:sz w:val="20"/>
          <w:szCs w:val="20"/>
          <w:lang w:val="en-US"/>
        </w:rPr>
        <w:t>Ư PHÁP</w:t>
      </w:r>
    </w:p>
    <w:p w:rsidR="00A212EF" w:rsidRPr="00EB6DED" w:rsidRDefault="00A212EF" w:rsidP="00185CE7">
      <w:pPr>
        <w:pStyle w:val="BodyText"/>
        <w:shd w:val="clear" w:color="auto" w:fill="auto"/>
        <w:spacing w:after="0" w:line="240" w:lineRule="auto"/>
        <w:ind w:firstLine="0"/>
        <w:jc w:val="center"/>
        <w:rPr>
          <w:rFonts w:ascii="Arial" w:hAnsi="Arial" w:cs="Arial"/>
          <w:sz w:val="20"/>
          <w:szCs w:val="20"/>
        </w:rPr>
      </w:pP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i/>
          <w:iCs/>
          <w:sz w:val="20"/>
          <w:szCs w:val="20"/>
        </w:rPr>
        <w:t>Căn cứ Hiến pháp nước Cộng hòa xã hội chủ nghĩa Việt Nam;</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i/>
          <w:iCs/>
          <w:sz w:val="20"/>
          <w:szCs w:val="20"/>
        </w:rPr>
        <w:t xml:space="preserve">Quốc hội ban hành Luật sửa đổi, bổ sung một số điều của Luật Giám định tư pháp </w:t>
      </w:r>
      <w:r w:rsidR="001A6990" w:rsidRPr="00EB6DED">
        <w:rPr>
          <w:rFonts w:ascii="Arial" w:hAnsi="Arial" w:cs="Arial"/>
          <w:i/>
          <w:iCs/>
          <w:sz w:val="20"/>
          <w:szCs w:val="20"/>
          <w:lang w:val="en-US" w:eastAsia="en-US" w:bidi="en-US"/>
        </w:rPr>
        <w:t>số</w:t>
      </w:r>
      <w:r w:rsidRPr="00EB6DED">
        <w:rPr>
          <w:rFonts w:ascii="Arial" w:hAnsi="Arial" w:cs="Arial"/>
          <w:i/>
          <w:iCs/>
          <w:sz w:val="20"/>
          <w:szCs w:val="20"/>
          <w:lang w:val="en-US" w:eastAsia="en-US" w:bidi="en-US"/>
        </w:rPr>
        <w:t xml:space="preserve"> </w:t>
      </w:r>
      <w:r w:rsidR="00ED6F36" w:rsidRPr="00EB6DED">
        <w:rPr>
          <w:rFonts w:ascii="Arial" w:hAnsi="Arial" w:cs="Arial"/>
          <w:i/>
          <w:iCs/>
          <w:sz w:val="20"/>
          <w:szCs w:val="20"/>
        </w:rPr>
        <w:t>13/2012/QH13 đã được sửa đổi, bổ sung một số điều theo Luật số</w:t>
      </w:r>
      <w:r w:rsidRPr="00EB6DED">
        <w:rPr>
          <w:rFonts w:ascii="Arial" w:hAnsi="Arial" w:cs="Arial"/>
          <w:i/>
          <w:iCs/>
          <w:sz w:val="20"/>
          <w:szCs w:val="20"/>
        </w:rPr>
        <w:t xml:space="preserve"> </w:t>
      </w:r>
      <w:r w:rsidRPr="00EB6DED">
        <w:rPr>
          <w:rFonts w:ascii="Arial" w:hAnsi="Arial" w:cs="Arial"/>
          <w:i/>
          <w:iCs/>
          <w:sz w:val="20"/>
          <w:szCs w:val="20"/>
          <w:lang w:val="en-US" w:eastAsia="en-US" w:bidi="en-US"/>
        </w:rPr>
        <w:t>35/2018/QH14.</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1. Sửa đổi, bổ sung một số điều của Luật Giám định tư pháp</w:t>
      </w:r>
    </w:p>
    <w:p w:rsidR="00765FDA" w:rsidRPr="00EB6DED" w:rsidRDefault="00ED6F36" w:rsidP="00C00499">
      <w:pPr>
        <w:pStyle w:val="BodyText"/>
        <w:shd w:val="clear" w:color="auto" w:fill="auto"/>
        <w:tabs>
          <w:tab w:val="left" w:pos="106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Sửa</w:t>
      </w:r>
      <w:r w:rsidRPr="00EB6DED">
        <w:rPr>
          <w:rFonts w:ascii="Arial" w:hAnsi="Arial" w:cs="Arial"/>
          <w:sz w:val="20"/>
          <w:szCs w:val="20"/>
          <w:lang w:val="en-US"/>
        </w:rPr>
        <w:t xml:space="preserve"> </w:t>
      </w:r>
      <w:r w:rsidRPr="00EB6DED">
        <w:rPr>
          <w:rFonts w:ascii="Arial" w:hAnsi="Arial" w:cs="Arial"/>
          <w:sz w:val="20"/>
          <w:szCs w:val="20"/>
        </w:rPr>
        <w:t>đổi</w:t>
      </w:r>
      <w:r w:rsidR="006419E5" w:rsidRPr="00EB6DED">
        <w:rPr>
          <w:rFonts w:ascii="Arial" w:hAnsi="Arial" w:cs="Arial"/>
          <w:sz w:val="20"/>
          <w:szCs w:val="20"/>
        </w:rPr>
        <w:t xml:space="preserve">, bổ </w:t>
      </w:r>
      <w:r w:rsidR="006419E5" w:rsidRPr="00EB6DED">
        <w:rPr>
          <w:rFonts w:ascii="Arial" w:hAnsi="Arial" w:cs="Arial"/>
          <w:sz w:val="20"/>
          <w:szCs w:val="20"/>
          <w:lang w:val="en-US" w:eastAsia="en-US" w:bidi="en-US"/>
        </w:rPr>
        <w:t>sung</w:t>
      </w:r>
      <w:r w:rsidRPr="00EB6DED">
        <w:rPr>
          <w:rFonts w:ascii="Arial" w:hAnsi="Arial" w:cs="Arial"/>
          <w:sz w:val="20"/>
          <w:szCs w:val="20"/>
          <w:lang w:val="en-US" w:eastAsia="en-US" w:bidi="en-US"/>
        </w:rPr>
        <w:t xml:space="preserve"> các khoả</w:t>
      </w:r>
      <w:r w:rsidR="006419E5" w:rsidRPr="00EB6DED">
        <w:rPr>
          <w:rFonts w:ascii="Arial" w:hAnsi="Arial" w:cs="Arial"/>
          <w:sz w:val="20"/>
          <w:szCs w:val="20"/>
          <w:lang w:val="en-US" w:eastAsia="en-US" w:bidi="en-US"/>
        </w:rPr>
        <w:t xml:space="preserve">n </w:t>
      </w:r>
      <w:r w:rsidR="006419E5" w:rsidRPr="00EB6DED">
        <w:rPr>
          <w:rFonts w:ascii="Arial" w:hAnsi="Arial" w:cs="Arial"/>
          <w:sz w:val="20"/>
          <w:szCs w:val="20"/>
        </w:rPr>
        <w:t>1,</w:t>
      </w:r>
      <w:r w:rsidRPr="00EB6DED">
        <w:rPr>
          <w:rFonts w:ascii="Arial" w:hAnsi="Arial" w:cs="Arial"/>
          <w:sz w:val="20"/>
          <w:szCs w:val="20"/>
          <w:lang w:val="en-US"/>
        </w:rPr>
        <w:t xml:space="preserve"> </w:t>
      </w:r>
      <w:r w:rsidR="006419E5" w:rsidRPr="00EB6DED">
        <w:rPr>
          <w:rFonts w:ascii="Arial" w:hAnsi="Arial" w:cs="Arial"/>
          <w:sz w:val="20"/>
          <w:szCs w:val="20"/>
        </w:rPr>
        <w:t>2 và</w:t>
      </w:r>
      <w:r w:rsidRPr="00EB6DED">
        <w:rPr>
          <w:rFonts w:ascii="Arial" w:hAnsi="Arial" w:cs="Arial"/>
          <w:sz w:val="20"/>
          <w:szCs w:val="20"/>
          <w:lang w:val="en-US"/>
        </w:rPr>
        <w:t xml:space="preserve"> </w:t>
      </w:r>
      <w:r w:rsidR="006419E5" w:rsidRPr="00EB6DED">
        <w:rPr>
          <w:rFonts w:ascii="Arial" w:hAnsi="Arial" w:cs="Arial"/>
          <w:sz w:val="20"/>
          <w:szCs w:val="20"/>
        </w:rPr>
        <w:t>3</w:t>
      </w:r>
      <w:r w:rsidRPr="00EB6DED">
        <w:rPr>
          <w:rFonts w:ascii="Arial" w:hAnsi="Arial" w:cs="Arial"/>
          <w:sz w:val="20"/>
          <w:szCs w:val="20"/>
          <w:lang w:val="en-US"/>
        </w:rPr>
        <w:t xml:space="preserve"> </w:t>
      </w:r>
      <w:r w:rsidR="006419E5" w:rsidRPr="00EB6DED">
        <w:rPr>
          <w:rFonts w:ascii="Arial" w:hAnsi="Arial" w:cs="Arial"/>
          <w:sz w:val="20"/>
          <w:szCs w:val="20"/>
        </w:rPr>
        <w:t>Điều</w:t>
      </w:r>
      <w:r w:rsidRPr="00EB6DED">
        <w:rPr>
          <w:rFonts w:ascii="Arial" w:hAnsi="Arial" w:cs="Arial"/>
          <w:sz w:val="20"/>
          <w:szCs w:val="20"/>
          <w:lang w:val="en-US"/>
        </w:rPr>
        <w:t xml:space="preserve"> </w:t>
      </w:r>
      <w:r w:rsidR="006419E5" w:rsidRPr="00EB6DED">
        <w:rPr>
          <w:rFonts w:ascii="Arial" w:hAnsi="Arial" w:cs="Arial"/>
          <w:sz w:val="20"/>
          <w:szCs w:val="20"/>
        </w:rPr>
        <w:t>2</w:t>
      </w:r>
      <w:r w:rsidRPr="00EB6DED">
        <w:rPr>
          <w:rFonts w:ascii="Arial" w:hAnsi="Arial" w:cs="Arial"/>
          <w:sz w:val="20"/>
          <w:szCs w:val="20"/>
          <w:lang w:val="en-US"/>
        </w:rPr>
        <w:t xml:space="preserve"> </w:t>
      </w:r>
      <w:r w:rsidR="006419E5" w:rsidRPr="00EB6DED">
        <w:rPr>
          <w:rFonts w:ascii="Arial" w:hAnsi="Arial" w:cs="Arial"/>
          <w:sz w:val="20"/>
          <w:szCs w:val="20"/>
        </w:rPr>
        <w:t>như</w:t>
      </w:r>
      <w:r w:rsidRPr="00EB6DED">
        <w:rPr>
          <w:rFonts w:ascii="Arial" w:hAnsi="Arial" w:cs="Arial"/>
          <w:sz w:val="20"/>
          <w:szCs w:val="20"/>
          <w:lang w:val="en-US"/>
        </w:rPr>
        <w:t xml:space="preserve"> </w:t>
      </w:r>
      <w:r w:rsidR="006419E5" w:rsidRPr="00EB6DED">
        <w:rPr>
          <w:rFonts w:ascii="Arial" w:hAnsi="Arial" w:cs="Arial"/>
          <w:sz w:val="20"/>
          <w:szCs w:val="20"/>
        </w:rPr>
        <w:t>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“1. </w:t>
      </w:r>
      <w:r w:rsidRPr="00EB6DED">
        <w:rPr>
          <w:rFonts w:ascii="Arial" w:hAnsi="Arial" w:cs="Arial"/>
          <w:i/>
          <w:iCs/>
          <w:sz w:val="20"/>
          <w:szCs w:val="20"/>
        </w:rPr>
        <w:t>Giám định tư pháp</w:t>
      </w:r>
      <w:r w:rsidRPr="00EB6DED">
        <w:rPr>
          <w:rFonts w:ascii="Arial" w:hAnsi="Arial" w:cs="Arial"/>
          <w:sz w:val="20"/>
          <w:szCs w:val="20"/>
        </w:rPr>
        <w:t xml:space="preserve"> là việc người giám định tư pháp sử dụng kiến </w:t>
      </w:r>
      <w:r w:rsidR="00AE04CC" w:rsidRPr="00EB6DED">
        <w:rPr>
          <w:rFonts w:ascii="Arial" w:hAnsi="Arial" w:cs="Arial"/>
          <w:sz w:val="20"/>
          <w:szCs w:val="20"/>
        </w:rPr>
        <w:t xml:space="preserve">thức, phương tiện, phương pháp </w:t>
      </w:r>
      <w:r w:rsidRPr="00EB6DED">
        <w:rPr>
          <w:rFonts w:ascii="Arial" w:hAnsi="Arial" w:cs="Arial"/>
          <w:sz w:val="20"/>
          <w:szCs w:val="20"/>
        </w:rPr>
        <w:t xml:space="preserve">khoa học, kỹ thuật, nghiệp vụ để kết luận về chuyên môn những vấn đề có liên quan đến hoạt động khởi tố, điều tra, truy tố, xét xử và thi hành án hình sự, giải quyết vụ việc dân sự, vụ án hành chính theo trưng cầu của cơ quan có thẩm quyền tiến hành tố tụng, người có thẩm quyền tiến hành tố tụng hoặc theo </w:t>
      </w:r>
      <w:r w:rsidR="00B73ED2" w:rsidRPr="00EB6DED">
        <w:rPr>
          <w:rFonts w:ascii="Arial" w:hAnsi="Arial" w:cs="Arial"/>
          <w:sz w:val="20"/>
          <w:szCs w:val="20"/>
        </w:rPr>
        <w:t>yêu cầu</w:t>
      </w:r>
      <w:r w:rsidRPr="00EB6DED">
        <w:rPr>
          <w:rFonts w:ascii="Arial" w:hAnsi="Arial" w:cs="Arial"/>
          <w:sz w:val="20"/>
          <w:szCs w:val="20"/>
        </w:rPr>
        <w:t xml:space="preserve"> của người yêu </w:t>
      </w:r>
      <w:r w:rsidR="00B73ED2" w:rsidRPr="00EB6DED">
        <w:rPr>
          <w:rFonts w:ascii="Arial" w:hAnsi="Arial" w:cs="Arial"/>
          <w:sz w:val="20"/>
          <w:szCs w:val="20"/>
        </w:rPr>
        <w:t>cầu</w:t>
      </w:r>
      <w:r w:rsidRPr="00EB6DED">
        <w:rPr>
          <w:rFonts w:ascii="Arial" w:hAnsi="Arial" w:cs="Arial"/>
          <w:sz w:val="20"/>
          <w:szCs w:val="20"/>
        </w:rPr>
        <w:t xml:space="preserve"> giám định theo quy định của Luật này.</w:t>
      </w:r>
    </w:p>
    <w:p w:rsidR="00765FDA" w:rsidRPr="00EB6DED" w:rsidRDefault="00B73ED2" w:rsidP="00C00499">
      <w:pPr>
        <w:pStyle w:val="BodyText"/>
        <w:shd w:val="clear" w:color="auto" w:fill="auto"/>
        <w:tabs>
          <w:tab w:val="left" w:pos="1116"/>
        </w:tabs>
        <w:spacing w:after="120" w:line="240" w:lineRule="auto"/>
        <w:ind w:firstLine="720"/>
        <w:jc w:val="both"/>
        <w:rPr>
          <w:rFonts w:ascii="Arial" w:hAnsi="Arial" w:cs="Arial"/>
          <w:sz w:val="20"/>
          <w:szCs w:val="20"/>
        </w:rPr>
      </w:pPr>
      <w:r w:rsidRPr="00EB6DED">
        <w:rPr>
          <w:rFonts w:ascii="Arial" w:hAnsi="Arial" w:cs="Arial"/>
          <w:i/>
          <w:iCs/>
          <w:sz w:val="20"/>
          <w:szCs w:val="20"/>
          <w:lang w:val="en-US"/>
        </w:rPr>
        <w:t xml:space="preserve">2. </w:t>
      </w:r>
      <w:r w:rsidR="00197445" w:rsidRPr="00EB6DED">
        <w:rPr>
          <w:rFonts w:ascii="Arial" w:hAnsi="Arial" w:cs="Arial"/>
          <w:i/>
          <w:iCs/>
          <w:sz w:val="20"/>
          <w:szCs w:val="20"/>
        </w:rPr>
        <w:t>Người trưng cầu giá</w:t>
      </w:r>
      <w:r w:rsidR="006419E5" w:rsidRPr="00EB6DED">
        <w:rPr>
          <w:rFonts w:ascii="Arial" w:hAnsi="Arial" w:cs="Arial"/>
          <w:i/>
          <w:iCs/>
          <w:sz w:val="20"/>
          <w:szCs w:val="20"/>
        </w:rPr>
        <w:t>m định</w:t>
      </w:r>
      <w:r w:rsidR="006419E5" w:rsidRPr="00EB6DED">
        <w:rPr>
          <w:rFonts w:ascii="Arial" w:hAnsi="Arial" w:cs="Arial"/>
          <w:sz w:val="20"/>
          <w:szCs w:val="20"/>
        </w:rPr>
        <w:t xml:space="preserve"> bao gồm cơ</w:t>
      </w:r>
      <w:r w:rsidR="00197445" w:rsidRPr="00EB6DED">
        <w:rPr>
          <w:rFonts w:ascii="Arial" w:hAnsi="Arial" w:cs="Arial"/>
          <w:sz w:val="20"/>
          <w:szCs w:val="20"/>
        </w:rPr>
        <w:t xml:space="preserve"> quan có thẩm quyền tiến hành tố</w:t>
      </w:r>
      <w:r w:rsidR="006419E5" w:rsidRPr="00EB6DED">
        <w:rPr>
          <w:rFonts w:ascii="Arial" w:hAnsi="Arial" w:cs="Arial"/>
          <w:sz w:val="20"/>
          <w:szCs w:val="20"/>
        </w:rPr>
        <w:t xml:space="preserve"> tụng, người có </w:t>
      </w:r>
      <w:r w:rsidR="00197445" w:rsidRPr="00EB6DED">
        <w:rPr>
          <w:rFonts w:ascii="Arial" w:hAnsi="Arial" w:cs="Arial"/>
          <w:sz w:val="20"/>
          <w:szCs w:val="20"/>
        </w:rPr>
        <w:t>thẩm quyền</w:t>
      </w:r>
      <w:r w:rsidR="006419E5" w:rsidRPr="00EB6DED">
        <w:rPr>
          <w:rFonts w:ascii="Arial" w:hAnsi="Arial" w:cs="Arial"/>
          <w:sz w:val="20"/>
          <w:szCs w:val="20"/>
        </w:rPr>
        <w:t xml:space="preserve"> </w:t>
      </w:r>
      <w:r w:rsidR="00197445" w:rsidRPr="00EB6DED">
        <w:rPr>
          <w:rFonts w:ascii="Arial" w:hAnsi="Arial" w:cs="Arial"/>
          <w:sz w:val="20"/>
          <w:szCs w:val="20"/>
        </w:rPr>
        <w:t>tiến hành</w:t>
      </w:r>
      <w:r w:rsidR="006419E5" w:rsidRPr="00EB6DED">
        <w:rPr>
          <w:rFonts w:ascii="Arial" w:hAnsi="Arial" w:cs="Arial"/>
          <w:sz w:val="20"/>
          <w:szCs w:val="20"/>
        </w:rPr>
        <w:t xml:space="preserve"> </w:t>
      </w:r>
      <w:r w:rsidR="00197445" w:rsidRPr="00EB6DED">
        <w:rPr>
          <w:rFonts w:ascii="Arial" w:hAnsi="Arial" w:cs="Arial"/>
          <w:sz w:val="20"/>
          <w:szCs w:val="20"/>
        </w:rPr>
        <w:t>tố tụng</w:t>
      </w:r>
      <w:r w:rsidR="006419E5" w:rsidRPr="00EB6DED">
        <w:rPr>
          <w:rFonts w:ascii="Arial" w:hAnsi="Arial" w:cs="Arial"/>
          <w:sz w:val="20"/>
          <w:szCs w:val="20"/>
        </w:rPr>
        <w:t>.</w:t>
      </w:r>
    </w:p>
    <w:p w:rsidR="00765FDA" w:rsidRPr="00EB6DED" w:rsidRDefault="00197445" w:rsidP="00C00499">
      <w:pPr>
        <w:pStyle w:val="BodyText"/>
        <w:shd w:val="clear" w:color="auto" w:fill="auto"/>
        <w:tabs>
          <w:tab w:val="left" w:pos="1110"/>
        </w:tabs>
        <w:spacing w:after="120" w:line="240" w:lineRule="auto"/>
        <w:ind w:firstLine="720"/>
        <w:jc w:val="both"/>
        <w:rPr>
          <w:rFonts w:ascii="Arial" w:hAnsi="Arial" w:cs="Arial"/>
          <w:sz w:val="20"/>
          <w:szCs w:val="20"/>
        </w:rPr>
      </w:pPr>
      <w:r w:rsidRPr="00EB6DED">
        <w:rPr>
          <w:rFonts w:ascii="Arial" w:hAnsi="Arial" w:cs="Arial"/>
          <w:i/>
          <w:iCs/>
          <w:sz w:val="20"/>
          <w:szCs w:val="20"/>
          <w:lang w:val="en-US"/>
        </w:rPr>
        <w:t xml:space="preserve">3. </w:t>
      </w:r>
      <w:r w:rsidR="006419E5" w:rsidRPr="00EB6DED">
        <w:rPr>
          <w:rFonts w:ascii="Arial" w:hAnsi="Arial" w:cs="Arial"/>
          <w:i/>
          <w:iCs/>
          <w:sz w:val="20"/>
          <w:szCs w:val="20"/>
        </w:rPr>
        <w:t>Người yêu cầu giám định</w:t>
      </w:r>
      <w:r w:rsidR="00E26059" w:rsidRPr="00EB6DED">
        <w:rPr>
          <w:rFonts w:ascii="Arial" w:hAnsi="Arial" w:cs="Arial"/>
          <w:sz w:val="20"/>
          <w:szCs w:val="20"/>
        </w:rPr>
        <w:t xml:space="preserve"> là người có q</w:t>
      </w:r>
      <w:r w:rsidR="006419E5" w:rsidRPr="00EB6DED">
        <w:rPr>
          <w:rFonts w:ascii="Arial" w:hAnsi="Arial" w:cs="Arial"/>
          <w:sz w:val="20"/>
          <w:szCs w:val="20"/>
        </w:rPr>
        <w:t xml:space="preserve">uyền tự mình yêu cầu giám định sau khi đã đề nghị cơ quan có thẩm quyền tiến hành tố tụng, người có </w:t>
      </w:r>
      <w:r w:rsidRPr="00EB6DED">
        <w:rPr>
          <w:rFonts w:ascii="Arial" w:hAnsi="Arial" w:cs="Arial"/>
          <w:sz w:val="20"/>
          <w:szCs w:val="20"/>
        </w:rPr>
        <w:t>thẩm quyền</w:t>
      </w:r>
      <w:r w:rsidR="006419E5" w:rsidRPr="00EB6DED">
        <w:rPr>
          <w:rFonts w:ascii="Arial" w:hAnsi="Arial" w:cs="Arial"/>
          <w:sz w:val="20"/>
          <w:szCs w:val="20"/>
        </w:rPr>
        <w:t xml:space="preserve"> </w:t>
      </w:r>
      <w:r w:rsidRPr="00EB6DED">
        <w:rPr>
          <w:rFonts w:ascii="Arial" w:hAnsi="Arial" w:cs="Arial"/>
          <w:sz w:val="20"/>
          <w:szCs w:val="20"/>
        </w:rPr>
        <w:t>tiến hành</w:t>
      </w:r>
      <w:r w:rsidR="006419E5" w:rsidRPr="00EB6DED">
        <w:rPr>
          <w:rFonts w:ascii="Arial" w:hAnsi="Arial" w:cs="Arial"/>
          <w:sz w:val="20"/>
          <w:szCs w:val="20"/>
        </w:rPr>
        <w:t xml:space="preserve"> </w:t>
      </w:r>
      <w:r w:rsidRPr="00EB6DED">
        <w:rPr>
          <w:rFonts w:ascii="Arial" w:hAnsi="Arial" w:cs="Arial"/>
          <w:sz w:val="20"/>
          <w:szCs w:val="20"/>
        </w:rPr>
        <w:t>tố tụng</w:t>
      </w:r>
      <w:r w:rsidR="006419E5" w:rsidRPr="00EB6DED">
        <w:rPr>
          <w:rFonts w:ascii="Arial" w:hAnsi="Arial" w:cs="Arial"/>
          <w:sz w:val="20"/>
          <w:szCs w:val="20"/>
        </w:rPr>
        <w:t xml:space="preserve"> t</w:t>
      </w:r>
      <w:r w:rsidR="00E26059" w:rsidRPr="00EB6DED">
        <w:rPr>
          <w:rFonts w:ascii="Arial" w:hAnsi="Arial" w:cs="Arial"/>
          <w:sz w:val="20"/>
          <w:szCs w:val="20"/>
        </w:rPr>
        <w:t>rưng cầ</w:t>
      </w:r>
      <w:r w:rsidR="006419E5" w:rsidRPr="00EB6DED">
        <w:rPr>
          <w:rFonts w:ascii="Arial" w:hAnsi="Arial" w:cs="Arial"/>
          <w:sz w:val="20"/>
          <w:szCs w:val="20"/>
        </w:rPr>
        <w:t>u giám định mà không được chấp nhận. Người có quyền tự mình yêu cầu giám định bao gồm đương sự trong vụ việc dân sự, vụ án hành chính, nguyên đơn dân sự, bị đơn dân sự, người có quyền lợi, nghĩa vụ liên quan trong vụ án hình sự hoặc người đại diện hợp pháp của họ, trừ trư</w:t>
      </w:r>
      <w:r w:rsidR="00E26059" w:rsidRPr="00EB6DED">
        <w:rPr>
          <w:rFonts w:ascii="Arial" w:hAnsi="Arial" w:cs="Arial"/>
          <w:sz w:val="20"/>
          <w:szCs w:val="20"/>
        </w:rPr>
        <w:t>ờng hợp việc yêu cầu giám định li</w:t>
      </w:r>
      <w:r w:rsidR="006419E5" w:rsidRPr="00EB6DED">
        <w:rPr>
          <w:rFonts w:ascii="Arial" w:hAnsi="Arial" w:cs="Arial"/>
          <w:sz w:val="20"/>
          <w:szCs w:val="20"/>
        </w:rPr>
        <w:t>ên quan đến việc xác định trách nhiệm hình sự của bị can, bị cáo.”.</w:t>
      </w:r>
    </w:p>
    <w:p w:rsidR="00765FDA" w:rsidRPr="00EB6DED" w:rsidRDefault="00E26059" w:rsidP="00C00499">
      <w:pPr>
        <w:pStyle w:val="BodyText"/>
        <w:shd w:val="clear" w:color="auto" w:fill="auto"/>
        <w:tabs>
          <w:tab w:val="left" w:pos="115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D53DB6" w:rsidRPr="00EB6DED">
        <w:rPr>
          <w:rFonts w:ascii="Arial" w:hAnsi="Arial" w:cs="Arial"/>
          <w:sz w:val="20"/>
          <w:szCs w:val="20"/>
        </w:rPr>
        <w:t>Sửa đổi, bổ sung khoản 1</w:t>
      </w:r>
      <w:r w:rsidR="006419E5" w:rsidRPr="00EB6DED">
        <w:rPr>
          <w:rFonts w:ascii="Arial" w:hAnsi="Arial" w:cs="Arial"/>
          <w:sz w:val="20"/>
          <w:szCs w:val="20"/>
        </w:rPr>
        <w:t xml:space="preserve"> Điều 3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“1. Tuân thủ pháp luật, tuân theo quy chuẩn chuyên môn và quy trình giám định.”.</w:t>
      </w:r>
    </w:p>
    <w:p w:rsidR="00765FDA" w:rsidRPr="00EB6DED" w:rsidRDefault="00D36879" w:rsidP="00C00499">
      <w:pPr>
        <w:pStyle w:val="BodyText"/>
        <w:shd w:val="clear" w:color="auto" w:fill="auto"/>
        <w:tabs>
          <w:tab w:val="left" w:pos="109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3. </w:t>
      </w:r>
      <w:r w:rsidR="006419E5" w:rsidRPr="00EB6DED">
        <w:rPr>
          <w:rFonts w:ascii="Arial" w:hAnsi="Arial" w:cs="Arial"/>
          <w:sz w:val="20"/>
          <w:szCs w:val="20"/>
        </w:rPr>
        <w:t>Sửa đổi, bổ sung khoản 3 Điều 6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“3. Cố ý kéo dài thời gian thực hiện giám định tư pháp hoặc lợi dụng việc trưng cầu, yêu cầu giám </w:t>
      </w:r>
      <w:r w:rsidR="001F500E" w:rsidRPr="00EB6DED">
        <w:rPr>
          <w:rFonts w:ascii="Arial" w:hAnsi="Arial" w:cs="Arial"/>
          <w:sz w:val="20"/>
          <w:szCs w:val="20"/>
        </w:rPr>
        <w:t>định tư pháp để gây khó khăn, cả</w:t>
      </w:r>
      <w:r w:rsidRPr="00EB6DED">
        <w:rPr>
          <w:rFonts w:ascii="Arial" w:hAnsi="Arial" w:cs="Arial"/>
          <w:sz w:val="20"/>
          <w:szCs w:val="20"/>
        </w:rPr>
        <w:t>n trở hoạt động tố tụng.”.</w:t>
      </w:r>
    </w:p>
    <w:p w:rsidR="00765FDA" w:rsidRPr="00EB6DED" w:rsidRDefault="001F500E" w:rsidP="00C00499">
      <w:pPr>
        <w:pStyle w:val="BodyText"/>
        <w:shd w:val="clear" w:color="auto" w:fill="auto"/>
        <w:tabs>
          <w:tab w:val="left" w:pos="115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4. </w:t>
      </w:r>
      <w:r w:rsidR="006419E5" w:rsidRPr="00EB6DED">
        <w:rPr>
          <w:rFonts w:ascii="Arial" w:hAnsi="Arial" w:cs="Arial"/>
          <w:sz w:val="20"/>
          <w:szCs w:val="20"/>
        </w:rPr>
        <w:t>Sửa đổi, bổ sung một số khoản của Điều 8 như sau:</w:t>
      </w:r>
    </w:p>
    <w:p w:rsidR="00765FDA" w:rsidRPr="00EB6DED" w:rsidRDefault="003026A7" w:rsidP="00C00499">
      <w:pPr>
        <w:pStyle w:val="BodyText"/>
        <w:shd w:val="clear" w:color="auto" w:fill="auto"/>
        <w:tabs>
          <w:tab w:val="left" w:pos="110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Sửa đổi, bổ sung khoản 1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lang w:val="en-US" w:eastAsia="en-US" w:bidi="en-US"/>
        </w:rPr>
        <w:t xml:space="preserve">“1. </w:t>
      </w:r>
      <w:r w:rsidRPr="00EB6DED">
        <w:rPr>
          <w:rFonts w:ascii="Arial" w:hAnsi="Arial" w:cs="Arial"/>
          <w:sz w:val="20"/>
          <w:szCs w:val="20"/>
        </w:rPr>
        <w:t>Văn bản đề nghị bổ nhiệm giám định viên tư pháp của cơ quan, tổ chức có thẩm quyền đề nghị quy định tại khoản 2 Điều 9 của Luật này hoặc đơn đề nghị bổ nhiệm giám định viên tư pháp của cá nhân đã là giám định viên tư pháp nhưng bị miễn nhiệm do nghỉ hưu hoặc thôi việc để thành lập Văn phòng giám định tư pháp.”;</w:t>
      </w:r>
    </w:p>
    <w:p w:rsidR="00765FDA" w:rsidRPr="00EB6DED" w:rsidRDefault="00FC6967" w:rsidP="00C00499">
      <w:pPr>
        <w:pStyle w:val="BodyText"/>
        <w:shd w:val="clear" w:color="auto" w:fill="auto"/>
        <w:tabs>
          <w:tab w:val="left" w:pos="1200"/>
        </w:tabs>
        <w:spacing w:after="120" w:line="240" w:lineRule="auto"/>
        <w:ind w:firstLine="720"/>
        <w:jc w:val="both"/>
        <w:rPr>
          <w:rFonts w:ascii="Arial" w:hAnsi="Arial" w:cs="Arial"/>
          <w:sz w:val="20"/>
          <w:szCs w:val="20"/>
        </w:rPr>
      </w:pPr>
      <w:r w:rsidRPr="00EB6DED">
        <w:rPr>
          <w:rFonts w:ascii="Arial" w:hAnsi="Arial" w:cs="Arial"/>
          <w:sz w:val="20"/>
          <w:szCs w:val="20"/>
          <w:lang w:val="en-US"/>
        </w:rPr>
        <w:t>b)</w:t>
      </w:r>
      <w:r w:rsidR="00F9021B" w:rsidRPr="00EB6DED">
        <w:rPr>
          <w:rFonts w:ascii="Arial" w:hAnsi="Arial" w:cs="Arial"/>
          <w:sz w:val="20"/>
          <w:szCs w:val="20"/>
          <w:lang w:val="en-US"/>
        </w:rPr>
        <w:t xml:space="preserve"> </w:t>
      </w:r>
      <w:r w:rsidR="006419E5" w:rsidRPr="00EB6DED">
        <w:rPr>
          <w:rFonts w:ascii="Arial" w:hAnsi="Arial" w:cs="Arial"/>
          <w:sz w:val="20"/>
          <w:szCs w:val="20"/>
        </w:rPr>
        <w:t>Sửa đổi, bổ sung khoản 3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“3. Sơ yếu lý lịch và Phiếu lý lịch tư pháp. Trường hợp người được đề nghị bổ nhiệm giám định viên tư pháp đang là công chức, viên chức, sĩ quan quân đội, sĩ quan công an nhân dân, quân nhân chuyên nghiệp, công nhân </w:t>
      </w:r>
      <w:r w:rsidR="00E90191" w:rsidRPr="00EB6DED">
        <w:rPr>
          <w:rFonts w:ascii="Arial" w:hAnsi="Arial" w:cs="Arial"/>
          <w:sz w:val="20"/>
          <w:szCs w:val="20"/>
        </w:rPr>
        <w:t>quốc</w:t>
      </w:r>
      <w:r w:rsidRPr="00EB6DED">
        <w:rPr>
          <w:rFonts w:ascii="Arial" w:hAnsi="Arial" w:cs="Arial"/>
          <w:sz w:val="20"/>
          <w:szCs w:val="20"/>
        </w:rPr>
        <w:t xml:space="preserve"> phòng thì không cần có Phiếu lý lịch tư pháp.”.</w:t>
      </w:r>
    </w:p>
    <w:p w:rsidR="00765FDA" w:rsidRPr="00EB6DED" w:rsidRDefault="00871DA2" w:rsidP="00C00499">
      <w:pPr>
        <w:pStyle w:val="BodyText"/>
        <w:shd w:val="clear" w:color="auto" w:fill="auto"/>
        <w:tabs>
          <w:tab w:val="left" w:pos="1156"/>
        </w:tabs>
        <w:spacing w:after="120" w:line="240" w:lineRule="auto"/>
        <w:ind w:firstLine="720"/>
        <w:jc w:val="both"/>
        <w:rPr>
          <w:rFonts w:ascii="Arial" w:hAnsi="Arial" w:cs="Arial"/>
          <w:sz w:val="20"/>
          <w:szCs w:val="20"/>
        </w:rPr>
      </w:pPr>
      <w:r w:rsidRPr="00EB6DED">
        <w:rPr>
          <w:rFonts w:ascii="Arial" w:hAnsi="Arial" w:cs="Arial"/>
          <w:sz w:val="20"/>
          <w:szCs w:val="20"/>
          <w:lang w:val="en-US"/>
        </w:rPr>
        <w:t>5</w:t>
      </w:r>
      <w:r w:rsidR="0018479D" w:rsidRPr="00EB6DED">
        <w:rPr>
          <w:rFonts w:ascii="Arial" w:hAnsi="Arial" w:cs="Arial"/>
          <w:sz w:val="20"/>
          <w:szCs w:val="20"/>
          <w:lang w:val="en-US"/>
        </w:rPr>
        <w:t xml:space="preserve">. </w:t>
      </w:r>
      <w:r w:rsidR="006419E5" w:rsidRPr="00EB6DED">
        <w:rPr>
          <w:rFonts w:ascii="Arial" w:hAnsi="Arial" w:cs="Arial"/>
          <w:sz w:val="20"/>
          <w:szCs w:val="20"/>
        </w:rPr>
        <w:t>Sửa đổi, bổ sung tên điều và một số khoản của Điều 9 như sau:</w:t>
      </w:r>
    </w:p>
    <w:p w:rsidR="00765FDA" w:rsidRPr="00EB6DED" w:rsidRDefault="00381148" w:rsidP="00C00499">
      <w:pPr>
        <w:pStyle w:val="BodyText"/>
        <w:shd w:val="clear" w:color="auto" w:fill="auto"/>
        <w:tabs>
          <w:tab w:val="left" w:pos="117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Sửa đổi, bổ sung tên điều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 xml:space="preserve">“Điều 9. Thẩm quyền, trình tự, thủ tục bổ nhiệm giám định viên tư pháp và </w:t>
      </w:r>
      <w:r w:rsidR="00CB0B74" w:rsidRPr="00EB6DED">
        <w:rPr>
          <w:rFonts w:ascii="Arial" w:hAnsi="Arial" w:cs="Arial"/>
          <w:b/>
          <w:bCs/>
          <w:sz w:val="20"/>
          <w:szCs w:val="20"/>
        </w:rPr>
        <w:t>cấp</w:t>
      </w:r>
      <w:r w:rsidRPr="00EB6DED">
        <w:rPr>
          <w:rFonts w:ascii="Arial" w:hAnsi="Arial" w:cs="Arial"/>
          <w:b/>
          <w:bCs/>
          <w:sz w:val="20"/>
          <w:szCs w:val="20"/>
        </w:rPr>
        <w:t xml:space="preserve"> thẻ giám định viên tư pháp”;</w:t>
      </w:r>
    </w:p>
    <w:p w:rsidR="00765FDA" w:rsidRPr="00EB6DED" w:rsidRDefault="00CB0B74" w:rsidP="00C00499">
      <w:pPr>
        <w:pStyle w:val="BodyText"/>
        <w:shd w:val="clear" w:color="auto" w:fill="auto"/>
        <w:tabs>
          <w:tab w:val="left" w:pos="119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Sửa đổi, bổ sung khoản 2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 Bộ Quốc phòng, Bộ Công an có trách nhiệm lựa chọn người có đủ tiêu chuẩn quy định tại khoản 1 Điều 7 của Luật này, đề nghị Bộ trưởng Bộ Y tế bổ nhiệm giám định viên pháp y thuộc bộ mình.</w:t>
      </w:r>
      <w:bookmarkStart w:id="0" w:name="_GoBack"/>
      <w:bookmarkEnd w:id="0"/>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lastRenderedPageBreak/>
        <w:t>Bộ Quốc phòng, Viện kiểm sát nhân dân tối cao có trách nhiệm lựa chọn người có đủ tiêu chuẩn quy định tại khoản 1 Điều 7 của Luật này, đề nghị Bộ trưởng Bộ Công an bổ nhiệm giám định viên kỹ thuật hình sự thuộc bộ, ngành mình.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Thủ trưởng đơn vị thuộc bộ, cơ quan ngang bộ được giao quản lý hoạt động giám định tư pháp có trách nhiệm lựa chọn người có đủ tiêu chuẩn quy định tại khoản 1 Điều 7 của Luật này, đề nghị Bộ trưởng</w:t>
      </w:r>
      <w:r w:rsidR="0027113F" w:rsidRPr="00EB6DED">
        <w:rPr>
          <w:rFonts w:ascii="Arial" w:hAnsi="Arial" w:cs="Arial"/>
          <w:sz w:val="20"/>
          <w:szCs w:val="20"/>
        </w:rPr>
        <w:t>, Thủ trưởng cơ quan ngang bộ bổ</w:t>
      </w:r>
      <w:r w:rsidRPr="00EB6DED">
        <w:rPr>
          <w:rFonts w:ascii="Arial" w:hAnsi="Arial" w:cs="Arial"/>
          <w:sz w:val="20"/>
          <w:szCs w:val="20"/>
        </w:rPr>
        <w:t xml:space="preserve"> nhiệm giám định viên tư pháp ở lĩnh vực giám định thuộc thẩm quyền quản lý.</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Người đứng đầu cơ quan chuyên môn thuộc </w:t>
      </w:r>
      <w:r w:rsidR="0027113F" w:rsidRPr="00EB6DED">
        <w:rPr>
          <w:rFonts w:ascii="Arial" w:hAnsi="Arial" w:cs="Arial"/>
          <w:sz w:val="20"/>
          <w:szCs w:val="20"/>
        </w:rPr>
        <w:t>Ủy ban</w:t>
      </w:r>
      <w:r w:rsidRPr="00EB6DED">
        <w:rPr>
          <w:rFonts w:ascii="Arial" w:hAnsi="Arial" w:cs="Arial"/>
          <w:sz w:val="20"/>
          <w:szCs w:val="20"/>
        </w:rPr>
        <w:t xml:space="preserve"> nhân dân cấp tỉnh quản lý lĩnh vực giám định tư pháp có trách nhiệm chủ trì, phối hợp với Giám </w:t>
      </w:r>
      <w:r w:rsidR="00CE7B81" w:rsidRPr="00EB6DED">
        <w:rPr>
          <w:rFonts w:ascii="Arial" w:hAnsi="Arial" w:cs="Arial"/>
          <w:sz w:val="20"/>
          <w:szCs w:val="20"/>
        </w:rPr>
        <w:t>đốc</w:t>
      </w:r>
      <w:r w:rsidRPr="00EB6DED">
        <w:rPr>
          <w:rFonts w:ascii="Arial" w:hAnsi="Arial" w:cs="Arial"/>
          <w:sz w:val="20"/>
          <w:szCs w:val="20"/>
        </w:rPr>
        <w:t xml:space="preserve"> Sở Tư pháp lựa chọn người có đủ tiêu </w:t>
      </w:r>
      <w:r w:rsidR="00917FA7" w:rsidRPr="00EB6DED">
        <w:rPr>
          <w:rFonts w:ascii="Arial" w:hAnsi="Arial" w:cs="Arial"/>
          <w:sz w:val="20"/>
          <w:szCs w:val="20"/>
        </w:rPr>
        <w:t>chuẩn</w:t>
      </w:r>
      <w:r w:rsidRPr="00EB6DED">
        <w:rPr>
          <w:rFonts w:ascii="Arial" w:hAnsi="Arial" w:cs="Arial"/>
          <w:sz w:val="20"/>
          <w:szCs w:val="20"/>
        </w:rPr>
        <w:t xml:space="preserve"> quy địn</w:t>
      </w:r>
      <w:r w:rsidR="00917FA7" w:rsidRPr="00EB6DED">
        <w:rPr>
          <w:rFonts w:ascii="Arial" w:hAnsi="Arial" w:cs="Arial"/>
          <w:sz w:val="20"/>
          <w:szCs w:val="20"/>
        </w:rPr>
        <w:t>h tại khoản 1 Điều 7 của Luật nà</w:t>
      </w:r>
      <w:r w:rsidRPr="00EB6DED">
        <w:rPr>
          <w:rFonts w:ascii="Arial" w:hAnsi="Arial" w:cs="Arial"/>
          <w:sz w:val="20"/>
          <w:szCs w:val="20"/>
        </w:rPr>
        <w:t xml:space="preserve">y, tiếp nhận hồ sơ của </w:t>
      </w:r>
      <w:r w:rsidR="00827C11" w:rsidRPr="00EB6DED">
        <w:rPr>
          <w:rFonts w:ascii="Arial" w:hAnsi="Arial" w:cs="Arial"/>
          <w:sz w:val="20"/>
          <w:szCs w:val="20"/>
        </w:rPr>
        <w:t>người đề nghị bổ nhiệm giám định viê</w:t>
      </w:r>
      <w:r w:rsidRPr="00EB6DED">
        <w:rPr>
          <w:rFonts w:ascii="Arial" w:hAnsi="Arial" w:cs="Arial"/>
          <w:sz w:val="20"/>
          <w:szCs w:val="20"/>
        </w:rPr>
        <w:t xml:space="preserve">n tư pháp quy định tại Điều 8 của Luật này, đề nghị Chủ tịch </w:t>
      </w:r>
      <w:r w:rsidR="0027113F" w:rsidRPr="00EB6DED">
        <w:rPr>
          <w:rFonts w:ascii="Arial" w:hAnsi="Arial" w:cs="Arial"/>
          <w:sz w:val="20"/>
          <w:szCs w:val="20"/>
        </w:rPr>
        <w:t>Ủy ban</w:t>
      </w:r>
      <w:r w:rsidRPr="00EB6DED">
        <w:rPr>
          <w:rFonts w:ascii="Arial" w:hAnsi="Arial" w:cs="Arial"/>
          <w:sz w:val="20"/>
          <w:szCs w:val="20"/>
        </w:rPr>
        <w:t xml:space="preserve"> nhân dân cấp tỉnh </w:t>
      </w:r>
      <w:r w:rsidR="00827C11" w:rsidRPr="00EB6DED">
        <w:rPr>
          <w:rFonts w:ascii="Arial" w:hAnsi="Arial" w:cs="Arial"/>
          <w:sz w:val="20"/>
          <w:szCs w:val="20"/>
        </w:rPr>
        <w:t>bổ nhiệm</w:t>
      </w:r>
      <w:r w:rsidRPr="00EB6DED">
        <w:rPr>
          <w:rFonts w:ascii="Arial" w:hAnsi="Arial" w:cs="Arial"/>
          <w:sz w:val="20"/>
          <w:szCs w:val="20"/>
        </w:rPr>
        <w:t xml:space="preserve"> giám định viên tư pháp ở địa phương.</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Trong thời hạn 20 ngày, kể từ ngày nhận được hồ sơ </w:t>
      </w:r>
      <w:r w:rsidR="00827C11" w:rsidRPr="00EB6DED">
        <w:rPr>
          <w:rFonts w:ascii="Arial" w:hAnsi="Arial" w:cs="Arial"/>
          <w:sz w:val="20"/>
          <w:szCs w:val="20"/>
        </w:rPr>
        <w:t>hợp lệ</w:t>
      </w:r>
      <w:r w:rsidRPr="00EB6DED">
        <w:rPr>
          <w:rFonts w:ascii="Arial" w:hAnsi="Arial" w:cs="Arial"/>
          <w:sz w:val="20"/>
          <w:szCs w:val="20"/>
        </w:rPr>
        <w:t xml:space="preserve">, Bộ trưởng, Thủ trưởng cơ quan ngang bộ, Chủ tịch </w:t>
      </w:r>
      <w:r w:rsidR="0027113F" w:rsidRPr="00EB6DED">
        <w:rPr>
          <w:rFonts w:ascii="Arial" w:hAnsi="Arial" w:cs="Arial"/>
          <w:sz w:val="20"/>
          <w:szCs w:val="20"/>
        </w:rPr>
        <w:t>Ủy ban</w:t>
      </w:r>
      <w:r w:rsidRPr="00EB6DED">
        <w:rPr>
          <w:rFonts w:ascii="Arial" w:hAnsi="Arial" w:cs="Arial"/>
          <w:sz w:val="20"/>
          <w:szCs w:val="20"/>
        </w:rPr>
        <w:t xml:space="preserve"> nhân dân cấp tỉnh quyết định bổ nhiệm giám định viên tư pháp. Trường hợp từ chối thì phải thông báo cho người đề nghị bằng văn bản và nêu rõ lý do.”;</w:t>
      </w:r>
    </w:p>
    <w:p w:rsidR="00765FDA" w:rsidRPr="00EB6DED" w:rsidRDefault="00827C11" w:rsidP="00C00499">
      <w:pPr>
        <w:pStyle w:val="BodyText"/>
        <w:shd w:val="clear" w:color="auto" w:fill="auto"/>
        <w:tabs>
          <w:tab w:val="left" w:pos="119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Bổ sung khoản 4 vào sau khoản 3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“4. Người được bổ nhiệm giám định viên tư pháp được cấp thẻ giám định viên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Người có thẩm quyền bổ nhiệm giám định viên tư pháp quy định tại khoản 1 </w:t>
      </w:r>
      <w:r w:rsidR="00433289" w:rsidRPr="00EB6DED">
        <w:rPr>
          <w:rFonts w:ascii="Arial" w:hAnsi="Arial" w:cs="Arial"/>
          <w:sz w:val="20"/>
          <w:szCs w:val="20"/>
        </w:rPr>
        <w:t>Điều</w:t>
      </w:r>
      <w:r w:rsidRPr="00EB6DED">
        <w:rPr>
          <w:rFonts w:ascii="Arial" w:hAnsi="Arial" w:cs="Arial"/>
          <w:sz w:val="20"/>
          <w:szCs w:val="20"/>
        </w:rPr>
        <w:t xml:space="preserve"> này có </w:t>
      </w:r>
      <w:r w:rsidR="00197445" w:rsidRPr="00EB6DED">
        <w:rPr>
          <w:rFonts w:ascii="Arial" w:hAnsi="Arial" w:cs="Arial"/>
          <w:sz w:val="20"/>
          <w:szCs w:val="20"/>
        </w:rPr>
        <w:t>thẩm quyền</w:t>
      </w:r>
      <w:r w:rsidRPr="00EB6DED">
        <w:rPr>
          <w:rFonts w:ascii="Arial" w:hAnsi="Arial" w:cs="Arial"/>
          <w:sz w:val="20"/>
          <w:szCs w:val="20"/>
        </w:rPr>
        <w:t xml:space="preserve"> </w:t>
      </w:r>
      <w:r w:rsidR="00CB0B74" w:rsidRPr="00EB6DED">
        <w:rPr>
          <w:rFonts w:ascii="Arial" w:hAnsi="Arial" w:cs="Arial"/>
          <w:sz w:val="20"/>
          <w:szCs w:val="20"/>
        </w:rPr>
        <w:t>cấp</w:t>
      </w:r>
      <w:r w:rsidRPr="00EB6DED">
        <w:rPr>
          <w:rFonts w:ascii="Arial" w:hAnsi="Arial" w:cs="Arial"/>
          <w:sz w:val="20"/>
          <w:szCs w:val="20"/>
        </w:rPr>
        <w:t xml:space="preserve"> mới, </w:t>
      </w:r>
      <w:r w:rsidR="00CB0B74" w:rsidRPr="00EB6DED">
        <w:rPr>
          <w:rFonts w:ascii="Arial" w:hAnsi="Arial" w:cs="Arial"/>
          <w:sz w:val="20"/>
          <w:szCs w:val="20"/>
        </w:rPr>
        <w:t>cấp</w:t>
      </w:r>
      <w:r w:rsidRPr="00EB6DED">
        <w:rPr>
          <w:rFonts w:ascii="Arial" w:hAnsi="Arial" w:cs="Arial"/>
          <w:sz w:val="20"/>
          <w:szCs w:val="20"/>
        </w:rPr>
        <w:t xml:space="preserve"> lại thẻ giám định viên tư pháp.</w:t>
      </w:r>
    </w:p>
    <w:p w:rsidR="00765FDA" w:rsidRPr="00EB6DED" w:rsidRDefault="00433289"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Mẫu</w:t>
      </w:r>
      <w:r w:rsidR="006419E5" w:rsidRPr="00EB6DED">
        <w:rPr>
          <w:rFonts w:ascii="Arial" w:hAnsi="Arial" w:cs="Arial"/>
          <w:sz w:val="20"/>
          <w:szCs w:val="20"/>
        </w:rPr>
        <w:t xml:space="preserve"> thẻ, trình tự, thủ tục cấp mới, cấp lại thẻ giám định viên tư pháp được thực hiện theo quy định của Bộ trưởng Bộ Tư pháp.”.</w:t>
      </w:r>
    </w:p>
    <w:p w:rsidR="00765FDA" w:rsidRPr="00EB6DED" w:rsidRDefault="00433289" w:rsidP="00C00499">
      <w:pPr>
        <w:pStyle w:val="BodyText"/>
        <w:shd w:val="clear" w:color="auto" w:fill="auto"/>
        <w:tabs>
          <w:tab w:val="left" w:pos="114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6. </w:t>
      </w:r>
      <w:r w:rsidR="006419E5" w:rsidRPr="00EB6DED">
        <w:rPr>
          <w:rFonts w:ascii="Arial" w:hAnsi="Arial" w:cs="Arial"/>
          <w:sz w:val="20"/>
          <w:szCs w:val="20"/>
        </w:rPr>
        <w:t>Sửa đổi, bổ sung Điều 10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10. Thẩm quyền, trình tự, thủ tục miễn nhiệm giám định viên tư pháp và thu hồi thẻ giám định viên tư pháp</w:t>
      </w:r>
    </w:p>
    <w:p w:rsidR="00765FDA" w:rsidRPr="00EB6DED" w:rsidRDefault="00B95B5B" w:rsidP="00C00499">
      <w:pPr>
        <w:pStyle w:val="BodyText"/>
        <w:shd w:val="clear" w:color="auto" w:fill="auto"/>
        <w:tabs>
          <w:tab w:val="left" w:pos="108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Các trường hợp miễn nhiệm giám định viên tư pháp:</w:t>
      </w:r>
    </w:p>
    <w:p w:rsidR="00765FDA" w:rsidRPr="00EB6DED" w:rsidRDefault="00A563CE" w:rsidP="00C00499">
      <w:pPr>
        <w:pStyle w:val="BodyText"/>
        <w:shd w:val="clear" w:color="auto" w:fill="auto"/>
        <w:tabs>
          <w:tab w:val="left" w:pos="117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Không còn đủ tiêu chuẩn quy định tại khoản 1 Điều 7 của Luật này;</w:t>
      </w:r>
    </w:p>
    <w:p w:rsidR="00765FDA" w:rsidRPr="00EB6DED" w:rsidRDefault="005B08AD" w:rsidP="00C00499">
      <w:pPr>
        <w:pStyle w:val="BodyText"/>
        <w:shd w:val="clear" w:color="auto" w:fill="auto"/>
        <w:tabs>
          <w:tab w:val="left" w:pos="115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Thuộc một trong các trường hợp quy định tại khoản 2 Điều 7 của Luật này;</w:t>
      </w:r>
    </w:p>
    <w:p w:rsidR="00765FDA" w:rsidRPr="00EB6DED" w:rsidRDefault="008B04F5" w:rsidP="00C00499">
      <w:pPr>
        <w:pStyle w:val="BodyText"/>
        <w:shd w:val="clear" w:color="auto" w:fill="auto"/>
        <w:tabs>
          <w:tab w:val="left" w:pos="116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Bị xử lý kỷ luật từ hình thức cảnh cáo trở lên hoặc bị xử phạt vi phạm hành chính do cố ý vi phạm quy định của pháp luật về giám định tư pháp;</w:t>
      </w:r>
    </w:p>
    <w:p w:rsidR="00765FDA" w:rsidRPr="00EB6DED" w:rsidRDefault="00C91ACE" w:rsidP="00C00499">
      <w:pPr>
        <w:pStyle w:val="BodyText"/>
        <w:shd w:val="clear" w:color="auto" w:fill="auto"/>
        <w:tabs>
          <w:tab w:val="left" w:pos="119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Thực hiện một trong các hành vi quy định tại Điều 6 của Luật này;</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đ) Có quyết định nghỉ hưu hoặc quyết định thôi việc, trừ trường hợp có văn bản thể hiện nguyện vọng tiếp tục tham gia hoạt động giám định tư pháp và cơ quan, tổ chức quản lý trực tiếp có nhu cầu sử dụng phù hợp với quy định của pháp luật;</w:t>
      </w:r>
    </w:p>
    <w:p w:rsidR="00765FDA" w:rsidRPr="00EB6DED" w:rsidRDefault="00DC252D" w:rsidP="00C00499">
      <w:pPr>
        <w:pStyle w:val="BodyText"/>
        <w:shd w:val="clear" w:color="auto" w:fill="auto"/>
        <w:tabs>
          <w:tab w:val="left" w:pos="115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e) </w:t>
      </w:r>
      <w:r w:rsidR="006419E5" w:rsidRPr="00EB6DED">
        <w:rPr>
          <w:rFonts w:ascii="Arial" w:hAnsi="Arial" w:cs="Arial"/>
          <w:sz w:val="20"/>
          <w:szCs w:val="20"/>
        </w:rPr>
        <w:t>Chuyển đổi vị trí công tác hoặc chuyển công tác sang cơ quan, tổ chức khác mà không còn điều kiện phù hợp để tiếp tục thực hiện giám định tư pháp;</w:t>
      </w:r>
    </w:p>
    <w:p w:rsidR="00765FDA" w:rsidRPr="00EB6DED" w:rsidRDefault="00702179" w:rsidP="00C00499">
      <w:pPr>
        <w:pStyle w:val="BodyText"/>
        <w:shd w:val="clear" w:color="auto" w:fill="auto"/>
        <w:tabs>
          <w:tab w:val="left" w:pos="114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g) </w:t>
      </w:r>
      <w:r w:rsidR="006419E5" w:rsidRPr="00EB6DED">
        <w:rPr>
          <w:rFonts w:ascii="Arial" w:hAnsi="Arial" w:cs="Arial"/>
          <w:sz w:val="20"/>
          <w:szCs w:val="20"/>
        </w:rPr>
        <w:t>Theo đề nghị của giám định viên tư pháp. Trường hợp giám định viên tư pháp là công chức, viên chức, sĩ quan quân đội, sĩ quan công an nhân dân, quân nhân chuyên nghiệp, công nhân quốc phòng thì phải được sự chấp thuận của cơ quan, tổ chức quản lý trực tiếp;</w:t>
      </w:r>
    </w:p>
    <w:p w:rsidR="00765FDA" w:rsidRPr="00EB6DED" w:rsidRDefault="009F5F40" w:rsidP="00C00499">
      <w:pPr>
        <w:pStyle w:val="BodyText"/>
        <w:shd w:val="clear" w:color="auto" w:fill="auto"/>
        <w:tabs>
          <w:tab w:val="left" w:pos="113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h) </w:t>
      </w:r>
      <w:r w:rsidR="006419E5" w:rsidRPr="00EB6DED">
        <w:rPr>
          <w:rFonts w:ascii="Arial" w:hAnsi="Arial" w:cs="Arial"/>
          <w:sz w:val="20"/>
          <w:szCs w:val="20"/>
        </w:rPr>
        <w:t xml:space="preserve">Giám định viên tư pháp được bổ nhiệm để thành lập Văn phòng giám định tư pháp nhưng sau thời hạn 01 năm, kể từ ngày được bổ nhiệm không thành lập Văn phòng hoặc sau thời hạn 01 năm, kể từ ngày có quyết định cho phép thành lập Văn phòng mà không </w:t>
      </w:r>
      <w:r w:rsidR="00F86D21" w:rsidRPr="00EB6DED">
        <w:rPr>
          <w:rFonts w:ascii="Arial" w:hAnsi="Arial" w:cs="Arial"/>
          <w:sz w:val="20"/>
          <w:szCs w:val="20"/>
        </w:rPr>
        <w:t>đăng</w:t>
      </w:r>
      <w:r w:rsidR="006419E5" w:rsidRPr="00EB6DED">
        <w:rPr>
          <w:rFonts w:ascii="Arial" w:hAnsi="Arial" w:cs="Arial"/>
          <w:sz w:val="20"/>
          <w:szCs w:val="20"/>
        </w:rPr>
        <w:t xml:space="preserve"> ký hoạt động.</w:t>
      </w:r>
    </w:p>
    <w:p w:rsidR="00765FDA" w:rsidRPr="00EB6DED" w:rsidRDefault="00F86D21" w:rsidP="00C00499">
      <w:pPr>
        <w:pStyle w:val="BodyText"/>
        <w:shd w:val="clear" w:color="auto" w:fill="auto"/>
        <w:tabs>
          <w:tab w:val="left" w:pos="115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6419E5" w:rsidRPr="00EB6DED">
        <w:rPr>
          <w:rFonts w:ascii="Arial" w:hAnsi="Arial" w:cs="Arial"/>
          <w:sz w:val="20"/>
          <w:szCs w:val="20"/>
        </w:rPr>
        <w:t>Hồ sơ đề nghị miễn nhiệm giám định viên tư pháp bao gồm:</w:t>
      </w:r>
    </w:p>
    <w:p w:rsidR="00765FDA" w:rsidRPr="00EB6DED" w:rsidRDefault="00727A5C" w:rsidP="00C00499">
      <w:pPr>
        <w:pStyle w:val="BodyText"/>
        <w:shd w:val="clear" w:color="auto" w:fill="auto"/>
        <w:tabs>
          <w:tab w:val="left" w:pos="114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Văn bản đề nghị miễn nhiệm giám định viên tư pháp của cơ quan, tổ chức quản lý giám định viên tư pháp hoặc đơn xin miễn nhiệm của giám định viên tư pháp;</w:t>
      </w:r>
    </w:p>
    <w:p w:rsidR="00765FDA" w:rsidRPr="00EB6DED" w:rsidRDefault="00727A5C" w:rsidP="00C00499">
      <w:pPr>
        <w:pStyle w:val="BodyText"/>
        <w:shd w:val="clear" w:color="auto" w:fill="auto"/>
        <w:tabs>
          <w:tab w:val="left" w:pos="114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Văn bản, giấy tờ chứng minh giám định viên tư pháp thuộc một trong các trường hợp quy định tại khoản 1 Điều này.</w:t>
      </w:r>
    </w:p>
    <w:p w:rsidR="00765FDA" w:rsidRPr="00EB6DED" w:rsidRDefault="00BD1235" w:rsidP="00C00499">
      <w:pPr>
        <w:pStyle w:val="BodyText"/>
        <w:shd w:val="clear" w:color="auto" w:fill="auto"/>
        <w:tabs>
          <w:tab w:val="left" w:pos="111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3. </w:t>
      </w:r>
      <w:r w:rsidR="006419E5" w:rsidRPr="00EB6DED">
        <w:rPr>
          <w:rFonts w:ascii="Arial" w:hAnsi="Arial" w:cs="Arial"/>
          <w:sz w:val="20"/>
          <w:szCs w:val="20"/>
        </w:rPr>
        <w:t>Bộ trưởng Bộ Công an, Bộ trưởng Bộ Quốc phòng xem xét, đề nghị Bộ trưởng Bộ Y tế miễn nhiệm giám định viên pháp y thuộc thẩm quyền quản lý.</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lastRenderedPageBreak/>
        <w:t>Bộ trưởng Bộ Quốc phòng, Viện trưởng Viện kiểm sát nhân dân tối cao xem xét, đề nghị Bộ trưởng Bộ Công an miễn nhiệm giám định viên kỹ thuật hình sự thuộc thẩm quyền quản lý.</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Bộ trưởng, Thủ trưởng cơ quan ngang bộ miễn nhiệm giám định viên tư pháp hoạt động tại các cơ quan ở trung ương ở lĩnh vực giám định thuộc </w:t>
      </w:r>
      <w:r w:rsidR="00197445" w:rsidRPr="00EB6DED">
        <w:rPr>
          <w:rFonts w:ascii="Arial" w:hAnsi="Arial" w:cs="Arial"/>
          <w:sz w:val="20"/>
          <w:szCs w:val="20"/>
        </w:rPr>
        <w:t>thẩm</w:t>
      </w:r>
      <w:r w:rsidRPr="00EB6DED">
        <w:rPr>
          <w:rFonts w:ascii="Arial" w:hAnsi="Arial" w:cs="Arial"/>
          <w:sz w:val="20"/>
          <w:szCs w:val="20"/>
        </w:rPr>
        <w:t xml:space="preserve"> quyền quản lý theo đề nghị của Thủ trưởng đơn vị thuộc bộ, cơ quan ngang bộ được giao quản lý hoạt động giám định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Chủ tịch </w:t>
      </w:r>
      <w:r w:rsidR="0027113F" w:rsidRPr="00EB6DED">
        <w:rPr>
          <w:rFonts w:ascii="Arial" w:hAnsi="Arial" w:cs="Arial"/>
          <w:sz w:val="20"/>
          <w:szCs w:val="20"/>
        </w:rPr>
        <w:t>Ủy ban</w:t>
      </w:r>
      <w:r w:rsidRPr="00EB6DED">
        <w:rPr>
          <w:rFonts w:ascii="Arial" w:hAnsi="Arial" w:cs="Arial"/>
          <w:sz w:val="20"/>
          <w:szCs w:val="20"/>
        </w:rPr>
        <w:t xml:space="preserve"> nhân dân cấp tỉnh miễn nhiệm giám định viên tư pháp ở địa phương theo đề nghị của người đứng đầu cơ quan chuyên môn thuộc </w:t>
      </w:r>
      <w:r w:rsidR="0027113F" w:rsidRPr="00EB6DED">
        <w:rPr>
          <w:rFonts w:ascii="Arial" w:hAnsi="Arial" w:cs="Arial"/>
          <w:sz w:val="20"/>
          <w:szCs w:val="20"/>
        </w:rPr>
        <w:t>Ủy ban</w:t>
      </w:r>
      <w:r w:rsidR="00D26762" w:rsidRPr="00EB6DED">
        <w:rPr>
          <w:rFonts w:ascii="Arial" w:hAnsi="Arial" w:cs="Arial"/>
          <w:sz w:val="20"/>
          <w:szCs w:val="20"/>
        </w:rPr>
        <w:t xml:space="preserve"> nhân dân cấ</w:t>
      </w:r>
      <w:r w:rsidRPr="00EB6DED">
        <w:rPr>
          <w:rFonts w:ascii="Arial" w:hAnsi="Arial" w:cs="Arial"/>
          <w:sz w:val="20"/>
          <w:szCs w:val="20"/>
        </w:rPr>
        <w:t>p tỉnh quản lý lĩnh v</w:t>
      </w:r>
      <w:r w:rsidR="005737AC" w:rsidRPr="00EB6DED">
        <w:rPr>
          <w:rFonts w:ascii="Arial" w:hAnsi="Arial" w:cs="Arial"/>
          <w:sz w:val="20"/>
          <w:szCs w:val="20"/>
        </w:rPr>
        <w:t>ực giám định tư pháp sau khi thố</w:t>
      </w:r>
      <w:r w:rsidRPr="00EB6DED">
        <w:rPr>
          <w:rFonts w:ascii="Arial" w:hAnsi="Arial" w:cs="Arial"/>
          <w:sz w:val="20"/>
          <w:szCs w:val="20"/>
        </w:rPr>
        <w:t xml:space="preserve">ng </w:t>
      </w:r>
      <w:r w:rsidR="005737AC" w:rsidRPr="00EB6DED">
        <w:rPr>
          <w:rFonts w:ascii="Arial" w:hAnsi="Arial" w:cs="Arial"/>
          <w:sz w:val="20"/>
          <w:szCs w:val="20"/>
        </w:rPr>
        <w:t>nhất</w:t>
      </w:r>
      <w:r w:rsidRPr="00EB6DED">
        <w:rPr>
          <w:rFonts w:ascii="Arial" w:hAnsi="Arial" w:cs="Arial"/>
          <w:sz w:val="20"/>
          <w:szCs w:val="20"/>
        </w:rPr>
        <w:t xml:space="preserve"> </w:t>
      </w:r>
      <w:r w:rsidR="005737AC" w:rsidRPr="00EB6DED">
        <w:rPr>
          <w:rFonts w:ascii="Arial" w:hAnsi="Arial" w:cs="Arial"/>
          <w:sz w:val="20"/>
          <w:szCs w:val="20"/>
        </w:rPr>
        <w:t>ý kiến</w:t>
      </w:r>
      <w:r w:rsidRPr="00EB6DED">
        <w:rPr>
          <w:rFonts w:ascii="Arial" w:hAnsi="Arial" w:cs="Arial"/>
          <w:sz w:val="20"/>
          <w:szCs w:val="20"/>
        </w:rPr>
        <w:t xml:space="preserve"> với Giám đốc Sở Tư pháp.</w:t>
      </w:r>
    </w:p>
    <w:p w:rsidR="00765FDA" w:rsidRPr="00EB6DED" w:rsidRDefault="005737AC" w:rsidP="00C00499">
      <w:pPr>
        <w:pStyle w:val="BodyText"/>
        <w:shd w:val="clear" w:color="auto" w:fill="auto"/>
        <w:tabs>
          <w:tab w:val="left" w:pos="112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4. </w:t>
      </w:r>
      <w:r w:rsidR="006419E5" w:rsidRPr="00EB6DED">
        <w:rPr>
          <w:rFonts w:ascii="Arial" w:hAnsi="Arial" w:cs="Arial"/>
          <w:sz w:val="20"/>
          <w:szCs w:val="20"/>
        </w:rPr>
        <w:t xml:space="preserve">Trong thời hạn 10 ngày, kể từ ngày nhận được hồ sơ hợp lệ, Bộ trưởng, Thủ trưởng cơ quan ngang bộ, Chủ tịch </w:t>
      </w:r>
      <w:r w:rsidR="0027113F" w:rsidRPr="00EB6DED">
        <w:rPr>
          <w:rFonts w:ascii="Arial" w:hAnsi="Arial" w:cs="Arial"/>
          <w:sz w:val="20"/>
          <w:szCs w:val="20"/>
        </w:rPr>
        <w:t>Ủy ban</w:t>
      </w:r>
      <w:r w:rsidR="006419E5" w:rsidRPr="00EB6DED">
        <w:rPr>
          <w:rFonts w:ascii="Arial" w:hAnsi="Arial" w:cs="Arial"/>
          <w:sz w:val="20"/>
          <w:szCs w:val="20"/>
        </w:rPr>
        <w:t xml:space="preserve"> nhân dân cấp tỉnh xem xét, quyết định miễn nhiệm giám định viên tư pháp, thu hồi thẻ giám định viên tư pháp và điều chỉnh danh sách giám định viên tư pháp trên cổng thông tin điệ</w:t>
      </w:r>
      <w:r w:rsidR="002856C6" w:rsidRPr="00EB6DED">
        <w:rPr>
          <w:rFonts w:ascii="Arial" w:hAnsi="Arial" w:cs="Arial"/>
          <w:sz w:val="20"/>
          <w:szCs w:val="20"/>
        </w:rPr>
        <w:t xml:space="preserve">n tử của bộ, cơ quan ngang bộ, </w:t>
      </w:r>
      <w:r w:rsidR="002856C6" w:rsidRPr="00EB6DED">
        <w:rPr>
          <w:rFonts w:ascii="Arial" w:hAnsi="Arial" w:cs="Arial"/>
          <w:sz w:val="20"/>
          <w:szCs w:val="20"/>
          <w:lang w:val="en-US"/>
        </w:rPr>
        <w:t>Ủ</w:t>
      </w:r>
      <w:r w:rsidR="006419E5" w:rsidRPr="00EB6DED">
        <w:rPr>
          <w:rFonts w:ascii="Arial" w:hAnsi="Arial" w:cs="Arial"/>
          <w:sz w:val="20"/>
          <w:szCs w:val="20"/>
        </w:rPr>
        <w:t xml:space="preserve">y ban nhân dân </w:t>
      </w:r>
      <w:r w:rsidR="00B11D93" w:rsidRPr="00EB6DED">
        <w:rPr>
          <w:rFonts w:ascii="Arial" w:hAnsi="Arial" w:cs="Arial"/>
          <w:sz w:val="20"/>
          <w:szCs w:val="20"/>
          <w:lang w:val="en-US" w:eastAsia="en-US" w:bidi="en-US"/>
        </w:rPr>
        <w:t>cấ</w:t>
      </w:r>
      <w:r w:rsidR="006419E5" w:rsidRPr="00EB6DED">
        <w:rPr>
          <w:rFonts w:ascii="Arial" w:hAnsi="Arial" w:cs="Arial"/>
          <w:sz w:val="20"/>
          <w:szCs w:val="20"/>
          <w:lang w:val="en-US" w:eastAsia="en-US" w:bidi="en-US"/>
        </w:rPr>
        <w:t xml:space="preserve">p </w:t>
      </w:r>
      <w:r w:rsidR="006419E5" w:rsidRPr="00EB6DED">
        <w:rPr>
          <w:rFonts w:ascii="Arial" w:hAnsi="Arial" w:cs="Arial"/>
          <w:sz w:val="20"/>
          <w:szCs w:val="20"/>
        </w:rPr>
        <w:t>tỉnh, đồng thời gửi Bộ Tư pháp để điều chỉnh danh sách chung về giám định viên tư pháp.”.</w:t>
      </w:r>
    </w:p>
    <w:p w:rsidR="00765FDA" w:rsidRPr="00EB6DED" w:rsidRDefault="00B11D93" w:rsidP="00C00499">
      <w:pPr>
        <w:pStyle w:val="BodyText"/>
        <w:shd w:val="clear" w:color="auto" w:fill="auto"/>
        <w:tabs>
          <w:tab w:val="left" w:pos="111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7. </w:t>
      </w:r>
      <w:r w:rsidR="006419E5" w:rsidRPr="00EB6DED">
        <w:rPr>
          <w:rFonts w:ascii="Arial" w:hAnsi="Arial" w:cs="Arial"/>
          <w:sz w:val="20"/>
          <w:szCs w:val="20"/>
        </w:rPr>
        <w:t>Sửa đổi, bổ sung khoản 2 Điều 11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“2. Từ chối giám định trong trường hợp nội dung trưng cầu, yêu cầu giám định không phù hợp với phạm vi chuyên môn hoặc không có đủ năng lực, điều kiện cần thiết cho việc thực hiện giám định; đối tượng giám định, tài liệu liên quan được cung cấp không đầy đủ hoặc không có giá trị để kết luận giám định tư pháp sau khi đã đề nghị người trưng cầu, người yêu cầu giám định bổ sung, làm rõ nhưng không được đáp ứng; thời gian không đủ để thực hiện giám định; tính độc lập, khách quan của việc thực hiện giám định không được bảo đảm. </w:t>
      </w:r>
      <w:r w:rsidR="00D04FB6" w:rsidRPr="00EB6DED">
        <w:rPr>
          <w:rFonts w:ascii="Arial" w:hAnsi="Arial" w:cs="Arial"/>
          <w:sz w:val="20"/>
          <w:szCs w:val="20"/>
        </w:rPr>
        <w:t>Trường hợp</w:t>
      </w:r>
      <w:r w:rsidRPr="00EB6DED">
        <w:rPr>
          <w:rFonts w:ascii="Arial" w:hAnsi="Arial" w:cs="Arial"/>
          <w:sz w:val="20"/>
          <w:szCs w:val="20"/>
        </w:rPr>
        <w:t xml:space="preserve"> từ chối giám định thì trong thời hạn 05 ngày làm việc, kể từ ngày nhận được quyết định trưng cầu hoặc yêu cầu giám định, phải thông báo cho người trưng cầu, người yêu cầu giám định bằng văn bản và nêu rõ lý do.”.</w:t>
      </w:r>
    </w:p>
    <w:p w:rsidR="00765FDA" w:rsidRPr="00EB6DED" w:rsidRDefault="00D04FB6" w:rsidP="00C00499">
      <w:pPr>
        <w:pStyle w:val="BodyText"/>
        <w:shd w:val="clear" w:color="auto" w:fill="auto"/>
        <w:tabs>
          <w:tab w:val="left" w:pos="111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8. </w:t>
      </w:r>
      <w:r w:rsidR="006419E5" w:rsidRPr="00EB6DED">
        <w:rPr>
          <w:rFonts w:ascii="Arial" w:hAnsi="Arial" w:cs="Arial"/>
          <w:sz w:val="20"/>
          <w:szCs w:val="20"/>
        </w:rPr>
        <w:t>Sửa đổi, bổ sung một số khoản của Điều 12 như sau:</w:t>
      </w:r>
    </w:p>
    <w:p w:rsidR="00765FDA" w:rsidRPr="00EB6DED" w:rsidRDefault="00BC5B0B" w:rsidP="00C00499">
      <w:pPr>
        <w:pStyle w:val="BodyText"/>
        <w:shd w:val="clear" w:color="auto" w:fill="auto"/>
        <w:tabs>
          <w:tab w:val="left" w:pos="1137"/>
        </w:tabs>
        <w:spacing w:after="120" w:line="240" w:lineRule="auto"/>
        <w:ind w:firstLine="720"/>
        <w:jc w:val="both"/>
        <w:rPr>
          <w:rFonts w:ascii="Arial" w:hAnsi="Arial" w:cs="Arial"/>
          <w:sz w:val="20"/>
          <w:szCs w:val="20"/>
        </w:rPr>
      </w:pPr>
      <w:r w:rsidRPr="00EB6DED">
        <w:rPr>
          <w:rFonts w:ascii="Arial" w:hAnsi="Arial" w:cs="Arial"/>
          <w:sz w:val="20"/>
          <w:szCs w:val="20"/>
          <w:lang w:val="en-US"/>
        </w:rPr>
        <w:t>a)</w:t>
      </w:r>
      <w:r w:rsidR="00622F9B" w:rsidRPr="00EB6DED">
        <w:rPr>
          <w:rFonts w:ascii="Arial" w:hAnsi="Arial" w:cs="Arial"/>
          <w:sz w:val="20"/>
          <w:szCs w:val="20"/>
          <w:lang w:val="en-US"/>
        </w:rPr>
        <w:t xml:space="preserve"> </w:t>
      </w:r>
      <w:r w:rsidR="006419E5" w:rsidRPr="00EB6DED">
        <w:rPr>
          <w:rFonts w:ascii="Arial" w:hAnsi="Arial" w:cs="Arial"/>
          <w:sz w:val="20"/>
          <w:szCs w:val="20"/>
        </w:rPr>
        <w:t>Sửa đổi, bổ sung khoản 4 và khoản 5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“4. Tổ chức giám định tư pháp công lập về kỹ thuật hình sự bao gồm:</w:t>
      </w:r>
    </w:p>
    <w:p w:rsidR="00765FDA" w:rsidRPr="00EB6DED" w:rsidRDefault="0072584A" w:rsidP="00C00499">
      <w:pPr>
        <w:pStyle w:val="BodyText"/>
        <w:shd w:val="clear" w:color="auto" w:fill="auto"/>
        <w:tabs>
          <w:tab w:val="left" w:pos="113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Viện khoa học hình sự thuộc Bộ Công an;</w:t>
      </w:r>
    </w:p>
    <w:p w:rsidR="00765FDA" w:rsidRPr="00EB6DED" w:rsidRDefault="0072584A" w:rsidP="00C00499">
      <w:pPr>
        <w:pStyle w:val="BodyText"/>
        <w:shd w:val="clear" w:color="auto" w:fill="auto"/>
        <w:tabs>
          <w:tab w:val="left" w:pos="116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Phòng kỹ thuật hình sự thuộc Công an cấp tỉnh;</w:t>
      </w:r>
    </w:p>
    <w:p w:rsidR="00765FDA" w:rsidRPr="00EB6DED" w:rsidRDefault="00582870" w:rsidP="00C00499">
      <w:pPr>
        <w:pStyle w:val="BodyText"/>
        <w:shd w:val="clear" w:color="auto" w:fill="auto"/>
        <w:tabs>
          <w:tab w:val="left" w:pos="116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Phòng giám định kỹ thuật hình sự thuộc Bộ Quốc phòng;</w:t>
      </w:r>
    </w:p>
    <w:p w:rsidR="00765FDA" w:rsidRPr="00EB6DED" w:rsidRDefault="00582870" w:rsidP="00C00499">
      <w:pPr>
        <w:pStyle w:val="BodyText"/>
        <w:shd w:val="clear" w:color="auto" w:fill="auto"/>
        <w:tabs>
          <w:tab w:val="left" w:pos="116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Phòng giám định kỹ thuật hình sự thuộc Viện kiểm sát nhân dân tối cao.</w:t>
      </w:r>
    </w:p>
    <w:p w:rsidR="00765FDA" w:rsidRPr="00EB6DED" w:rsidRDefault="004226EE" w:rsidP="00C00499">
      <w:pPr>
        <w:pStyle w:val="BodyText"/>
        <w:shd w:val="clear" w:color="auto" w:fill="auto"/>
        <w:tabs>
          <w:tab w:val="left" w:pos="112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5. </w:t>
      </w:r>
      <w:r w:rsidR="006419E5" w:rsidRPr="00EB6DED">
        <w:rPr>
          <w:rFonts w:ascii="Arial" w:hAnsi="Arial" w:cs="Arial"/>
          <w:sz w:val="20"/>
          <w:szCs w:val="20"/>
        </w:rPr>
        <w:t xml:space="preserve">Phòng giám định kỹ thuật hình sự thuộc Viện kiểm sát nhân dân tối cao thực hiện giám định về âm thanh, hình ảnh từ các dữ liệu điện tử. Căn cứ vào nhu cầu và điều kiện thực tế của địa phương, Phòng kỹ thuật hình sự thuộc Công an </w:t>
      </w:r>
      <w:r w:rsidR="00CB0B74" w:rsidRPr="00EB6DED">
        <w:rPr>
          <w:rFonts w:ascii="Arial" w:hAnsi="Arial" w:cs="Arial"/>
          <w:sz w:val="20"/>
          <w:szCs w:val="20"/>
        </w:rPr>
        <w:t>cấp</w:t>
      </w:r>
      <w:r w:rsidR="00E116F9" w:rsidRPr="00EB6DED">
        <w:rPr>
          <w:rFonts w:ascii="Arial" w:hAnsi="Arial" w:cs="Arial"/>
          <w:sz w:val="20"/>
          <w:szCs w:val="20"/>
        </w:rPr>
        <w:t xml:space="preserve"> tỉ</w:t>
      </w:r>
      <w:r w:rsidR="006419E5" w:rsidRPr="00EB6DED">
        <w:rPr>
          <w:rFonts w:ascii="Arial" w:hAnsi="Arial" w:cs="Arial"/>
          <w:sz w:val="20"/>
          <w:szCs w:val="20"/>
        </w:rPr>
        <w:t>nh có giám định viên pháp y thực hiện giám định pháp y tử thi.”;</w:t>
      </w:r>
    </w:p>
    <w:p w:rsidR="00765FDA" w:rsidRPr="00EB6DED" w:rsidRDefault="00E116F9" w:rsidP="00C00499">
      <w:pPr>
        <w:pStyle w:val="BodyText"/>
        <w:shd w:val="clear" w:color="auto" w:fill="auto"/>
        <w:tabs>
          <w:tab w:val="left" w:pos="114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Sửa đổi, bổ sung khoản 7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“7. Chính phủ quy định chi tiết chức năng, nhiệm vụ, cơ cấu tổ chức, chế độ làm việc của tổ chức giám định tư pháp công lập quy định tại khoản 2, khoản 3, các điểm a, b và c khoản 4 Điều này.</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Viện trưởng Viện kiểm sát nhân dân tối cao quy định chức năng, nhiệm vụ, cơ cấu </w:t>
      </w:r>
      <w:r w:rsidR="00A84E92" w:rsidRPr="00EB6DED">
        <w:rPr>
          <w:rFonts w:ascii="Arial" w:hAnsi="Arial" w:cs="Arial"/>
          <w:sz w:val="20"/>
          <w:szCs w:val="20"/>
        </w:rPr>
        <w:t>tổ chức</w:t>
      </w:r>
      <w:r w:rsidRPr="00EB6DED">
        <w:rPr>
          <w:rFonts w:ascii="Arial" w:hAnsi="Arial" w:cs="Arial"/>
          <w:sz w:val="20"/>
          <w:szCs w:val="20"/>
        </w:rPr>
        <w:t xml:space="preserve"> của Phòng giám định kỹ thuật hình sự thuộc Viện </w:t>
      </w:r>
      <w:r w:rsidR="00A84E92" w:rsidRPr="00EB6DED">
        <w:rPr>
          <w:rFonts w:ascii="Arial" w:hAnsi="Arial" w:cs="Arial"/>
          <w:sz w:val="20"/>
          <w:szCs w:val="20"/>
        </w:rPr>
        <w:t>kiểm sát</w:t>
      </w:r>
      <w:r w:rsidRPr="00EB6DED">
        <w:rPr>
          <w:rFonts w:ascii="Arial" w:hAnsi="Arial" w:cs="Arial"/>
          <w:sz w:val="20"/>
          <w:szCs w:val="20"/>
        </w:rPr>
        <w:t xml:space="preserve"> nhân dân tối cao, trình </w:t>
      </w:r>
      <w:r w:rsidR="0027113F" w:rsidRPr="00EB6DED">
        <w:rPr>
          <w:rFonts w:ascii="Arial" w:hAnsi="Arial" w:cs="Arial"/>
          <w:sz w:val="20"/>
          <w:szCs w:val="20"/>
        </w:rPr>
        <w:t>Ủy ban</w:t>
      </w:r>
      <w:r w:rsidRPr="00EB6DED">
        <w:rPr>
          <w:rFonts w:ascii="Arial" w:hAnsi="Arial" w:cs="Arial"/>
          <w:sz w:val="20"/>
          <w:szCs w:val="20"/>
        </w:rPr>
        <w:t xml:space="preserve"> Thường vụ Quốc hội phê chuẩn.”.</w:t>
      </w:r>
    </w:p>
    <w:p w:rsidR="00765FDA" w:rsidRPr="00EB6DED" w:rsidRDefault="00A84E92" w:rsidP="00C00499">
      <w:pPr>
        <w:pStyle w:val="BodyText"/>
        <w:shd w:val="clear" w:color="auto" w:fill="auto"/>
        <w:tabs>
          <w:tab w:val="left" w:pos="110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9. </w:t>
      </w:r>
      <w:r w:rsidR="006419E5" w:rsidRPr="00EB6DED">
        <w:rPr>
          <w:rFonts w:ascii="Arial" w:hAnsi="Arial" w:cs="Arial"/>
          <w:sz w:val="20"/>
          <w:szCs w:val="20"/>
        </w:rPr>
        <w:t>Sửa đổi, bổ sung điểm a khoản 1 Điều 15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“a) Có từ đủ 03 năm trở lên</w:t>
      </w:r>
      <w:r w:rsidR="00B64FAC" w:rsidRPr="00EB6DED">
        <w:rPr>
          <w:rFonts w:ascii="Arial" w:hAnsi="Arial" w:cs="Arial"/>
          <w:sz w:val="20"/>
          <w:szCs w:val="20"/>
        </w:rPr>
        <w:t xml:space="preserve"> là giám định viên tư pháp và có</w:t>
      </w:r>
      <w:r w:rsidRPr="00EB6DED">
        <w:rPr>
          <w:rFonts w:ascii="Arial" w:hAnsi="Arial" w:cs="Arial"/>
          <w:sz w:val="20"/>
          <w:szCs w:val="20"/>
        </w:rPr>
        <w:t xml:space="preserve"> hoạt động giám định trong lĩnh vực đề nghị thành lập Văn phòng;”.</w:t>
      </w:r>
    </w:p>
    <w:p w:rsidR="00765FDA" w:rsidRPr="00EB6DED" w:rsidRDefault="00B64FAC" w:rsidP="00C00499">
      <w:pPr>
        <w:pStyle w:val="BodyText"/>
        <w:shd w:val="clear" w:color="auto" w:fill="auto"/>
        <w:tabs>
          <w:tab w:val="left" w:pos="122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10. </w:t>
      </w:r>
      <w:r w:rsidR="006419E5" w:rsidRPr="00EB6DED">
        <w:rPr>
          <w:rFonts w:ascii="Arial" w:hAnsi="Arial" w:cs="Arial"/>
          <w:sz w:val="20"/>
          <w:szCs w:val="20"/>
        </w:rPr>
        <w:t>Sửa đổi, bổ sung Điều 20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20. Công nhận và đăng tải danh sách người giám định tư pháp theo vụ việc, tổ chức giám định tư pháp theo vụ việc</w:t>
      </w:r>
    </w:p>
    <w:p w:rsidR="00765FDA" w:rsidRPr="00EB6DED" w:rsidRDefault="005B4880" w:rsidP="00C00499">
      <w:pPr>
        <w:pStyle w:val="BodyText"/>
        <w:shd w:val="clear" w:color="auto" w:fill="auto"/>
        <w:tabs>
          <w:tab w:val="left" w:pos="108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 xml:space="preserve">Bộ </w:t>
      </w:r>
      <w:r w:rsidRPr="00EB6DED">
        <w:rPr>
          <w:rFonts w:ascii="Arial" w:hAnsi="Arial" w:cs="Arial"/>
          <w:sz w:val="20"/>
          <w:szCs w:val="20"/>
        </w:rPr>
        <w:t>Xây dựng</w:t>
      </w:r>
      <w:r w:rsidR="006419E5" w:rsidRPr="00EB6DED">
        <w:rPr>
          <w:rFonts w:ascii="Arial" w:hAnsi="Arial" w:cs="Arial"/>
          <w:sz w:val="20"/>
          <w:szCs w:val="20"/>
        </w:rPr>
        <w:t>, Bộ</w:t>
      </w:r>
      <w:r w:rsidRPr="00EB6DED">
        <w:rPr>
          <w:rFonts w:ascii="Arial" w:hAnsi="Arial" w:cs="Arial"/>
          <w:sz w:val="20"/>
          <w:szCs w:val="20"/>
        </w:rPr>
        <w:t xml:space="preserve"> Tài chính, Bộ Văn hóa, Thể thao và D</w:t>
      </w:r>
      <w:r w:rsidR="006419E5" w:rsidRPr="00EB6DED">
        <w:rPr>
          <w:rFonts w:ascii="Arial" w:hAnsi="Arial" w:cs="Arial"/>
          <w:sz w:val="20"/>
          <w:szCs w:val="20"/>
        </w:rPr>
        <w:t xml:space="preserve">u lịch, Bộ Thông tin và Truyền thông, Bộ Kế hoạch và Đầu tư, Bộ Tài nguyên và Môi trường, Bộ Giao thông vận tải, Bộ Khoa học và Công nghệ, Bộ Nông nghiệp và Phát triển nông thôn, Ngân hàng Nhà nước Việt Nam, bộ, cơ quan ngang bộ khác, cơ quan thuộc Chính phủ và </w:t>
      </w:r>
      <w:r w:rsidR="0027113F" w:rsidRPr="00EB6DED">
        <w:rPr>
          <w:rFonts w:ascii="Arial" w:hAnsi="Arial" w:cs="Arial"/>
          <w:sz w:val="20"/>
          <w:szCs w:val="20"/>
        </w:rPr>
        <w:t>Ủy ban</w:t>
      </w:r>
      <w:r w:rsidR="006419E5" w:rsidRPr="00EB6DED">
        <w:rPr>
          <w:rFonts w:ascii="Arial" w:hAnsi="Arial" w:cs="Arial"/>
          <w:sz w:val="20"/>
          <w:szCs w:val="20"/>
        </w:rPr>
        <w:t xml:space="preserve"> nhân dân cấp tỉnh lựa chọn cá nhân, tổ chức có đủ tiêu </w:t>
      </w:r>
      <w:r w:rsidR="006419E5" w:rsidRPr="00EB6DED">
        <w:rPr>
          <w:rFonts w:ascii="Arial" w:hAnsi="Arial" w:cs="Arial"/>
          <w:sz w:val="20"/>
          <w:szCs w:val="20"/>
        </w:rPr>
        <w:lastRenderedPageBreak/>
        <w:t xml:space="preserve">chuẩn, điều kiện quy định tại Điều 18 và Điều 19 của Luật này để ra quyết định công nhận người giám định tư pháp theo vụ việc, tổ chức giám định tư pháp theo vụ việc ở lĩnh vực thuộc </w:t>
      </w:r>
      <w:r w:rsidR="00197445" w:rsidRPr="00EB6DED">
        <w:rPr>
          <w:rFonts w:ascii="Arial" w:hAnsi="Arial" w:cs="Arial"/>
          <w:sz w:val="20"/>
          <w:szCs w:val="20"/>
        </w:rPr>
        <w:t>thẩm quyền</w:t>
      </w:r>
      <w:r w:rsidRPr="00EB6DED">
        <w:rPr>
          <w:rFonts w:ascii="Arial" w:hAnsi="Arial" w:cs="Arial"/>
          <w:sz w:val="20"/>
          <w:szCs w:val="20"/>
        </w:rPr>
        <w:t xml:space="preserve"> quản lý để</w:t>
      </w:r>
      <w:r w:rsidR="006419E5" w:rsidRPr="00EB6DED">
        <w:rPr>
          <w:rFonts w:ascii="Arial" w:hAnsi="Arial" w:cs="Arial"/>
          <w:sz w:val="20"/>
          <w:szCs w:val="20"/>
        </w:rPr>
        <w:t xml:space="preserve"> đáp ứng yêu cầu giám định của hoạt động tố tụng.</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Danh sách kèm theo thông tin về chuyên ngành giám định, kinh nghiệm, năng lực chuyên môn, nghiệp vụ của người giám định tư pháp theo vụ việc, tổ chức giám định tư pháp theo vụ việc được đăng tải, rà soát và cập nhật trên cổng thông tin điện tử của bộ, cơ quan ngang bộ, cơ quan thuộc</w:t>
      </w:r>
      <w:r w:rsidR="00445AD7" w:rsidRPr="00EB6DED">
        <w:rPr>
          <w:rFonts w:ascii="Arial" w:hAnsi="Arial" w:cs="Arial"/>
          <w:sz w:val="20"/>
          <w:szCs w:val="20"/>
        </w:rPr>
        <w:t xml:space="preserve"> Chính phủ, </w:t>
      </w:r>
      <w:r w:rsidR="00445AD7" w:rsidRPr="00EB6DED">
        <w:rPr>
          <w:rFonts w:ascii="Arial" w:hAnsi="Arial" w:cs="Arial"/>
          <w:sz w:val="20"/>
          <w:szCs w:val="20"/>
          <w:lang w:val="en-US"/>
        </w:rPr>
        <w:t>Ủ</w:t>
      </w:r>
      <w:r w:rsidRPr="00EB6DED">
        <w:rPr>
          <w:rFonts w:ascii="Arial" w:hAnsi="Arial" w:cs="Arial"/>
          <w:sz w:val="20"/>
          <w:szCs w:val="20"/>
        </w:rPr>
        <w:t>y ban nhân dân cấp tỉnh, đồng thời gửi Bộ Tư pháp để lập danh sách chung.</w:t>
      </w:r>
    </w:p>
    <w:p w:rsidR="00765FDA" w:rsidRPr="007A6097" w:rsidRDefault="007C57E3" w:rsidP="00C00499">
      <w:pPr>
        <w:pStyle w:val="BodyText"/>
        <w:shd w:val="clear" w:color="auto" w:fill="auto"/>
        <w:tabs>
          <w:tab w:val="left" w:pos="1083"/>
        </w:tabs>
        <w:spacing w:after="120" w:line="240" w:lineRule="auto"/>
        <w:ind w:firstLine="720"/>
        <w:jc w:val="both"/>
        <w:rPr>
          <w:rFonts w:ascii="Arial" w:hAnsi="Arial" w:cs="Arial"/>
          <w:sz w:val="20"/>
          <w:szCs w:val="20"/>
          <w:lang w:val="en-SG"/>
        </w:rPr>
      </w:pPr>
      <w:r w:rsidRPr="00EB6DED">
        <w:rPr>
          <w:rFonts w:ascii="Arial" w:hAnsi="Arial" w:cs="Arial"/>
          <w:sz w:val="20"/>
          <w:szCs w:val="20"/>
          <w:lang w:val="en-US"/>
        </w:rPr>
        <w:t xml:space="preserve">2. </w:t>
      </w:r>
      <w:r w:rsidR="006419E5" w:rsidRPr="00EB6DED">
        <w:rPr>
          <w:rFonts w:ascii="Arial" w:hAnsi="Arial" w:cs="Arial"/>
          <w:sz w:val="20"/>
          <w:szCs w:val="20"/>
        </w:rPr>
        <w:t>Danh sách người giám định tư pháp theo vụ việc, tổ chức giám định tư pháp theo vụ việc quy định tại khoản 1 Điều này là căn cứ để cơ quan có thẩm quyền tiến hành tố tụng, người có thẩm quyền tiến hành tố tụng lựa chọn, quyế</w:t>
      </w:r>
      <w:r w:rsidR="007A6097">
        <w:rPr>
          <w:rFonts w:ascii="Arial" w:hAnsi="Arial" w:cs="Arial"/>
          <w:sz w:val="20"/>
          <w:szCs w:val="20"/>
        </w:rPr>
        <w:t>t định việc trưng cầu giám định</w:t>
      </w:r>
      <w:r w:rsidR="007A6097">
        <w:rPr>
          <w:rFonts w:ascii="Arial" w:hAnsi="Arial" w:cs="Arial"/>
          <w:sz w:val="20"/>
          <w:szCs w:val="20"/>
          <w:lang w:val="en-SG"/>
        </w:rPr>
        <w:t>.</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Trong trường hợp đặc biệt, người trưng cầu giám định có thể trưng cầu cá nhân, </w:t>
      </w:r>
      <w:r w:rsidR="00A84E92" w:rsidRPr="00EB6DED">
        <w:rPr>
          <w:rFonts w:ascii="Arial" w:hAnsi="Arial" w:cs="Arial"/>
          <w:sz w:val="20"/>
          <w:szCs w:val="20"/>
        </w:rPr>
        <w:t>tổ chức</w:t>
      </w:r>
      <w:r w:rsidRPr="00EB6DED">
        <w:rPr>
          <w:rFonts w:ascii="Arial" w:hAnsi="Arial" w:cs="Arial"/>
          <w:sz w:val="20"/>
          <w:szCs w:val="20"/>
        </w:rPr>
        <w:t xml:space="preserve"> chuyên môn có đủ tiêu </w:t>
      </w:r>
      <w:r w:rsidR="00917FA7" w:rsidRPr="00EB6DED">
        <w:rPr>
          <w:rFonts w:ascii="Arial" w:hAnsi="Arial" w:cs="Arial"/>
          <w:sz w:val="20"/>
          <w:szCs w:val="20"/>
        </w:rPr>
        <w:t>chuẩn</w:t>
      </w:r>
      <w:r w:rsidRPr="00EB6DED">
        <w:rPr>
          <w:rFonts w:ascii="Arial" w:hAnsi="Arial" w:cs="Arial"/>
          <w:sz w:val="20"/>
          <w:szCs w:val="20"/>
        </w:rPr>
        <w:t xml:space="preserve">, </w:t>
      </w:r>
      <w:r w:rsidR="00433289" w:rsidRPr="00EB6DED">
        <w:rPr>
          <w:rFonts w:ascii="Arial" w:hAnsi="Arial" w:cs="Arial"/>
          <w:sz w:val="20"/>
          <w:szCs w:val="20"/>
        </w:rPr>
        <w:t>điều</w:t>
      </w:r>
      <w:r w:rsidRPr="00EB6DED">
        <w:rPr>
          <w:rFonts w:ascii="Arial" w:hAnsi="Arial" w:cs="Arial"/>
          <w:sz w:val="20"/>
          <w:szCs w:val="20"/>
        </w:rPr>
        <w:t xml:space="preserve"> kiện quy định tại </w:t>
      </w:r>
      <w:r w:rsidR="00433289" w:rsidRPr="00EB6DED">
        <w:rPr>
          <w:rFonts w:ascii="Arial" w:hAnsi="Arial" w:cs="Arial"/>
          <w:sz w:val="20"/>
          <w:szCs w:val="20"/>
        </w:rPr>
        <w:t>Điều</w:t>
      </w:r>
      <w:r w:rsidRPr="00EB6DED">
        <w:rPr>
          <w:rFonts w:ascii="Arial" w:hAnsi="Arial" w:cs="Arial"/>
          <w:sz w:val="20"/>
          <w:szCs w:val="20"/>
        </w:rPr>
        <w:t xml:space="preserve"> 18 và Điều 19 của Luật này không thuộc danh sách người giám định tư pháp theo vụ việc, tổ chức giám định tư pháp theo vụ việc đã công bố để thực hiện giám định nhưng phải nêu rõ lý do trong quyết định trưng cầu.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Theo yêu cầu của cơ quan có thẩm quyền tiến hành tố tụng, người có thẩm quyền tiến hành tố tụng, bộ, cơ quan ngang bộ, cơ quan thuộc Chính phủ, Kiểm toán nhà nước, cơ quan chuyên môn thuộc </w:t>
      </w:r>
      <w:r w:rsidR="0027113F" w:rsidRPr="00EB6DED">
        <w:rPr>
          <w:rFonts w:ascii="Arial" w:hAnsi="Arial" w:cs="Arial"/>
          <w:sz w:val="20"/>
          <w:szCs w:val="20"/>
        </w:rPr>
        <w:t>Ủy ban</w:t>
      </w:r>
      <w:r w:rsidRPr="00EB6DED">
        <w:rPr>
          <w:rFonts w:ascii="Arial" w:hAnsi="Arial" w:cs="Arial"/>
          <w:sz w:val="20"/>
          <w:szCs w:val="20"/>
        </w:rPr>
        <w:t xml:space="preserve"> nhân dân cấp tỉnh, cơ quan trung ương đóng trên địa bàn cấp tỉnh có trách nhiệm g</w:t>
      </w:r>
      <w:r w:rsidR="001E6A05" w:rsidRPr="00EB6DED">
        <w:rPr>
          <w:rFonts w:ascii="Arial" w:hAnsi="Arial" w:cs="Arial"/>
          <w:sz w:val="20"/>
          <w:szCs w:val="20"/>
        </w:rPr>
        <w:t>iới thiệu cá nhân, tổ chức có đủ</w:t>
      </w:r>
      <w:r w:rsidRPr="00EB6DED">
        <w:rPr>
          <w:rFonts w:ascii="Arial" w:hAnsi="Arial" w:cs="Arial"/>
          <w:sz w:val="20"/>
          <w:szCs w:val="20"/>
        </w:rPr>
        <w:t xml:space="preserve"> tiêu chuẩn, điều kiện quy định tại Điều 18 và Điều 19 của Luật này ngoài danh sách đã công bố để thực hiện giám định.”.</w:t>
      </w:r>
    </w:p>
    <w:p w:rsidR="00765FDA" w:rsidRPr="00EB6DED" w:rsidRDefault="00037568" w:rsidP="00C00499">
      <w:pPr>
        <w:pStyle w:val="BodyText"/>
        <w:shd w:val="clear" w:color="auto" w:fill="auto"/>
        <w:tabs>
          <w:tab w:val="left" w:pos="126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11. </w:t>
      </w:r>
      <w:r w:rsidR="006419E5" w:rsidRPr="00EB6DED">
        <w:rPr>
          <w:rFonts w:ascii="Arial" w:hAnsi="Arial" w:cs="Arial"/>
          <w:sz w:val="20"/>
          <w:szCs w:val="20"/>
        </w:rPr>
        <w:t>Sửa đổi, bổ sung khoản 2 Điều 21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 Người trưng cầu giám định có nghĩa vụ:</w:t>
      </w:r>
    </w:p>
    <w:p w:rsidR="00765FDA" w:rsidRPr="00EB6DED" w:rsidRDefault="009C37EA" w:rsidP="00C00499">
      <w:pPr>
        <w:pStyle w:val="BodyText"/>
        <w:shd w:val="clear" w:color="auto" w:fill="auto"/>
        <w:tabs>
          <w:tab w:val="left" w:pos="114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7A6097">
        <w:rPr>
          <w:rFonts w:ascii="Arial" w:hAnsi="Arial" w:cs="Arial"/>
          <w:sz w:val="20"/>
          <w:szCs w:val="20"/>
        </w:rPr>
        <w:t>Xác định rõ nội dung, l</w:t>
      </w:r>
      <w:r w:rsidR="007A6097">
        <w:rPr>
          <w:rFonts w:ascii="Arial" w:hAnsi="Arial" w:cs="Arial"/>
          <w:sz w:val="20"/>
          <w:szCs w:val="20"/>
          <w:lang w:val="en-SG"/>
        </w:rPr>
        <w:t>ĩ</w:t>
      </w:r>
      <w:r w:rsidR="006419E5" w:rsidRPr="00EB6DED">
        <w:rPr>
          <w:rFonts w:ascii="Arial" w:hAnsi="Arial" w:cs="Arial"/>
          <w:sz w:val="20"/>
          <w:szCs w:val="20"/>
        </w:rPr>
        <w:t xml:space="preserve">nh vực hoặc chuyên ngành cần giám định trong vụ án, vụ việc đang giải quyết; lựa chọn cá nhân, tổ chức có năng lực, đủ điều kiện thực hiện giám định </w:t>
      </w:r>
      <w:r w:rsidR="00FF7692" w:rsidRPr="00EB6DED">
        <w:rPr>
          <w:rFonts w:ascii="Arial" w:hAnsi="Arial" w:cs="Arial"/>
          <w:sz w:val="20"/>
          <w:szCs w:val="20"/>
        </w:rPr>
        <w:t>phù hợp</w:t>
      </w:r>
      <w:r w:rsidR="006419E5" w:rsidRPr="00EB6DED">
        <w:rPr>
          <w:rFonts w:ascii="Arial" w:hAnsi="Arial" w:cs="Arial"/>
          <w:sz w:val="20"/>
          <w:szCs w:val="20"/>
        </w:rPr>
        <w:t xml:space="preserve"> với tính chất, nội dung cần giám định để ra quyết định trưng cầu giám định;</w:t>
      </w:r>
    </w:p>
    <w:p w:rsidR="00765FDA" w:rsidRPr="00EB6DED" w:rsidRDefault="00FF7692" w:rsidP="00C00499">
      <w:pPr>
        <w:pStyle w:val="BodyText"/>
        <w:shd w:val="clear" w:color="auto" w:fill="auto"/>
        <w:tabs>
          <w:tab w:val="left" w:pos="123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 xml:space="preserve">Ra quyết định </w:t>
      </w:r>
      <w:r w:rsidR="00133824" w:rsidRPr="00EB6DED">
        <w:rPr>
          <w:rFonts w:ascii="Arial" w:hAnsi="Arial" w:cs="Arial"/>
          <w:sz w:val="20"/>
          <w:szCs w:val="20"/>
        </w:rPr>
        <w:t>trưng cầu giám định bằng văn bả</w:t>
      </w:r>
      <w:r w:rsidR="006419E5" w:rsidRPr="00EB6DED">
        <w:rPr>
          <w:rFonts w:ascii="Arial" w:hAnsi="Arial" w:cs="Arial"/>
          <w:sz w:val="20"/>
          <w:szCs w:val="20"/>
        </w:rPr>
        <w:t>n;</w:t>
      </w:r>
    </w:p>
    <w:p w:rsidR="00765FDA" w:rsidRPr="00EB6DED" w:rsidRDefault="00133824" w:rsidP="00C00499">
      <w:pPr>
        <w:pStyle w:val="BodyText"/>
        <w:shd w:val="clear" w:color="auto" w:fill="auto"/>
        <w:tabs>
          <w:tab w:val="left" w:pos="119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Cung cấp kịp thời, đầy đủ và chịu trách nhiệm trước pháp</w:t>
      </w:r>
      <w:r w:rsidR="00964921" w:rsidRPr="00EB6DED">
        <w:rPr>
          <w:rFonts w:ascii="Arial" w:hAnsi="Arial" w:cs="Arial"/>
          <w:sz w:val="20"/>
          <w:szCs w:val="20"/>
        </w:rPr>
        <w:t xml:space="preserve"> luật về thông tin, tài liệu, mẫu vật có liên quan đến đối tượng, nội dung cầ</w:t>
      </w:r>
      <w:r w:rsidR="006419E5" w:rsidRPr="00EB6DED">
        <w:rPr>
          <w:rFonts w:ascii="Arial" w:hAnsi="Arial" w:cs="Arial"/>
          <w:sz w:val="20"/>
          <w:szCs w:val="20"/>
        </w:rPr>
        <w:t>n giám định theo yêu cầu của cá nhân, tổ chức thực hiện giám định tư pháp;</w:t>
      </w:r>
    </w:p>
    <w:p w:rsidR="00765FDA" w:rsidRPr="00EB6DED" w:rsidRDefault="00964921" w:rsidP="00C00499">
      <w:pPr>
        <w:pStyle w:val="BodyText"/>
        <w:shd w:val="clear" w:color="auto" w:fill="auto"/>
        <w:tabs>
          <w:tab w:val="left" w:pos="123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Tạm ứng, thanh toán kịp thời, đầy đủ chi phí giám định tư pháp;</w:t>
      </w:r>
    </w:p>
    <w:p w:rsidR="00765FDA" w:rsidRPr="00EB6DED" w:rsidRDefault="004C6442"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đ) Thực hiện hoặc đề nghị cơ</w:t>
      </w:r>
      <w:r w:rsidR="006419E5" w:rsidRPr="00EB6DED">
        <w:rPr>
          <w:rFonts w:ascii="Arial" w:hAnsi="Arial" w:cs="Arial"/>
          <w:sz w:val="20"/>
          <w:szCs w:val="20"/>
        </w:rPr>
        <w:t xml:space="preserve"> quan </w:t>
      </w:r>
      <w:r w:rsidRPr="00EB6DED">
        <w:rPr>
          <w:rFonts w:ascii="Arial" w:hAnsi="Arial" w:cs="Arial"/>
          <w:sz w:val="20"/>
          <w:szCs w:val="20"/>
          <w:lang w:val="en-US"/>
        </w:rPr>
        <w:t xml:space="preserve">có </w:t>
      </w:r>
      <w:r w:rsidR="007A6097">
        <w:rPr>
          <w:rFonts w:ascii="Arial" w:hAnsi="Arial" w:cs="Arial"/>
          <w:sz w:val="20"/>
          <w:szCs w:val="20"/>
        </w:rPr>
        <w:t xml:space="preserve">thẩm quyền áp dụng các </w:t>
      </w:r>
      <w:r w:rsidR="007A6097">
        <w:rPr>
          <w:rFonts w:ascii="Arial" w:hAnsi="Arial" w:cs="Arial"/>
          <w:sz w:val="20"/>
          <w:szCs w:val="20"/>
          <w:lang w:val="en-SG"/>
        </w:rPr>
        <w:t>b</w:t>
      </w:r>
      <w:r w:rsidR="006419E5" w:rsidRPr="00EB6DED">
        <w:rPr>
          <w:rFonts w:ascii="Arial" w:hAnsi="Arial" w:cs="Arial"/>
          <w:sz w:val="20"/>
          <w:szCs w:val="20"/>
        </w:rPr>
        <w:t xml:space="preserve">iện pháp theo quy định của pháp luật để bảo vệ người giám định tư pháp hoặc người thân thích của người giám định tư pháp khi có căn cứ xác định tính mạng, sức khỏe, danh dự, nhân phẩm, tài sản của người giám định tư pháp hoặc người thân thích của người giám định tư pháp bị đe dọa do việc thực hiện giám định tư pháp, tham gia vụ án, vụ việc với tư cách là </w:t>
      </w:r>
      <w:r w:rsidRPr="00EB6DED">
        <w:rPr>
          <w:rFonts w:ascii="Arial" w:hAnsi="Arial" w:cs="Arial"/>
          <w:sz w:val="20"/>
          <w:szCs w:val="20"/>
        </w:rPr>
        <w:t>người</w:t>
      </w:r>
      <w:r w:rsidR="006419E5" w:rsidRPr="00EB6DED">
        <w:rPr>
          <w:rFonts w:ascii="Arial" w:hAnsi="Arial" w:cs="Arial"/>
          <w:sz w:val="20"/>
          <w:szCs w:val="20"/>
        </w:rPr>
        <w:t xml:space="preserve"> giám định tư pháp.”.</w:t>
      </w:r>
    </w:p>
    <w:p w:rsidR="00765FDA" w:rsidRPr="00EB6DED" w:rsidRDefault="004C6442" w:rsidP="00C00499">
      <w:pPr>
        <w:pStyle w:val="BodyText"/>
        <w:shd w:val="clear" w:color="auto" w:fill="auto"/>
        <w:tabs>
          <w:tab w:val="left" w:pos="126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12. </w:t>
      </w:r>
      <w:r w:rsidR="006419E5" w:rsidRPr="00EB6DED">
        <w:rPr>
          <w:rFonts w:ascii="Arial" w:hAnsi="Arial" w:cs="Arial"/>
          <w:sz w:val="20"/>
          <w:szCs w:val="20"/>
        </w:rPr>
        <w:t xml:space="preserve">Sửa đổi, bổ sung một số </w:t>
      </w:r>
      <w:r w:rsidR="008D447A" w:rsidRPr="00EB6DED">
        <w:rPr>
          <w:rFonts w:ascii="Arial" w:hAnsi="Arial" w:cs="Arial"/>
          <w:sz w:val="20"/>
          <w:szCs w:val="20"/>
        </w:rPr>
        <w:t>điểm</w:t>
      </w:r>
      <w:r w:rsidR="006419E5" w:rsidRPr="00EB6DED">
        <w:rPr>
          <w:rFonts w:ascii="Arial" w:hAnsi="Arial" w:cs="Arial"/>
          <w:sz w:val="20"/>
          <w:szCs w:val="20"/>
        </w:rPr>
        <w:t>, khoản của Điều 22 như sau:</w:t>
      </w:r>
    </w:p>
    <w:p w:rsidR="00765FDA" w:rsidRPr="00EB6DED" w:rsidRDefault="008D447A" w:rsidP="00C00499">
      <w:pPr>
        <w:pStyle w:val="BodyText"/>
        <w:shd w:val="clear" w:color="auto" w:fill="auto"/>
        <w:tabs>
          <w:tab w:val="left" w:pos="120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Sửa đổi, bổ sung khoản 1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“1. Ngư</w:t>
      </w:r>
      <w:r w:rsidR="005D0CA1" w:rsidRPr="00EB6DED">
        <w:rPr>
          <w:rFonts w:ascii="Arial" w:hAnsi="Arial" w:cs="Arial"/>
          <w:sz w:val="20"/>
          <w:szCs w:val="20"/>
        </w:rPr>
        <w:t>ời yêu cầu giám định có quyền gử</w:t>
      </w:r>
      <w:r w:rsidRPr="00EB6DED">
        <w:rPr>
          <w:rFonts w:ascii="Arial" w:hAnsi="Arial" w:cs="Arial"/>
          <w:sz w:val="20"/>
          <w:szCs w:val="20"/>
        </w:rPr>
        <w:t xml:space="preserve">i văn bản yêu cầu cơ quan có thẩm quyền tiến hành tố tụng, người có thẩm quyền tiến hành tố tụng trưng cầu giám định. Trường hợp cơ quan có thẩm quyền tiến hành tố tụng, người có </w:t>
      </w:r>
      <w:r w:rsidR="00197445" w:rsidRPr="00EB6DED">
        <w:rPr>
          <w:rFonts w:ascii="Arial" w:hAnsi="Arial" w:cs="Arial"/>
          <w:sz w:val="20"/>
          <w:szCs w:val="20"/>
        </w:rPr>
        <w:t>thẩm quyền</w:t>
      </w:r>
      <w:r w:rsidRPr="00EB6DED">
        <w:rPr>
          <w:rFonts w:ascii="Arial" w:hAnsi="Arial" w:cs="Arial"/>
          <w:sz w:val="20"/>
          <w:szCs w:val="20"/>
        </w:rPr>
        <w:t xml:space="preserve"> </w:t>
      </w:r>
      <w:r w:rsidR="00197445" w:rsidRPr="00EB6DED">
        <w:rPr>
          <w:rFonts w:ascii="Arial" w:hAnsi="Arial" w:cs="Arial"/>
          <w:sz w:val="20"/>
          <w:szCs w:val="20"/>
        </w:rPr>
        <w:t>tiến hành</w:t>
      </w:r>
      <w:r w:rsidRPr="00EB6DED">
        <w:rPr>
          <w:rFonts w:ascii="Arial" w:hAnsi="Arial" w:cs="Arial"/>
          <w:sz w:val="20"/>
          <w:szCs w:val="20"/>
        </w:rPr>
        <w:t xml:space="preserve"> </w:t>
      </w:r>
      <w:r w:rsidR="00197445" w:rsidRPr="00EB6DED">
        <w:rPr>
          <w:rFonts w:ascii="Arial" w:hAnsi="Arial" w:cs="Arial"/>
          <w:sz w:val="20"/>
          <w:szCs w:val="20"/>
        </w:rPr>
        <w:t>tố tụng</w:t>
      </w:r>
      <w:r w:rsidR="005D0CA1" w:rsidRPr="00EB6DED">
        <w:rPr>
          <w:rFonts w:ascii="Arial" w:hAnsi="Arial" w:cs="Arial"/>
          <w:sz w:val="20"/>
          <w:szCs w:val="20"/>
        </w:rPr>
        <w:t xml:space="preserve"> không chấ</w:t>
      </w:r>
      <w:r w:rsidRPr="00EB6DED">
        <w:rPr>
          <w:rFonts w:ascii="Arial" w:hAnsi="Arial" w:cs="Arial"/>
          <w:sz w:val="20"/>
          <w:szCs w:val="20"/>
        </w:rPr>
        <w:t xml:space="preserve">p nhận </w:t>
      </w:r>
      <w:r w:rsidR="00B73ED2" w:rsidRPr="00EB6DED">
        <w:rPr>
          <w:rFonts w:ascii="Arial" w:hAnsi="Arial" w:cs="Arial"/>
          <w:sz w:val="20"/>
          <w:szCs w:val="20"/>
        </w:rPr>
        <w:t>yêu cầu</w:t>
      </w:r>
      <w:r w:rsidR="005D0CA1" w:rsidRPr="00EB6DED">
        <w:rPr>
          <w:rFonts w:ascii="Arial" w:hAnsi="Arial" w:cs="Arial"/>
          <w:sz w:val="20"/>
          <w:szCs w:val="20"/>
        </w:rPr>
        <w:t xml:space="preserve"> thì trong thời hạn 07 ngày, kể</w:t>
      </w:r>
      <w:r w:rsidRPr="00EB6DED">
        <w:rPr>
          <w:rFonts w:ascii="Arial" w:hAnsi="Arial" w:cs="Arial"/>
          <w:sz w:val="20"/>
          <w:szCs w:val="20"/>
        </w:rPr>
        <w:t xml:space="preserve"> từ ngày nhận được yêu cầu trưng cầu giám định, phải thông báo cho người yêu cầu giám định bằng văn bản. </w:t>
      </w:r>
      <w:r w:rsidR="005D0CA1" w:rsidRPr="00EB6DED">
        <w:rPr>
          <w:rFonts w:ascii="Arial" w:hAnsi="Arial" w:cs="Arial"/>
          <w:sz w:val="20"/>
          <w:szCs w:val="20"/>
          <w:lang w:val="en-US" w:eastAsia="en-US" w:bidi="en-US"/>
        </w:rPr>
        <w:t>Hế</w:t>
      </w:r>
      <w:r w:rsidRPr="00EB6DED">
        <w:rPr>
          <w:rFonts w:ascii="Arial" w:hAnsi="Arial" w:cs="Arial"/>
          <w:sz w:val="20"/>
          <w:szCs w:val="20"/>
          <w:lang w:val="en-US" w:eastAsia="en-US" w:bidi="en-US"/>
        </w:rPr>
        <w:t xml:space="preserve">t </w:t>
      </w:r>
      <w:r w:rsidRPr="00EB6DED">
        <w:rPr>
          <w:rFonts w:ascii="Arial" w:hAnsi="Arial" w:cs="Arial"/>
          <w:sz w:val="20"/>
          <w:szCs w:val="20"/>
        </w:rPr>
        <w:t>thời hạn nói trên hoặc kể từ ngày nhận được thông báo từ chối trưng cầu giám định, người yêu cầu giám định có quyền tự mình yêu cầu giám định.”;</w:t>
      </w:r>
    </w:p>
    <w:p w:rsidR="00765FDA" w:rsidRPr="00EB6DED" w:rsidRDefault="004E370B" w:rsidP="00C00499">
      <w:pPr>
        <w:pStyle w:val="BodyText"/>
        <w:shd w:val="clear" w:color="auto" w:fill="auto"/>
        <w:tabs>
          <w:tab w:val="left" w:pos="122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Sửa đổi, bổ sung điểm d khoản 2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“d) Yêu cầu cơ quan có thẩm quyền tiến hành tố tụng, người có thẩm quyền tiến hành tố tụng trưng cầu giám định lại; yêu cầu giám định bổ sung theo quy định tại khoản 1 Điều 29 của Luật này.”.</w:t>
      </w:r>
    </w:p>
    <w:p w:rsidR="00765FDA" w:rsidRPr="00EB6DED" w:rsidRDefault="001D12EE" w:rsidP="00C00499">
      <w:pPr>
        <w:pStyle w:val="BodyText"/>
        <w:shd w:val="clear" w:color="auto" w:fill="auto"/>
        <w:tabs>
          <w:tab w:val="left" w:pos="126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13. </w:t>
      </w:r>
      <w:r w:rsidR="006419E5" w:rsidRPr="00EB6DED">
        <w:rPr>
          <w:rFonts w:ascii="Arial" w:hAnsi="Arial" w:cs="Arial"/>
          <w:sz w:val="20"/>
          <w:szCs w:val="20"/>
        </w:rPr>
        <w:t>Bổ sung các điểm d, đ và e vào sau điểm c khoản 1 Điều 23 như sau:</w:t>
      </w:r>
    </w:p>
    <w:p w:rsidR="00765FDA" w:rsidRPr="00EB6DED" w:rsidRDefault="005766AE"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“d) Đề</w:t>
      </w:r>
      <w:r w:rsidR="006419E5" w:rsidRPr="00EB6DED">
        <w:rPr>
          <w:rFonts w:ascii="Arial" w:hAnsi="Arial" w:cs="Arial"/>
          <w:sz w:val="20"/>
          <w:szCs w:val="20"/>
        </w:rPr>
        <w:t xml:space="preserve"> nghị người trưng cầu giám định hoặc cơ quan có t</w:t>
      </w:r>
      <w:r w:rsidRPr="00EB6DED">
        <w:rPr>
          <w:rFonts w:ascii="Arial" w:hAnsi="Arial" w:cs="Arial"/>
          <w:sz w:val="20"/>
          <w:szCs w:val="20"/>
        </w:rPr>
        <w:t>hẩm quyền thực hiện biện pháp bả</w:t>
      </w:r>
      <w:r w:rsidR="006419E5" w:rsidRPr="00EB6DED">
        <w:rPr>
          <w:rFonts w:ascii="Arial" w:hAnsi="Arial" w:cs="Arial"/>
          <w:sz w:val="20"/>
          <w:szCs w:val="20"/>
        </w:rPr>
        <w:t>o vệ theo quy định của pháp luật khi có dấu hiệu bị đe dọa đến tính mạng, sức khỏe, danh dự, nhân phẩm, tài sản của bản thân hoặc người thân thích do việc thực hiện giám định tư pháp, tham gia vụ án, vụ việc với tư cách là người giám định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lastRenderedPageBreak/>
        <w:t>đ) Từ chối thực hiện giám định tư pháp trong trường hợp quy định tại khoản 2 Điều 11 của Luật này;</w:t>
      </w:r>
    </w:p>
    <w:p w:rsidR="00765FDA" w:rsidRPr="00EB6DED" w:rsidRDefault="00BB3C77" w:rsidP="00C00499">
      <w:pPr>
        <w:pStyle w:val="BodyText"/>
        <w:shd w:val="clear" w:color="auto" w:fill="auto"/>
        <w:tabs>
          <w:tab w:val="left" w:pos="116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e) </w:t>
      </w:r>
      <w:r w:rsidR="006419E5" w:rsidRPr="00EB6DED">
        <w:rPr>
          <w:rFonts w:ascii="Arial" w:hAnsi="Arial" w:cs="Arial"/>
          <w:sz w:val="20"/>
          <w:szCs w:val="20"/>
        </w:rPr>
        <w:t xml:space="preserve">Được bố trí vị trí </w:t>
      </w:r>
      <w:r w:rsidR="00FF7692" w:rsidRPr="00EB6DED">
        <w:rPr>
          <w:rFonts w:ascii="Arial" w:hAnsi="Arial" w:cs="Arial"/>
          <w:sz w:val="20"/>
          <w:szCs w:val="20"/>
        </w:rPr>
        <w:t>phù hợp</w:t>
      </w:r>
      <w:r w:rsidR="006419E5" w:rsidRPr="00EB6DED">
        <w:rPr>
          <w:rFonts w:ascii="Arial" w:hAnsi="Arial" w:cs="Arial"/>
          <w:sz w:val="20"/>
          <w:szCs w:val="20"/>
        </w:rPr>
        <w:t xml:space="preserve"> khi tham gia tố tụng tại phiên tòa.”.</w:t>
      </w:r>
    </w:p>
    <w:p w:rsidR="00765FDA" w:rsidRPr="00EB6DED" w:rsidRDefault="00C73EB9" w:rsidP="00C00499">
      <w:pPr>
        <w:pStyle w:val="BodyText"/>
        <w:shd w:val="clear" w:color="auto" w:fill="auto"/>
        <w:tabs>
          <w:tab w:val="left" w:pos="1261"/>
        </w:tabs>
        <w:spacing w:after="120" w:line="240" w:lineRule="auto"/>
        <w:ind w:firstLine="720"/>
        <w:jc w:val="both"/>
        <w:rPr>
          <w:rFonts w:ascii="Arial" w:hAnsi="Arial" w:cs="Arial"/>
          <w:sz w:val="20"/>
          <w:szCs w:val="20"/>
        </w:rPr>
      </w:pPr>
      <w:r w:rsidRPr="00EB6DED">
        <w:rPr>
          <w:rFonts w:ascii="Arial" w:hAnsi="Arial" w:cs="Arial"/>
          <w:sz w:val="20"/>
          <w:szCs w:val="20"/>
          <w:lang w:val="en-US"/>
        </w:rPr>
        <w:t>14.</w:t>
      </w:r>
      <w:r w:rsidR="00DD706A" w:rsidRPr="00EB6DED">
        <w:rPr>
          <w:rFonts w:ascii="Arial" w:hAnsi="Arial" w:cs="Arial"/>
          <w:sz w:val="20"/>
          <w:szCs w:val="20"/>
          <w:lang w:val="en-US"/>
        </w:rPr>
        <w:t xml:space="preserve"> </w:t>
      </w:r>
      <w:r w:rsidR="00D70A5F" w:rsidRPr="00EB6DED">
        <w:rPr>
          <w:rFonts w:ascii="Arial" w:hAnsi="Arial" w:cs="Arial"/>
          <w:sz w:val="20"/>
          <w:szCs w:val="20"/>
        </w:rPr>
        <w:t>Sửa đổi, bổ su</w:t>
      </w:r>
      <w:r w:rsidR="006419E5" w:rsidRPr="00EB6DED">
        <w:rPr>
          <w:rFonts w:ascii="Arial" w:hAnsi="Arial" w:cs="Arial"/>
          <w:sz w:val="20"/>
          <w:szCs w:val="20"/>
        </w:rPr>
        <w:t>ng Điều 24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24. Quyền, nghĩa vụ của tổ chức được trưng cầu, yêu cầu giám định tư pháp</w:t>
      </w:r>
    </w:p>
    <w:p w:rsidR="00765FDA" w:rsidRPr="00EB6DED" w:rsidRDefault="00820BFE" w:rsidP="00C00499">
      <w:pPr>
        <w:pStyle w:val="BodyText"/>
        <w:shd w:val="clear" w:color="auto" w:fill="auto"/>
        <w:tabs>
          <w:tab w:val="left" w:pos="116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Tổ chức được trưng cầu, yêu cầu giám định tư pháp có quyền:</w:t>
      </w:r>
    </w:p>
    <w:p w:rsidR="00765FDA" w:rsidRPr="00EB6DED" w:rsidRDefault="00F72151" w:rsidP="00C00499">
      <w:pPr>
        <w:pStyle w:val="BodyText"/>
        <w:shd w:val="clear" w:color="auto" w:fill="auto"/>
        <w:tabs>
          <w:tab w:val="left" w:pos="112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Yêu cầu người trưng cầu, người yêu cầu giám định cung cấp kịp thời, đầy đủ thông tin, tài liệu, mẫu vật cần thiết cho việc giám định;</w:t>
      </w:r>
    </w:p>
    <w:p w:rsidR="00765FDA" w:rsidRPr="00EB6DED" w:rsidRDefault="004B4500" w:rsidP="00C00499">
      <w:pPr>
        <w:pStyle w:val="BodyText"/>
        <w:shd w:val="clear" w:color="auto" w:fill="auto"/>
        <w:tabs>
          <w:tab w:val="left" w:pos="116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Từ chối tiếp nhận trưng cầu, yêu cầu giám định tư pháp trong trường hợp nội dung trưng cầu, yêu cầu giám định không phù hợp với phạm vi chuyên môn hoặc không có đủ năng lực, điều kiện cần thiết cho việc thực hiện giám định; đối tượng giám định, tài liệu liên quan được cung c</w:t>
      </w:r>
      <w:r w:rsidR="001C7140" w:rsidRPr="00EB6DED">
        <w:rPr>
          <w:rFonts w:ascii="Arial" w:hAnsi="Arial" w:cs="Arial"/>
          <w:sz w:val="20"/>
          <w:szCs w:val="20"/>
        </w:rPr>
        <w:t xml:space="preserve">ấp không đầy đủ hoặc không có </w:t>
      </w:r>
      <w:r w:rsidR="006419E5" w:rsidRPr="00EB6DED">
        <w:rPr>
          <w:rFonts w:ascii="Arial" w:hAnsi="Arial" w:cs="Arial"/>
          <w:sz w:val="20"/>
          <w:szCs w:val="20"/>
        </w:rPr>
        <w:t xml:space="preserve">giá </w:t>
      </w:r>
      <w:r w:rsidR="001C7140" w:rsidRPr="00EB6DED">
        <w:rPr>
          <w:rFonts w:ascii="Arial" w:hAnsi="Arial" w:cs="Arial"/>
          <w:sz w:val="20"/>
          <w:szCs w:val="20"/>
          <w:lang w:val="en-US" w:eastAsia="en-US" w:bidi="en-US"/>
        </w:rPr>
        <w:t>trị</w:t>
      </w:r>
      <w:r w:rsidR="006419E5" w:rsidRPr="00EB6DED">
        <w:rPr>
          <w:rFonts w:ascii="Arial" w:hAnsi="Arial" w:cs="Arial"/>
          <w:sz w:val="20"/>
          <w:szCs w:val="20"/>
          <w:lang w:val="en-US" w:eastAsia="en-US" w:bidi="en-US"/>
        </w:rPr>
        <w:t xml:space="preserve"> </w:t>
      </w:r>
      <w:r w:rsidR="00A27058" w:rsidRPr="00EB6DED">
        <w:rPr>
          <w:rFonts w:ascii="Arial" w:hAnsi="Arial" w:cs="Arial"/>
          <w:sz w:val="20"/>
          <w:szCs w:val="20"/>
          <w:lang w:val="en-US"/>
        </w:rPr>
        <w:t>để kết luận</w:t>
      </w:r>
      <w:r w:rsidR="006419E5" w:rsidRPr="00EB6DED">
        <w:rPr>
          <w:rFonts w:ascii="Arial" w:hAnsi="Arial" w:cs="Arial"/>
          <w:sz w:val="20"/>
          <w:szCs w:val="20"/>
        </w:rPr>
        <w:t xml:space="preserve"> giám </w:t>
      </w:r>
      <w:r w:rsidR="00A27058" w:rsidRPr="00EB6DED">
        <w:rPr>
          <w:rFonts w:ascii="Arial" w:hAnsi="Arial" w:cs="Arial"/>
          <w:sz w:val="20"/>
          <w:szCs w:val="20"/>
          <w:lang w:val="en-US"/>
        </w:rPr>
        <w:t>định</w:t>
      </w:r>
      <w:r w:rsidR="00A425EF" w:rsidRPr="00EB6DED">
        <w:rPr>
          <w:rFonts w:ascii="Arial" w:hAnsi="Arial" w:cs="Arial"/>
          <w:sz w:val="20"/>
          <w:szCs w:val="20"/>
        </w:rPr>
        <w:t xml:space="preserve"> tư pháp sau khi đã đề</w:t>
      </w:r>
      <w:r w:rsidR="003E6AFA" w:rsidRPr="00EB6DED">
        <w:rPr>
          <w:rFonts w:ascii="Arial" w:hAnsi="Arial" w:cs="Arial"/>
          <w:sz w:val="20"/>
          <w:szCs w:val="20"/>
        </w:rPr>
        <w:t xml:space="preserve"> nghị người trư</w:t>
      </w:r>
      <w:r w:rsidR="006419E5" w:rsidRPr="00EB6DED">
        <w:rPr>
          <w:rFonts w:ascii="Arial" w:hAnsi="Arial" w:cs="Arial"/>
          <w:sz w:val="20"/>
          <w:szCs w:val="20"/>
        </w:rPr>
        <w:t>ng cầu, người yêu cầu giám định bổ sung, làm rõ nhưng không được đáp ứng; thời gian không đủ để thực hiện giám định; tính độc lập, khách quan của việc thực hiện giám định không được bảo đảm;</w:t>
      </w:r>
    </w:p>
    <w:p w:rsidR="00765FDA" w:rsidRPr="00EB6DED" w:rsidRDefault="003E6AFA" w:rsidP="00C00499">
      <w:pPr>
        <w:pStyle w:val="BodyText"/>
        <w:shd w:val="clear" w:color="auto" w:fill="auto"/>
        <w:tabs>
          <w:tab w:val="left" w:pos="114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Được nhận tạm ứng chi phí giám định tư pháp khi nhận trưng cầu, yêu cầu giám định tư pháp; được thanh toán kịp thời, đầy đủ chi phí giám định tư pháp khi trả kết quả giám định.</w:t>
      </w:r>
    </w:p>
    <w:p w:rsidR="00765FDA" w:rsidRPr="00EB6DED" w:rsidRDefault="00FB7165" w:rsidP="00C00499">
      <w:pPr>
        <w:pStyle w:val="BodyText"/>
        <w:shd w:val="clear" w:color="auto" w:fill="auto"/>
        <w:tabs>
          <w:tab w:val="left" w:pos="1191"/>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6419E5" w:rsidRPr="00EB6DED">
        <w:rPr>
          <w:rFonts w:ascii="Arial" w:hAnsi="Arial" w:cs="Arial"/>
          <w:sz w:val="20"/>
          <w:szCs w:val="20"/>
        </w:rPr>
        <w:t>Tổ chức được trưng cầu, yêu cầu giám định tư pháp có nghĩa vụ:</w:t>
      </w:r>
    </w:p>
    <w:p w:rsidR="00765FDA" w:rsidRPr="00EB6DED" w:rsidRDefault="00BE56A9" w:rsidP="00C00499">
      <w:pPr>
        <w:pStyle w:val="BodyText"/>
        <w:shd w:val="clear" w:color="auto" w:fill="auto"/>
        <w:tabs>
          <w:tab w:val="left" w:pos="113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Trong thời hạn 05 ngày làm việc, kể từ ngày nhận được trưng cầu, yêu cầu giám định tư pháp, phải phân công người có trình độ chuyên môn, khả năng nghiệp vụ phù hợp với nội dung trưng cầu, yêu cầu giám định, chịu trách nhiệm về năng lực chuyên môn của người đó và thông báo cho người trưng cầu, người yêu cầu giám định, trừ trường hợp pháp luật quy định thời hạn ngắn hơn.</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Người đứng đầu tổ chức được trưng cầu, yêu cầu giám định có trách nhiệm chỉ đạo, đôn đốc việc tổ chức thực hiện giám định, trường hợp cần có từ 02 người trở lên thực hiện vụ việc giám định thì phải phân công người chịu trách nhiệm điều phối việc thực hiện giám định;</w:t>
      </w:r>
    </w:p>
    <w:p w:rsidR="00765FDA" w:rsidRPr="00EB6DED" w:rsidRDefault="008D710A" w:rsidP="00C00499">
      <w:pPr>
        <w:pStyle w:val="BodyText"/>
        <w:shd w:val="clear" w:color="auto" w:fill="auto"/>
        <w:tabs>
          <w:tab w:val="left" w:pos="114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Bảo đảm thời gian, trang thiết bị, phương tiện và các điều kiện cần thiết khác cho việc thực hiện giám định.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Trong quá trình thực hiện giám định, nếu có nội dung mới hoặc vấn đề khác phát sinh thì cá nhân, tổ chức thực hiện giám định phải thông báo ngay bằng văn bản cho người trưng cầu, người yêu cầu giám định biết để thống nhất phương án giải quyết;</w:t>
      </w:r>
    </w:p>
    <w:p w:rsidR="00765FDA" w:rsidRPr="00EB6DED" w:rsidRDefault="00A85AF2" w:rsidP="00C00499">
      <w:pPr>
        <w:pStyle w:val="BodyText"/>
        <w:shd w:val="clear" w:color="auto" w:fill="auto"/>
        <w:tabs>
          <w:tab w:val="left" w:pos="115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Bồi thường thiệt hại trong trường hợp người thực hiện giám định do mình phân công cố ý kết luận giám định sai, gây thiệt hại cho cá nhân, tổ chức;</w:t>
      </w:r>
    </w:p>
    <w:p w:rsidR="00765FDA" w:rsidRPr="00EB6DED" w:rsidRDefault="004D57E0" w:rsidP="00C00499">
      <w:pPr>
        <w:pStyle w:val="BodyText"/>
        <w:shd w:val="clear" w:color="auto" w:fill="auto"/>
        <w:tabs>
          <w:tab w:val="left" w:pos="42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Trường hợp từ chối tiếp nhận trưng cầu, yêu cầu giám định tư pháp thì phải thông báo cho người trưng cầu, người yêu cầu giám định bằng văn bản và nêu rõ lý do trong thời hạn 05 ngày làm việc, kể từ ng</w:t>
      </w:r>
      <w:r w:rsidR="004B6C5E" w:rsidRPr="00EB6DED">
        <w:rPr>
          <w:rFonts w:ascii="Arial" w:hAnsi="Arial" w:cs="Arial"/>
          <w:sz w:val="20"/>
          <w:szCs w:val="20"/>
        </w:rPr>
        <w:t>ày nhận được quyết định trưng cầ</w:t>
      </w:r>
      <w:r w:rsidR="006419E5" w:rsidRPr="00EB6DED">
        <w:rPr>
          <w:rFonts w:ascii="Arial" w:hAnsi="Arial" w:cs="Arial"/>
          <w:sz w:val="20"/>
          <w:szCs w:val="20"/>
        </w:rPr>
        <w:t xml:space="preserve">u, </w:t>
      </w:r>
      <w:r w:rsidR="00B73ED2" w:rsidRPr="00EB6DED">
        <w:rPr>
          <w:rFonts w:ascii="Arial" w:hAnsi="Arial" w:cs="Arial"/>
          <w:sz w:val="20"/>
          <w:szCs w:val="20"/>
        </w:rPr>
        <w:t>yêu cầu</w:t>
      </w:r>
      <w:r w:rsidR="006419E5" w:rsidRPr="00EB6DED">
        <w:rPr>
          <w:rFonts w:ascii="Arial" w:hAnsi="Arial" w:cs="Arial"/>
          <w:sz w:val="20"/>
          <w:szCs w:val="20"/>
        </w:rPr>
        <w:t xml:space="preserve"> giám định, trừ trường hợp</w:t>
      </w:r>
      <w:r w:rsidR="004B6C5E" w:rsidRPr="00EB6DED">
        <w:rPr>
          <w:rFonts w:ascii="Arial" w:hAnsi="Arial" w:cs="Arial"/>
          <w:sz w:val="20"/>
          <w:szCs w:val="20"/>
        </w:rPr>
        <w:t xml:space="preserve"> pháp luật quy định thời hạn ngắn hơ</w:t>
      </w:r>
      <w:r w:rsidR="006419E5" w:rsidRPr="00EB6DED">
        <w:rPr>
          <w:rFonts w:ascii="Arial" w:hAnsi="Arial" w:cs="Arial"/>
          <w:sz w:val="20"/>
          <w:szCs w:val="20"/>
        </w:rPr>
        <w:t>n;</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đ) Chịu trách nhiệm về kết luận giám định tư pháp do mình đưa ra.”.</w:t>
      </w:r>
    </w:p>
    <w:p w:rsidR="00765FDA" w:rsidRPr="00EB6DED" w:rsidRDefault="00EF4F17" w:rsidP="00C00499">
      <w:pPr>
        <w:pStyle w:val="BodyText"/>
        <w:shd w:val="clear" w:color="auto" w:fill="auto"/>
        <w:tabs>
          <w:tab w:val="left" w:pos="131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15. </w:t>
      </w:r>
      <w:r w:rsidR="006419E5" w:rsidRPr="00EB6DED">
        <w:rPr>
          <w:rFonts w:ascii="Arial" w:hAnsi="Arial" w:cs="Arial"/>
          <w:sz w:val="20"/>
          <w:szCs w:val="20"/>
        </w:rPr>
        <w:t>Sửa đổi, bổ sung Điều 25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25. Trưng cầu giám định tư pháp</w:t>
      </w:r>
    </w:p>
    <w:p w:rsidR="00F34FD8" w:rsidRPr="00EB6DED" w:rsidRDefault="00124D42" w:rsidP="00C00499">
      <w:pPr>
        <w:pStyle w:val="BodyText"/>
        <w:shd w:val="clear" w:color="auto" w:fill="auto"/>
        <w:tabs>
          <w:tab w:val="left" w:pos="1180"/>
          <w:tab w:val="left" w:leader="underscore" w:pos="1181"/>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 xml:space="preserve">Người </w:t>
      </w:r>
      <w:r w:rsidR="007A6097">
        <w:rPr>
          <w:rFonts w:ascii="Arial" w:hAnsi="Arial" w:cs="Arial"/>
          <w:sz w:val="20"/>
          <w:szCs w:val="20"/>
          <w:lang w:val="en-SG"/>
        </w:rPr>
        <w:t xml:space="preserve">trưng </w:t>
      </w:r>
      <w:r w:rsidR="006419E5" w:rsidRPr="00EB6DED">
        <w:rPr>
          <w:rFonts w:ascii="Arial" w:hAnsi="Arial" w:cs="Arial"/>
          <w:sz w:val="20"/>
          <w:szCs w:val="20"/>
        </w:rPr>
        <w:t>cầu giám định quyết định trưng cầu giám định tư pháp bằng văn bản và gửi quyết định kèm theo đối tượng giám định, thông tin, tài liệu, đồ vật có liên quan (nếu có) đến cá nhân, tổ chức thực hiện giám định. Trường hợp đối tượng giám định, thông tin, tài liệu, đồ vật có liên quan không thể gửi kèm theo qu</w:t>
      </w:r>
      <w:r w:rsidR="00DE5E09" w:rsidRPr="00EB6DED">
        <w:rPr>
          <w:rFonts w:ascii="Arial" w:hAnsi="Arial" w:cs="Arial"/>
          <w:sz w:val="20"/>
          <w:szCs w:val="20"/>
        </w:rPr>
        <w:t>yết định trưng cầu giám định thì</w:t>
      </w:r>
      <w:r w:rsidR="006419E5" w:rsidRPr="00EB6DED">
        <w:rPr>
          <w:rFonts w:ascii="Arial" w:hAnsi="Arial" w:cs="Arial"/>
          <w:sz w:val="20"/>
          <w:szCs w:val="20"/>
        </w:rPr>
        <w:t xml:space="preserve"> người trưng cầu giám định có trách nhiệm làm thủ tục bàn giao cho cá nhân, tổ chức thực hiện giám định. </w:t>
      </w:r>
      <w:r w:rsidR="006419E5" w:rsidRPr="00EB6DED">
        <w:rPr>
          <w:rFonts w:ascii="Arial" w:hAnsi="Arial" w:cs="Arial"/>
          <w:sz w:val="20"/>
          <w:szCs w:val="20"/>
        </w:rPr>
        <w:tab/>
      </w:r>
    </w:p>
    <w:p w:rsidR="00765FDA" w:rsidRPr="00EB6DED" w:rsidRDefault="006419E5" w:rsidP="00C00499">
      <w:pPr>
        <w:pStyle w:val="BodyText"/>
        <w:shd w:val="clear" w:color="auto" w:fill="auto"/>
        <w:tabs>
          <w:tab w:val="left" w:pos="1180"/>
          <w:tab w:val="left" w:leader="underscore" w:pos="1181"/>
        </w:tabs>
        <w:spacing w:after="120" w:line="240" w:lineRule="auto"/>
        <w:ind w:firstLine="720"/>
        <w:jc w:val="both"/>
        <w:rPr>
          <w:rFonts w:ascii="Arial" w:hAnsi="Arial" w:cs="Arial"/>
          <w:sz w:val="20"/>
          <w:szCs w:val="20"/>
        </w:rPr>
      </w:pPr>
      <w:r w:rsidRPr="00EB6DED">
        <w:rPr>
          <w:rFonts w:ascii="Arial" w:hAnsi="Arial" w:cs="Arial"/>
          <w:sz w:val="20"/>
          <w:szCs w:val="20"/>
        </w:rPr>
        <w:t>2. Quyết định trưng cầu giám định phải có các nội dung sau đây:</w:t>
      </w:r>
    </w:p>
    <w:p w:rsidR="00765FDA" w:rsidRPr="00EB6DED" w:rsidRDefault="00F34FD8" w:rsidP="00C00499">
      <w:pPr>
        <w:pStyle w:val="BodyText"/>
        <w:shd w:val="clear" w:color="auto" w:fill="auto"/>
        <w:tabs>
          <w:tab w:val="left" w:pos="115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Tê</w:t>
      </w:r>
      <w:r w:rsidR="0056786E" w:rsidRPr="00EB6DED">
        <w:rPr>
          <w:rFonts w:ascii="Arial" w:hAnsi="Arial" w:cs="Arial"/>
          <w:sz w:val="20"/>
          <w:szCs w:val="20"/>
        </w:rPr>
        <w:t>n cơ quan trưng cầu giám định; họ, tên người có thẩm quyền trưng cầ</w:t>
      </w:r>
      <w:r w:rsidR="006419E5" w:rsidRPr="00EB6DED">
        <w:rPr>
          <w:rFonts w:ascii="Arial" w:hAnsi="Arial" w:cs="Arial"/>
          <w:sz w:val="20"/>
          <w:szCs w:val="20"/>
        </w:rPr>
        <w:t>u giám định;</w:t>
      </w:r>
    </w:p>
    <w:p w:rsidR="00765FDA" w:rsidRPr="00EB6DED" w:rsidRDefault="0056786E" w:rsidP="00C00499">
      <w:pPr>
        <w:pStyle w:val="BodyText"/>
        <w:shd w:val="clear" w:color="auto" w:fill="auto"/>
        <w:tabs>
          <w:tab w:val="left" w:pos="126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Tên tổ chức; họ, tên người được trưng cầu giám định;</w:t>
      </w:r>
    </w:p>
    <w:p w:rsidR="00765FDA" w:rsidRPr="00EB6DED" w:rsidRDefault="0056786E" w:rsidP="00C00499">
      <w:pPr>
        <w:pStyle w:val="BodyText"/>
        <w:shd w:val="clear" w:color="auto" w:fill="auto"/>
        <w:tabs>
          <w:tab w:val="left" w:pos="126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Tóm tắt nội dung sự việc;</w:t>
      </w:r>
    </w:p>
    <w:p w:rsidR="00765FDA" w:rsidRPr="00EB6DED" w:rsidRDefault="0056786E" w:rsidP="00C00499">
      <w:pPr>
        <w:pStyle w:val="BodyText"/>
        <w:shd w:val="clear" w:color="auto" w:fill="auto"/>
        <w:tabs>
          <w:tab w:val="left" w:pos="1267"/>
          <w:tab w:val="left" w:pos="749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Tên và đặc đi</w:t>
      </w:r>
      <w:r w:rsidR="00B36D4E" w:rsidRPr="00EB6DED">
        <w:rPr>
          <w:rFonts w:ascii="Arial" w:hAnsi="Arial" w:cs="Arial"/>
          <w:sz w:val="20"/>
          <w:szCs w:val="20"/>
        </w:rPr>
        <w:t>ểm của đối tượng cần giám định;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lastRenderedPageBreak/>
        <w:t>đ) Tên tài liệu, đồ vật có liên quan hoặc mẫu so sánh gửi kèm theo (nếu có);</w:t>
      </w:r>
    </w:p>
    <w:p w:rsidR="00765FDA" w:rsidRPr="00EB6DED" w:rsidRDefault="00492019" w:rsidP="00C00499">
      <w:pPr>
        <w:pStyle w:val="BodyText"/>
        <w:shd w:val="clear" w:color="auto" w:fill="auto"/>
        <w:tabs>
          <w:tab w:val="left" w:pos="126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e) </w:t>
      </w:r>
      <w:r w:rsidR="006419E5" w:rsidRPr="00EB6DED">
        <w:rPr>
          <w:rFonts w:ascii="Arial" w:hAnsi="Arial" w:cs="Arial"/>
          <w:sz w:val="20"/>
          <w:szCs w:val="20"/>
        </w:rPr>
        <w:t>Nội dung chuyên môn của vấn đề cần giám định;</w:t>
      </w:r>
    </w:p>
    <w:p w:rsidR="00765FDA" w:rsidRPr="00EB6DED" w:rsidRDefault="005F2C23" w:rsidP="00C00499">
      <w:pPr>
        <w:pStyle w:val="BodyText"/>
        <w:shd w:val="clear" w:color="auto" w:fill="auto"/>
        <w:tabs>
          <w:tab w:val="left" w:pos="115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g) </w:t>
      </w:r>
      <w:r w:rsidR="006419E5" w:rsidRPr="00EB6DED">
        <w:rPr>
          <w:rFonts w:ascii="Arial" w:hAnsi="Arial" w:cs="Arial"/>
          <w:sz w:val="20"/>
          <w:szCs w:val="20"/>
        </w:rPr>
        <w:t>Ngày, tháng, năm trưng cầu giám định và thời hạn trả kết luận giám định tư pháp.</w:t>
      </w:r>
    </w:p>
    <w:p w:rsidR="00765FDA" w:rsidRPr="00EB6DED" w:rsidRDefault="007F0462" w:rsidP="00C00499">
      <w:pPr>
        <w:pStyle w:val="BodyText"/>
        <w:shd w:val="clear" w:color="auto" w:fill="auto"/>
        <w:tabs>
          <w:tab w:val="left" w:pos="113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3. </w:t>
      </w:r>
      <w:r w:rsidR="006419E5" w:rsidRPr="00EB6DED">
        <w:rPr>
          <w:rFonts w:ascii="Arial" w:hAnsi="Arial" w:cs="Arial"/>
          <w:sz w:val="20"/>
          <w:szCs w:val="20"/>
        </w:rPr>
        <w:t>Trường hợp trưng cầu giám định bổ sung hoặc trưng cầu giám định lại thì quyết định trưng cầu giám định phải ghi rõ là trưng cầu giám định bổ sung hoặc trưng cầu giám định lại và lý do của việc giám định bổ sung hoặc giám định lại.</w:t>
      </w:r>
    </w:p>
    <w:p w:rsidR="00765FDA" w:rsidRPr="00EB6DED" w:rsidRDefault="00716BD3" w:rsidP="00C00499">
      <w:pPr>
        <w:pStyle w:val="BodyText"/>
        <w:shd w:val="clear" w:color="auto" w:fill="auto"/>
        <w:tabs>
          <w:tab w:val="left" w:pos="112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4. </w:t>
      </w:r>
      <w:r w:rsidR="006419E5" w:rsidRPr="00EB6DED">
        <w:rPr>
          <w:rFonts w:ascii="Arial" w:hAnsi="Arial" w:cs="Arial"/>
          <w:sz w:val="20"/>
          <w:szCs w:val="20"/>
        </w:rPr>
        <w:t xml:space="preserve">Trong trường hợp cần thiết, trước khi ra quyết định trưng cầu giám định, cơ quan có thẩm quyền tiến hành tố tụng, người có thẩm quyền tiến hành tố tụng trao đổi </w:t>
      </w:r>
      <w:r w:rsidR="00EB1D88" w:rsidRPr="00EB6DED">
        <w:rPr>
          <w:rFonts w:ascii="Arial" w:hAnsi="Arial" w:cs="Arial"/>
          <w:sz w:val="20"/>
          <w:szCs w:val="20"/>
        </w:rPr>
        <w:t>với</w:t>
      </w:r>
      <w:r w:rsidR="006419E5" w:rsidRPr="00EB6DED">
        <w:rPr>
          <w:rFonts w:ascii="Arial" w:hAnsi="Arial" w:cs="Arial"/>
          <w:sz w:val="20"/>
          <w:szCs w:val="20"/>
        </w:rPr>
        <w:t xml:space="preserve"> cá nhân</w:t>
      </w:r>
      <w:r w:rsidR="00EB1D88" w:rsidRPr="00EB6DED">
        <w:rPr>
          <w:rFonts w:ascii="Arial" w:hAnsi="Arial" w:cs="Arial"/>
          <w:sz w:val="20"/>
          <w:szCs w:val="20"/>
          <w:vertAlign w:val="subscript"/>
        </w:rPr>
        <w:t>,</w:t>
      </w:r>
      <w:r w:rsidR="006419E5" w:rsidRPr="00EB6DED">
        <w:rPr>
          <w:rFonts w:ascii="Arial" w:hAnsi="Arial" w:cs="Arial"/>
          <w:sz w:val="20"/>
          <w:szCs w:val="20"/>
        </w:rPr>
        <w:t xml:space="preserve"> tổ chức dự kiến được trưng cầu giám định và cơ quan có liên quan về nội dung trưng cầu, thời hạn giám định, thông tin, tài liệu, mẫu vật cần cho việc giám định và các vấn đề khác có liên quan (nếu có).</w:t>
      </w:r>
    </w:p>
    <w:p w:rsidR="00765FDA" w:rsidRPr="00EB6DED" w:rsidRDefault="00EB1D88" w:rsidP="00C00499">
      <w:pPr>
        <w:pStyle w:val="BodyText"/>
        <w:shd w:val="clear" w:color="auto" w:fill="auto"/>
        <w:tabs>
          <w:tab w:val="left" w:pos="113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5. </w:t>
      </w:r>
      <w:r w:rsidR="006419E5" w:rsidRPr="00EB6DED">
        <w:rPr>
          <w:rFonts w:ascii="Arial" w:hAnsi="Arial" w:cs="Arial"/>
          <w:sz w:val="20"/>
          <w:szCs w:val="20"/>
        </w:rPr>
        <w:t xml:space="preserve">Trường hợp nội dung cần giám định liên quan đến nhiều lĩnh vực, thuộc trách nhiệm của nhiều tổ chức thì người trưng cầu giám định </w:t>
      </w:r>
      <w:r w:rsidR="00330E19" w:rsidRPr="00EB6DED">
        <w:rPr>
          <w:rFonts w:ascii="Arial" w:hAnsi="Arial" w:cs="Arial"/>
          <w:sz w:val="20"/>
          <w:szCs w:val="20"/>
        </w:rPr>
        <w:t>phải tách riêng từng nội dung để</w:t>
      </w:r>
      <w:r w:rsidR="006419E5" w:rsidRPr="00EB6DED">
        <w:rPr>
          <w:rFonts w:ascii="Arial" w:hAnsi="Arial" w:cs="Arial"/>
          <w:sz w:val="20"/>
          <w:szCs w:val="20"/>
        </w:rPr>
        <w:t xml:space="preserve"> </w:t>
      </w:r>
      <w:r w:rsidR="00330E19" w:rsidRPr="00EB6DED">
        <w:rPr>
          <w:rFonts w:ascii="Arial" w:hAnsi="Arial" w:cs="Arial"/>
          <w:sz w:val="20"/>
          <w:szCs w:val="20"/>
        </w:rPr>
        <w:t>trưng cầu</w:t>
      </w:r>
      <w:r w:rsidR="006419E5" w:rsidRPr="00EB6DED">
        <w:rPr>
          <w:rFonts w:ascii="Arial" w:hAnsi="Arial" w:cs="Arial"/>
          <w:sz w:val="20"/>
          <w:szCs w:val="20"/>
        </w:rPr>
        <w:t xml:space="preserve"> </w:t>
      </w:r>
      <w:r w:rsidR="00A84E92" w:rsidRPr="00EB6DED">
        <w:rPr>
          <w:rFonts w:ascii="Arial" w:hAnsi="Arial" w:cs="Arial"/>
          <w:sz w:val="20"/>
          <w:szCs w:val="20"/>
        </w:rPr>
        <w:t>tổ chức</w:t>
      </w:r>
      <w:r w:rsidR="006419E5" w:rsidRPr="00EB6DED">
        <w:rPr>
          <w:rFonts w:ascii="Arial" w:hAnsi="Arial" w:cs="Arial"/>
          <w:sz w:val="20"/>
          <w:szCs w:val="20"/>
        </w:rPr>
        <w:t xml:space="preserve"> có chuyên môn phù hợp thực hiện giám định.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Trường hợp các nội dung giám định liên quan đến nhiều lĩnh vực chuyên môn có quan hệ mật thiết với nhau, thuộc trách nhiệm của nhiều tổ chức mà việc tách riêng từng nội dung gây khó khăn cho việc thực hiện giám định, ảnh hưởng đến tính chính xác của kết quả giám định hoặc</w:t>
      </w:r>
      <w:r w:rsidR="00316041">
        <w:rPr>
          <w:rFonts w:ascii="Arial" w:hAnsi="Arial" w:cs="Arial"/>
          <w:sz w:val="20"/>
          <w:szCs w:val="20"/>
        </w:rPr>
        <w:t xml:space="preserve"> kéo dài thời gian giám định thì</w:t>
      </w:r>
      <w:r w:rsidRPr="00EB6DED">
        <w:rPr>
          <w:rFonts w:ascii="Arial" w:hAnsi="Arial" w:cs="Arial"/>
          <w:sz w:val="20"/>
          <w:szCs w:val="20"/>
        </w:rPr>
        <w:t xml:space="preserve"> người trưng cầu giám định phải xác định được nội dung chính cần giám định để xác định tổ chức chủ trì và tổ chức phối hợp trong việc thực hiện giám định.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Tổ chức chủ trì có trách nhiệm làm đầu mối tổ chức triển khai việc giám định chung và thực hiện giám định phần nội dung chuyên môn của mình.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Trong thời hạn 05 ngày làm việc, kể từ ngày nhận được quyết định trưng cầu giám định, tổ chức được trưng cầu giám định tư pháp phải có văn bản cử người giám định gửi người trưng cầu gi</w:t>
      </w:r>
      <w:r w:rsidR="007D13A0" w:rsidRPr="00EB6DED">
        <w:rPr>
          <w:rFonts w:ascii="Arial" w:hAnsi="Arial" w:cs="Arial"/>
          <w:sz w:val="20"/>
          <w:szCs w:val="20"/>
        </w:rPr>
        <w:t>ám định; đối với tổ chức phối hợ</w:t>
      </w:r>
      <w:r w:rsidRPr="00EB6DED">
        <w:rPr>
          <w:rFonts w:ascii="Arial" w:hAnsi="Arial" w:cs="Arial"/>
          <w:sz w:val="20"/>
          <w:szCs w:val="20"/>
        </w:rPr>
        <w:t xml:space="preserve">p thực hiện giám định thì còn phải gửi văn bản cử người giám định cho </w:t>
      </w:r>
      <w:r w:rsidR="00A84E92" w:rsidRPr="00EB6DED">
        <w:rPr>
          <w:rFonts w:ascii="Arial" w:hAnsi="Arial" w:cs="Arial"/>
          <w:sz w:val="20"/>
          <w:szCs w:val="20"/>
        </w:rPr>
        <w:t>tổ chức</w:t>
      </w:r>
      <w:r w:rsidRPr="00EB6DED">
        <w:rPr>
          <w:rFonts w:ascii="Arial" w:hAnsi="Arial" w:cs="Arial"/>
          <w:sz w:val="20"/>
          <w:szCs w:val="20"/>
        </w:rPr>
        <w:t xml:space="preserve"> chủ trì việc thực hiện giám định. Tổ chức chủ trì phải tổ chức ngay việc giám định sau khi nhận được văn bản cử người của tổ chức phối hợp thực hiện giám định. Việc giám định trong </w:t>
      </w:r>
      <w:r w:rsidR="00D04FB6" w:rsidRPr="00EB6DED">
        <w:rPr>
          <w:rFonts w:ascii="Arial" w:hAnsi="Arial" w:cs="Arial"/>
          <w:sz w:val="20"/>
          <w:szCs w:val="20"/>
        </w:rPr>
        <w:t>trường hợp</w:t>
      </w:r>
      <w:r w:rsidRPr="00EB6DED">
        <w:rPr>
          <w:rFonts w:ascii="Arial" w:hAnsi="Arial" w:cs="Arial"/>
          <w:sz w:val="20"/>
          <w:szCs w:val="20"/>
        </w:rPr>
        <w:t xml:space="preserve"> này được thực hiện </w:t>
      </w:r>
      <w:r w:rsidR="004F55A3" w:rsidRPr="00EB6DED">
        <w:rPr>
          <w:rFonts w:ascii="Arial" w:hAnsi="Arial" w:cs="Arial"/>
          <w:sz w:val="20"/>
          <w:szCs w:val="20"/>
        </w:rPr>
        <w:t>theo hình thức giám định tập thể</w:t>
      </w:r>
      <w:r w:rsidRPr="00EB6DED">
        <w:rPr>
          <w:rFonts w:ascii="Arial" w:hAnsi="Arial" w:cs="Arial"/>
          <w:sz w:val="20"/>
          <w:szCs w:val="20"/>
        </w:rPr>
        <w:t xml:space="preserve"> thuộc nhiều lĩnh vực chuyên môn khác nhau quy định tại khoản 3 Điều 28 của Luật này.</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Trường hợp phát sinh vướng mắc trong việc trưng cầu, phối hợp thực hiện giám định, cơ quan có thẩm </w:t>
      </w:r>
      <w:r w:rsidR="0020342D" w:rsidRPr="00EB6DED">
        <w:rPr>
          <w:rFonts w:ascii="Arial" w:hAnsi="Arial" w:cs="Arial"/>
          <w:sz w:val="20"/>
          <w:szCs w:val="20"/>
        </w:rPr>
        <w:t>quyền tiến hành tố tụng, người có thẩ</w:t>
      </w:r>
      <w:r w:rsidRPr="00EB6DED">
        <w:rPr>
          <w:rFonts w:ascii="Arial" w:hAnsi="Arial" w:cs="Arial"/>
          <w:sz w:val="20"/>
          <w:szCs w:val="20"/>
        </w:rPr>
        <w:t>m quyền tiến hành tố tụng chủ trì, phối hợp với tổ chức được trưng cầu để giải quyết.”.</w:t>
      </w:r>
    </w:p>
    <w:p w:rsidR="00765FDA" w:rsidRPr="00EB6DED" w:rsidRDefault="00C3477D" w:rsidP="00C00499">
      <w:pPr>
        <w:pStyle w:val="BodyText"/>
        <w:shd w:val="clear" w:color="auto" w:fill="auto"/>
        <w:tabs>
          <w:tab w:val="left" w:pos="125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16. </w:t>
      </w:r>
      <w:r w:rsidR="006419E5" w:rsidRPr="00EB6DED">
        <w:rPr>
          <w:rFonts w:ascii="Arial" w:hAnsi="Arial" w:cs="Arial"/>
          <w:sz w:val="20"/>
          <w:szCs w:val="20"/>
        </w:rPr>
        <w:t>Bổ sung Điều 26a vào sau Điều 26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26a. Thời hạn giám định tư pháp trong trường hợp trưng cầu giám định</w:t>
      </w:r>
    </w:p>
    <w:p w:rsidR="00765FDA" w:rsidRPr="00EB6DED" w:rsidRDefault="00DB30FE" w:rsidP="00C00499">
      <w:pPr>
        <w:pStyle w:val="BodyText"/>
        <w:shd w:val="clear" w:color="auto" w:fill="auto"/>
        <w:tabs>
          <w:tab w:val="left" w:pos="107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Thời hạn giám định tư pháp được tính từ ngày cá nhân, tổ chức được trưng cầu giám định nhận được quyết định trưng cầu giám định và kèm theo đầy đủ hồ sơ, đối tượng giám định, thông tin, tài liệu, đồ vật, mẫu vật cần thiết cho việc giám định.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Trong quá trình thực hiện giám định, </w:t>
      </w:r>
      <w:r w:rsidR="00D04FB6" w:rsidRPr="00EB6DED">
        <w:rPr>
          <w:rFonts w:ascii="Arial" w:hAnsi="Arial" w:cs="Arial"/>
          <w:sz w:val="20"/>
          <w:szCs w:val="20"/>
        </w:rPr>
        <w:t>trường hợp</w:t>
      </w:r>
      <w:r w:rsidRPr="00EB6DED">
        <w:rPr>
          <w:rFonts w:ascii="Arial" w:hAnsi="Arial" w:cs="Arial"/>
          <w:sz w:val="20"/>
          <w:szCs w:val="20"/>
        </w:rPr>
        <w:t xml:space="preserve"> cần phải bổ sung thêm hồ sơ, tài liệu làm cơ sở cho việc giám định thì cá nhân, tổ chức được trưng cầu có văn bản đề nghị người đã trưng cầu giám định bổ sung hồ sơ, tài liệu. Thời gian từ khi cá nhân, tổ chức được trưng cầu giám định có văn bản đề nghị đến khi nhận được hồ sơ, tài liệu bổ sung không tính vào thời hạn giám định.</w:t>
      </w:r>
    </w:p>
    <w:p w:rsidR="00765FDA" w:rsidRPr="00EB6DED" w:rsidRDefault="00627730" w:rsidP="00C00499">
      <w:pPr>
        <w:pStyle w:val="BodyText"/>
        <w:shd w:val="clear" w:color="auto" w:fill="auto"/>
        <w:tabs>
          <w:tab w:val="left" w:pos="106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6419E5" w:rsidRPr="00EB6DED">
        <w:rPr>
          <w:rFonts w:ascii="Arial" w:hAnsi="Arial" w:cs="Arial"/>
          <w:sz w:val="20"/>
          <w:szCs w:val="20"/>
        </w:rPr>
        <w:t>Thời hạn giám định tư pháp đối với các trường hợp bắt buộc phải trưng cầu giám định tư pháp được thực hiện theo quy định của pháp luật về tố tụng hình sự.</w:t>
      </w:r>
    </w:p>
    <w:p w:rsidR="00765FDA" w:rsidRPr="00EB6DED" w:rsidRDefault="008B11B8" w:rsidP="00C00499">
      <w:pPr>
        <w:pStyle w:val="BodyText"/>
        <w:shd w:val="clear" w:color="auto" w:fill="auto"/>
        <w:tabs>
          <w:tab w:val="left" w:pos="106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3. </w:t>
      </w:r>
      <w:r w:rsidR="006419E5" w:rsidRPr="00EB6DED">
        <w:rPr>
          <w:rFonts w:ascii="Arial" w:hAnsi="Arial" w:cs="Arial"/>
          <w:sz w:val="20"/>
          <w:szCs w:val="20"/>
        </w:rPr>
        <w:t>Thời hạn giám định tư pháp đối với các trường hợp không thuộc quy định tại khoản 2 Điều này tối đa là 03 tháng. Trường hợp vụ việc giám định có tính chất phức tạp hoặc khối lượng công việc lớn thì thời hạn giám định tối đa là 04 tháng.</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Bộ, cơ quan ngang bộ quản lý chuyên môn về lĩnh vực giám định tư pháp căn cứ vào thời hạn giám định tối đa và tính chất chuyên môn của lĩnh vực giám định quy định thời hạn giám định tư pháp cho từng loại việc cụ thể. Thời hạn giám định tư pháp có thể được gia hạn theo quyết định của cơ quan trưng cầu giám định nhưng không quá một phần hai thời hạn giám định tối đa đối với loại việc đó.</w:t>
      </w:r>
    </w:p>
    <w:p w:rsidR="00765FDA" w:rsidRPr="00EB6DED" w:rsidRDefault="00395C94" w:rsidP="00C00499">
      <w:pPr>
        <w:pStyle w:val="BodyText"/>
        <w:shd w:val="clear" w:color="auto" w:fill="auto"/>
        <w:tabs>
          <w:tab w:val="left" w:pos="1142"/>
        </w:tabs>
        <w:spacing w:after="120" w:line="240" w:lineRule="auto"/>
        <w:ind w:firstLine="720"/>
        <w:jc w:val="both"/>
        <w:rPr>
          <w:rFonts w:ascii="Arial" w:hAnsi="Arial" w:cs="Arial"/>
          <w:sz w:val="20"/>
          <w:szCs w:val="20"/>
        </w:rPr>
      </w:pPr>
      <w:r w:rsidRPr="00EB6DED">
        <w:rPr>
          <w:rFonts w:ascii="Arial" w:hAnsi="Arial" w:cs="Arial"/>
          <w:sz w:val="20"/>
          <w:szCs w:val="20"/>
          <w:lang w:val="en-US"/>
        </w:rPr>
        <w:t>4.</w:t>
      </w:r>
      <w:r w:rsidR="003C2249" w:rsidRPr="00EB6DED">
        <w:rPr>
          <w:rFonts w:ascii="Arial" w:hAnsi="Arial" w:cs="Arial"/>
          <w:sz w:val="20"/>
          <w:szCs w:val="20"/>
          <w:lang w:val="en-US"/>
        </w:rPr>
        <w:t xml:space="preserve"> </w:t>
      </w:r>
      <w:r w:rsidR="006419E5" w:rsidRPr="00EB6DED">
        <w:rPr>
          <w:rFonts w:ascii="Arial" w:hAnsi="Arial" w:cs="Arial"/>
          <w:sz w:val="20"/>
          <w:szCs w:val="20"/>
        </w:rPr>
        <w:t>Người trưng cầu giám định có thể thống nhất về thời hạn giám định với cá nhân, tổ chức được trưng cầu giám định trước khi trưng cầu giám định tư pháp nhưng không được vượt quá thời hạn quy địn</w:t>
      </w:r>
      <w:r w:rsidR="00887922" w:rsidRPr="00EB6DED">
        <w:rPr>
          <w:rFonts w:ascii="Arial" w:hAnsi="Arial" w:cs="Arial"/>
          <w:sz w:val="20"/>
          <w:szCs w:val="20"/>
        </w:rPr>
        <w:t>h tại khoản 2 và khoản 3 Điều nà</w:t>
      </w:r>
      <w:r w:rsidR="006419E5" w:rsidRPr="00EB6DED">
        <w:rPr>
          <w:rFonts w:ascii="Arial" w:hAnsi="Arial" w:cs="Arial"/>
          <w:sz w:val="20"/>
          <w:szCs w:val="20"/>
        </w:rPr>
        <w:t>y.</w:t>
      </w:r>
    </w:p>
    <w:p w:rsidR="00765FDA" w:rsidRPr="00EB6DED" w:rsidRDefault="00E20F4C" w:rsidP="00C00499">
      <w:pPr>
        <w:pStyle w:val="BodyText"/>
        <w:shd w:val="clear" w:color="auto" w:fill="auto"/>
        <w:tabs>
          <w:tab w:val="left" w:pos="1136"/>
        </w:tabs>
        <w:spacing w:after="120" w:line="240" w:lineRule="auto"/>
        <w:ind w:firstLine="720"/>
        <w:jc w:val="both"/>
        <w:rPr>
          <w:rFonts w:ascii="Arial" w:hAnsi="Arial" w:cs="Arial"/>
          <w:sz w:val="20"/>
          <w:szCs w:val="20"/>
        </w:rPr>
      </w:pPr>
      <w:r w:rsidRPr="00EB6DED">
        <w:rPr>
          <w:rFonts w:ascii="Arial" w:hAnsi="Arial" w:cs="Arial"/>
          <w:sz w:val="20"/>
          <w:szCs w:val="20"/>
          <w:lang w:val="en-US"/>
        </w:rPr>
        <w:lastRenderedPageBreak/>
        <w:t xml:space="preserve">5. </w:t>
      </w:r>
      <w:r w:rsidR="006419E5" w:rsidRPr="00EB6DED">
        <w:rPr>
          <w:rFonts w:ascii="Arial" w:hAnsi="Arial" w:cs="Arial"/>
          <w:sz w:val="20"/>
          <w:szCs w:val="20"/>
        </w:rPr>
        <w:t>Trường</w:t>
      </w:r>
      <w:r w:rsidR="00697983" w:rsidRPr="00EB6DED">
        <w:rPr>
          <w:rFonts w:ascii="Arial" w:hAnsi="Arial" w:cs="Arial"/>
          <w:sz w:val="20"/>
          <w:szCs w:val="20"/>
        </w:rPr>
        <w:t xml:space="preserve"> hợp có vấn đề phát sinh hoặc có</w:t>
      </w:r>
      <w:r w:rsidR="006419E5" w:rsidRPr="00EB6DED">
        <w:rPr>
          <w:rFonts w:ascii="Arial" w:hAnsi="Arial" w:cs="Arial"/>
          <w:sz w:val="20"/>
          <w:szCs w:val="20"/>
        </w:rPr>
        <w:t xml:space="preserve"> cơ sở cho rằng vụ việc giám định không thể hoàn thành đúng thời hạn thì cá nhân, tổ chức thực hiện giám định phải kịp thời thông báo bằng văn bản, nêu rõ lý do cho người trưng cầu giám định và thời gian dự kiến hoàn thành, ra kết luận giám định.”.</w:t>
      </w:r>
    </w:p>
    <w:p w:rsidR="00765FDA" w:rsidRPr="00EB6DED" w:rsidRDefault="004846AD" w:rsidP="00C00499">
      <w:pPr>
        <w:pStyle w:val="BodyText"/>
        <w:shd w:val="clear" w:color="auto" w:fill="auto"/>
        <w:tabs>
          <w:tab w:val="left" w:pos="127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17. </w:t>
      </w:r>
      <w:r w:rsidR="006419E5" w:rsidRPr="00EB6DED">
        <w:rPr>
          <w:rFonts w:ascii="Arial" w:hAnsi="Arial" w:cs="Arial"/>
          <w:sz w:val="20"/>
          <w:szCs w:val="20"/>
        </w:rPr>
        <w:t>Sửa đổi, bổ sung Điều 31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31. Văn bản ghi nhận quá trình thực hiện giám định tư pháp</w:t>
      </w:r>
    </w:p>
    <w:p w:rsidR="00765FDA" w:rsidRPr="00EB6DED" w:rsidRDefault="00A95901" w:rsidP="00C00499">
      <w:pPr>
        <w:pStyle w:val="BodyText"/>
        <w:shd w:val="clear" w:color="auto" w:fill="auto"/>
        <w:tabs>
          <w:tab w:val="left" w:pos="114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Người thực hiện giám định tư</w:t>
      </w:r>
      <w:r w:rsidR="003D3D65" w:rsidRPr="00EB6DED">
        <w:rPr>
          <w:rFonts w:ascii="Arial" w:hAnsi="Arial" w:cs="Arial"/>
          <w:sz w:val="20"/>
          <w:szCs w:val="20"/>
        </w:rPr>
        <w:t xml:space="preserve"> pháp phải ghi nhận kịp thời, đầ</w:t>
      </w:r>
      <w:r w:rsidR="006419E5" w:rsidRPr="00EB6DED">
        <w:rPr>
          <w:rFonts w:ascii="Arial" w:hAnsi="Arial" w:cs="Arial"/>
          <w:sz w:val="20"/>
          <w:szCs w:val="20"/>
        </w:rPr>
        <w:t>y đủ, trung thực bằng văn bản toàn bộ quá trình thực hiện vụ việc giám định.</w:t>
      </w:r>
    </w:p>
    <w:p w:rsidR="00765FDA" w:rsidRPr="00EB6DED" w:rsidRDefault="003D3D65" w:rsidP="00C00499">
      <w:pPr>
        <w:pStyle w:val="BodyText"/>
        <w:shd w:val="clear" w:color="auto" w:fill="auto"/>
        <w:tabs>
          <w:tab w:val="left" w:pos="114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0F7E94" w:rsidRPr="00EB6DED">
        <w:rPr>
          <w:rFonts w:ascii="Arial" w:hAnsi="Arial" w:cs="Arial"/>
          <w:sz w:val="20"/>
          <w:szCs w:val="20"/>
        </w:rPr>
        <w:t>Văn bản ghi nhậ</w:t>
      </w:r>
      <w:r w:rsidR="00BA5ED1" w:rsidRPr="00EB6DED">
        <w:rPr>
          <w:rFonts w:ascii="Arial" w:hAnsi="Arial" w:cs="Arial"/>
          <w:sz w:val="20"/>
          <w:szCs w:val="20"/>
        </w:rPr>
        <w:t xml:space="preserve">n quá trình thực hiện </w:t>
      </w:r>
      <w:r w:rsidR="006419E5" w:rsidRPr="00EB6DED">
        <w:rPr>
          <w:rFonts w:ascii="Arial" w:hAnsi="Arial" w:cs="Arial"/>
          <w:sz w:val="20"/>
          <w:szCs w:val="20"/>
        </w:rPr>
        <w:t xml:space="preserve">giám </w:t>
      </w:r>
      <w:r w:rsidR="00BA5ED1" w:rsidRPr="00EB6DED">
        <w:rPr>
          <w:rFonts w:ascii="Arial" w:hAnsi="Arial" w:cs="Arial"/>
          <w:sz w:val="20"/>
          <w:szCs w:val="20"/>
        </w:rPr>
        <w:t xml:space="preserve">định tư </w:t>
      </w:r>
      <w:r w:rsidR="006419E5" w:rsidRPr="00EB6DED">
        <w:rPr>
          <w:rFonts w:ascii="Arial" w:hAnsi="Arial" w:cs="Arial"/>
          <w:sz w:val="20"/>
          <w:szCs w:val="20"/>
        </w:rPr>
        <w:t xml:space="preserve">pháp nêu rõ tình trạng </w:t>
      </w:r>
      <w:r w:rsidR="00BA5ED1" w:rsidRPr="00EB6DED">
        <w:rPr>
          <w:rFonts w:ascii="Arial" w:hAnsi="Arial" w:cs="Arial"/>
          <w:sz w:val="20"/>
          <w:szCs w:val="20"/>
        </w:rPr>
        <w:t>đối tượng</w:t>
      </w:r>
      <w:r w:rsidR="006419E5" w:rsidRPr="00EB6DED">
        <w:rPr>
          <w:rFonts w:ascii="Arial" w:hAnsi="Arial" w:cs="Arial"/>
          <w:sz w:val="20"/>
          <w:szCs w:val="20"/>
        </w:rPr>
        <w:t xml:space="preserve"> gửi giám định và thông tin, tài liệu có liên quan gửi kèm theo làm căn cứ để thực hiện giám định, thời gian, địa điểm, nội dung công việc, tiến độ, phương pháp thực hiện giám định, kết quả thực hiện và phải có chữ ký của người giám định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Văn bản ghi nhận </w:t>
      </w:r>
      <w:r w:rsidR="00BA5ED1" w:rsidRPr="00EB6DED">
        <w:rPr>
          <w:rFonts w:ascii="Arial" w:hAnsi="Arial" w:cs="Arial"/>
          <w:sz w:val="20"/>
          <w:szCs w:val="20"/>
          <w:lang w:val="en-US" w:eastAsia="en-US" w:bidi="en-US"/>
        </w:rPr>
        <w:t>quá</w:t>
      </w:r>
      <w:r w:rsidRPr="00EB6DED">
        <w:rPr>
          <w:rFonts w:ascii="Arial" w:hAnsi="Arial" w:cs="Arial"/>
          <w:sz w:val="20"/>
          <w:szCs w:val="20"/>
          <w:lang w:val="en-US" w:eastAsia="en-US" w:bidi="en-US"/>
        </w:rPr>
        <w:t xml:space="preserve"> </w:t>
      </w:r>
      <w:r w:rsidR="000F6F77" w:rsidRPr="00EB6DED">
        <w:rPr>
          <w:rFonts w:ascii="Arial" w:hAnsi="Arial" w:cs="Arial"/>
          <w:sz w:val="20"/>
          <w:szCs w:val="20"/>
        </w:rPr>
        <w:t>trình thực hiện giá</w:t>
      </w:r>
      <w:r w:rsidRPr="00EB6DED">
        <w:rPr>
          <w:rFonts w:ascii="Arial" w:hAnsi="Arial" w:cs="Arial"/>
          <w:sz w:val="20"/>
          <w:szCs w:val="20"/>
        </w:rPr>
        <w:t xml:space="preserve">m định tư pháp phải được lưu trong </w:t>
      </w:r>
      <w:r w:rsidR="000F6F77" w:rsidRPr="00EB6DED">
        <w:rPr>
          <w:rFonts w:ascii="Arial" w:hAnsi="Arial" w:cs="Arial"/>
          <w:sz w:val="20"/>
          <w:szCs w:val="20"/>
        </w:rPr>
        <w:t>hồ sơ</w:t>
      </w:r>
      <w:r w:rsidRPr="00EB6DED">
        <w:rPr>
          <w:rFonts w:ascii="Arial" w:hAnsi="Arial" w:cs="Arial"/>
          <w:sz w:val="20"/>
          <w:szCs w:val="20"/>
        </w:rPr>
        <w:t xml:space="preserve"> giám định.”.</w:t>
      </w:r>
    </w:p>
    <w:p w:rsidR="00765FDA" w:rsidRPr="00EB6DED" w:rsidRDefault="000F6F77" w:rsidP="00C00499">
      <w:pPr>
        <w:pStyle w:val="BodyText"/>
        <w:shd w:val="clear" w:color="auto" w:fill="auto"/>
        <w:tabs>
          <w:tab w:val="left" w:pos="127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18. </w:t>
      </w:r>
      <w:r w:rsidR="006419E5" w:rsidRPr="00EB6DED">
        <w:rPr>
          <w:rFonts w:ascii="Arial" w:hAnsi="Arial" w:cs="Arial"/>
          <w:sz w:val="20"/>
          <w:szCs w:val="20"/>
        </w:rPr>
        <w:t>Sửa đổi, bổ sung Điều 32 như sau:</w:t>
      </w:r>
    </w:p>
    <w:p w:rsidR="00765FDA" w:rsidRPr="00EB6DED" w:rsidRDefault="005724A4"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32. Kết l</w:t>
      </w:r>
      <w:r w:rsidR="006419E5" w:rsidRPr="00EB6DED">
        <w:rPr>
          <w:rFonts w:ascii="Arial" w:hAnsi="Arial" w:cs="Arial"/>
          <w:b/>
          <w:bCs/>
          <w:sz w:val="20"/>
          <w:szCs w:val="20"/>
        </w:rPr>
        <w:t>uận giám định tư pháp</w:t>
      </w:r>
    </w:p>
    <w:p w:rsidR="00765FDA" w:rsidRPr="00EB6DED" w:rsidRDefault="005724A4" w:rsidP="00C00499">
      <w:pPr>
        <w:pStyle w:val="BodyText"/>
        <w:shd w:val="clear" w:color="auto" w:fill="auto"/>
        <w:tabs>
          <w:tab w:val="left" w:pos="112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Kết luận giám định tư pháp phải bằng văn bản, bao gồm các nội dung sau đây:</w:t>
      </w:r>
    </w:p>
    <w:p w:rsidR="00765FDA" w:rsidRPr="00EB6DED" w:rsidRDefault="002B6B5C" w:rsidP="00C00499">
      <w:pPr>
        <w:pStyle w:val="BodyText"/>
        <w:shd w:val="clear" w:color="auto" w:fill="auto"/>
        <w:tabs>
          <w:tab w:val="left" w:pos="121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Họ, tên người giám định tư pháp; tổ chức thực hiện giám định tư pháp;</w:t>
      </w:r>
    </w:p>
    <w:p w:rsidR="00765FDA" w:rsidRPr="00EB6DED" w:rsidRDefault="005477C6" w:rsidP="00C00499">
      <w:pPr>
        <w:pStyle w:val="BodyText"/>
        <w:shd w:val="clear" w:color="auto" w:fill="auto"/>
        <w:tabs>
          <w:tab w:val="left" w:pos="116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D64935" w:rsidRPr="00EB6DED">
        <w:rPr>
          <w:rFonts w:ascii="Arial" w:hAnsi="Arial" w:cs="Arial"/>
          <w:sz w:val="20"/>
          <w:szCs w:val="20"/>
        </w:rPr>
        <w:t>Tên cơ quan có thẩ</w:t>
      </w:r>
      <w:r w:rsidR="006419E5" w:rsidRPr="00EB6DED">
        <w:rPr>
          <w:rFonts w:ascii="Arial" w:hAnsi="Arial" w:cs="Arial"/>
          <w:sz w:val="20"/>
          <w:szCs w:val="20"/>
        </w:rPr>
        <w:t>m quyền tiến hành tố tụng, họ, tên người có thẩm quyền tiến hành tố tụng trưng cầu giám định tư pháp; số văn bản trưng cầu giám định hoặc họ, tên người yêu cầu giám định;</w:t>
      </w:r>
    </w:p>
    <w:p w:rsidR="00765FDA" w:rsidRPr="00EB6DED" w:rsidRDefault="00D64935" w:rsidP="00C00499">
      <w:pPr>
        <w:pStyle w:val="BodyText"/>
        <w:shd w:val="clear" w:color="auto" w:fill="auto"/>
        <w:tabs>
          <w:tab w:val="left" w:pos="123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Thông tin xác định đối tượng giám định;</w:t>
      </w:r>
    </w:p>
    <w:p w:rsidR="00765FDA" w:rsidRPr="00EB6DED" w:rsidRDefault="005B7885" w:rsidP="00C00499">
      <w:pPr>
        <w:pStyle w:val="BodyText"/>
        <w:shd w:val="clear" w:color="auto" w:fill="auto"/>
        <w:tabs>
          <w:tab w:val="left" w:pos="123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Thời gian nhận văn bản trưng cầu, yêu cầu giám định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đ) Nội dung yêu cầu giám định;</w:t>
      </w:r>
    </w:p>
    <w:p w:rsidR="00765FDA" w:rsidRPr="00EB6DED" w:rsidRDefault="00CB03D2" w:rsidP="00C00499">
      <w:pPr>
        <w:pStyle w:val="BodyText"/>
        <w:shd w:val="clear" w:color="auto" w:fill="auto"/>
        <w:tabs>
          <w:tab w:val="left" w:pos="123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e) </w:t>
      </w:r>
      <w:r w:rsidR="006419E5" w:rsidRPr="00EB6DED">
        <w:rPr>
          <w:rFonts w:ascii="Arial" w:hAnsi="Arial" w:cs="Arial"/>
          <w:sz w:val="20"/>
          <w:szCs w:val="20"/>
        </w:rPr>
        <w:t>Phương pháp thực hiện giám định;</w:t>
      </w:r>
    </w:p>
    <w:p w:rsidR="00765FDA" w:rsidRPr="00EB6DED" w:rsidRDefault="00133CFB" w:rsidP="00C00499">
      <w:pPr>
        <w:pStyle w:val="BodyText"/>
        <w:shd w:val="clear" w:color="auto" w:fill="auto"/>
        <w:tabs>
          <w:tab w:val="left" w:pos="116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g) </w:t>
      </w:r>
      <w:r w:rsidR="006419E5" w:rsidRPr="00EB6DED">
        <w:rPr>
          <w:rFonts w:ascii="Arial" w:hAnsi="Arial" w:cs="Arial"/>
          <w:sz w:val="20"/>
          <w:szCs w:val="20"/>
        </w:rPr>
        <w:t>Kết luận rõ ràng, cụ thể về nội dung chuyên môn của đối tượng cần giám định theo trưng cầu, yêu cầu giám định tư pháp;</w:t>
      </w:r>
    </w:p>
    <w:p w:rsidR="00765FDA" w:rsidRPr="00EB6DED" w:rsidRDefault="004835D8" w:rsidP="00C00499">
      <w:pPr>
        <w:pStyle w:val="BodyText"/>
        <w:shd w:val="clear" w:color="auto" w:fill="auto"/>
        <w:tabs>
          <w:tab w:val="left" w:pos="123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h) </w:t>
      </w:r>
      <w:r w:rsidR="006419E5" w:rsidRPr="00EB6DED">
        <w:rPr>
          <w:rFonts w:ascii="Arial" w:hAnsi="Arial" w:cs="Arial"/>
          <w:sz w:val="20"/>
          <w:szCs w:val="20"/>
        </w:rPr>
        <w:t>Thời gian, địa điểm thực hiện, hoàn thành việc giám định.</w:t>
      </w:r>
    </w:p>
    <w:p w:rsidR="00765FDA" w:rsidRPr="00EB6DED" w:rsidRDefault="00C1745A" w:rsidP="00C00499">
      <w:pPr>
        <w:pStyle w:val="BodyText"/>
        <w:shd w:val="clear" w:color="auto" w:fill="auto"/>
        <w:tabs>
          <w:tab w:val="left" w:pos="114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6419E5" w:rsidRPr="00EB6DED">
        <w:rPr>
          <w:rFonts w:ascii="Arial" w:hAnsi="Arial" w:cs="Arial"/>
          <w:sz w:val="20"/>
          <w:szCs w:val="20"/>
        </w:rPr>
        <w:t>Trong trường hợp trưng cầu, yêu cầu cá nhân thực hiện giám định tư pháp thì bản kết luận giám định tư pháp phải có chữ ký và ghi rõ họ, tên của người giám định tư pháp. Trường hợp yêu cầu tổ chức cử người giám định thì bản kết luận giám định tư pháp phải có đầy đủ chữ ký, ghi rõ họ, tên của người giám định tư pháp và có xác nhận chữ ký của tổ chức cử người giám định.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Trường hợp trưng cầu, yêu cầu tổ chức thực hiện giám định tư pháp thì ngoài chữ ký, họ, tên của người giám định, </w:t>
      </w:r>
      <w:r w:rsidR="00056476" w:rsidRPr="00EB6DED">
        <w:rPr>
          <w:rFonts w:ascii="Arial" w:hAnsi="Arial" w:cs="Arial"/>
          <w:sz w:val="20"/>
          <w:szCs w:val="20"/>
        </w:rPr>
        <w:t>người đứng đầu tổ chức cò</w:t>
      </w:r>
      <w:r w:rsidRPr="00EB6DED">
        <w:rPr>
          <w:rFonts w:ascii="Arial" w:hAnsi="Arial" w:cs="Arial"/>
          <w:sz w:val="20"/>
          <w:szCs w:val="20"/>
        </w:rPr>
        <w:t>n phải ký tên, đóng dấu vào bản kết luận giám định tư pháp và tổ chức được trưng cầu, yêu cầu giám định tư pháp phải chịu trách nhiệm về kết luận giám định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Trường hợp Hội đồng giám định quy định tại khoản 1 Điều 30 của Luật này thực hiện giám định thì người có </w:t>
      </w:r>
      <w:r w:rsidR="00197445" w:rsidRPr="00EB6DED">
        <w:rPr>
          <w:rFonts w:ascii="Arial" w:hAnsi="Arial" w:cs="Arial"/>
          <w:sz w:val="20"/>
          <w:szCs w:val="20"/>
        </w:rPr>
        <w:t>thẩm quyền</w:t>
      </w:r>
      <w:r w:rsidRPr="00EB6DED">
        <w:rPr>
          <w:rFonts w:ascii="Arial" w:hAnsi="Arial" w:cs="Arial"/>
          <w:sz w:val="20"/>
          <w:szCs w:val="20"/>
        </w:rPr>
        <w:t xml:space="preserve"> </w:t>
      </w:r>
      <w:r w:rsidR="00763866" w:rsidRPr="00EB6DED">
        <w:rPr>
          <w:rFonts w:ascii="Arial" w:hAnsi="Arial" w:cs="Arial"/>
          <w:sz w:val="20"/>
          <w:szCs w:val="20"/>
        </w:rPr>
        <w:t>quyết</w:t>
      </w:r>
      <w:r w:rsidR="0016208C" w:rsidRPr="00EB6DED">
        <w:rPr>
          <w:rFonts w:ascii="Arial" w:hAnsi="Arial" w:cs="Arial"/>
          <w:sz w:val="20"/>
          <w:szCs w:val="20"/>
        </w:rPr>
        <w:t xml:space="preserve"> định thành lập Hội đồ</w:t>
      </w:r>
      <w:r w:rsidRPr="00EB6DED">
        <w:rPr>
          <w:rFonts w:ascii="Arial" w:hAnsi="Arial" w:cs="Arial"/>
          <w:sz w:val="20"/>
          <w:szCs w:val="20"/>
        </w:rPr>
        <w:t>ng phải ký tên, đóng dấu vào bản kết luận giám định tư pháp và chịu trách nhiệm về tư cách pháp lý của Hội đồng giám định.</w:t>
      </w:r>
    </w:p>
    <w:p w:rsidR="00765FDA" w:rsidRPr="00EB6DED" w:rsidRDefault="0016208C" w:rsidP="00C00499">
      <w:pPr>
        <w:pStyle w:val="BodyText"/>
        <w:shd w:val="clear" w:color="auto" w:fill="auto"/>
        <w:tabs>
          <w:tab w:val="left" w:pos="112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3. </w:t>
      </w:r>
      <w:r w:rsidR="006419E5" w:rsidRPr="00EB6DED">
        <w:rPr>
          <w:rFonts w:ascii="Arial" w:hAnsi="Arial" w:cs="Arial"/>
          <w:sz w:val="20"/>
          <w:szCs w:val="20"/>
        </w:rPr>
        <w:t>Trong trường hợp việc giám định được thực hiện trước khi có quyết định khởi tố vụ án hình sự, theo đúng trình tự, thủ tục do Luật này quy định thì cơ quan có thẩm quyền tiến hành tố tụng có thể sử dụng kết luận giám định đó như kết luận giám định tư pháp.”.</w:t>
      </w:r>
    </w:p>
    <w:p w:rsidR="00765FDA" w:rsidRPr="00EB6DED" w:rsidRDefault="00D55158" w:rsidP="00C00499">
      <w:pPr>
        <w:pStyle w:val="BodyText"/>
        <w:shd w:val="clear" w:color="auto" w:fill="auto"/>
        <w:tabs>
          <w:tab w:val="left" w:pos="1241"/>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19. </w:t>
      </w:r>
      <w:r w:rsidR="006419E5" w:rsidRPr="00EB6DED">
        <w:rPr>
          <w:rFonts w:ascii="Arial" w:hAnsi="Arial" w:cs="Arial"/>
          <w:sz w:val="20"/>
          <w:szCs w:val="20"/>
        </w:rPr>
        <w:t>Sửa đổi, bổ sung các khoản 2, 3 và 4 Điều 33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 Hồ sơ giám định tư pháp phải được lập theo mẫu thống nhất.</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Bộ trưởng, Thủ trưởng cơ quan ngang bộ có trách nhiệm quy định chi tiết về mẫu, thành phần hồ sơ từng loại việc giám định và chế độ lưu trữ hồ sơ giám định tư pháp ở lĩnh vực thuộc thẩm quyền quản lý.</w:t>
      </w:r>
    </w:p>
    <w:p w:rsidR="00765FDA" w:rsidRPr="00EB6DED" w:rsidRDefault="00B21B81" w:rsidP="00C00499">
      <w:pPr>
        <w:pStyle w:val="BodyText"/>
        <w:shd w:val="clear" w:color="auto" w:fill="auto"/>
        <w:tabs>
          <w:tab w:val="left" w:pos="113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3. </w:t>
      </w:r>
      <w:r w:rsidR="006419E5" w:rsidRPr="00EB6DED">
        <w:rPr>
          <w:rFonts w:ascii="Arial" w:hAnsi="Arial" w:cs="Arial"/>
          <w:sz w:val="20"/>
          <w:szCs w:val="20"/>
        </w:rPr>
        <w:t>Tổ chức được trưng cầu, thực hiện giám định tư pháp chịu trách nhiệm bảo quản, lưu trữ hồ sơ giám định tư pháp do người giám định thuộc tổ chức mình thực hiện theo quy định của pháp luật về lưu trữ và quy định của bộ, ngành, cơ quan mình.</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lastRenderedPageBreak/>
        <w:t>Người thực hiện giám định có trách nhiệm bàn giao hồ sơ giám định tư pháp cho cơ quan, tổ chức quản lý trực tiếp theo quy định của pháp luật về lưu trữ và quy định của bộ, ngành, cơ quan mình.</w:t>
      </w:r>
    </w:p>
    <w:p w:rsidR="00765FDA" w:rsidRPr="00EB6DED" w:rsidRDefault="007E5079" w:rsidP="00C00499">
      <w:pPr>
        <w:pStyle w:val="BodyText"/>
        <w:shd w:val="clear" w:color="auto" w:fill="auto"/>
        <w:tabs>
          <w:tab w:val="left" w:pos="112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4. </w:t>
      </w:r>
      <w:r w:rsidR="006419E5" w:rsidRPr="00EB6DED">
        <w:rPr>
          <w:rFonts w:ascii="Arial" w:hAnsi="Arial" w:cs="Arial"/>
          <w:sz w:val="20"/>
          <w:szCs w:val="20"/>
        </w:rPr>
        <w:t>Hồ sơ giám định tư pháp được xuất trình khi có yêu cầu của cơ quan có thẩm quyền tiến hành tố tụng, người có thẩm quyền tiến hành tố tụng giải quyết vụ án hình sự, vụ án hành chính, vụ việc dân sự.”.</w:t>
      </w:r>
    </w:p>
    <w:p w:rsidR="00765FDA" w:rsidRPr="00EB6DED" w:rsidRDefault="004A6FBE"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20</w:t>
      </w:r>
      <w:r w:rsidR="006419E5" w:rsidRPr="00EB6DED">
        <w:rPr>
          <w:rFonts w:ascii="Arial" w:hAnsi="Arial" w:cs="Arial"/>
          <w:sz w:val="20"/>
          <w:szCs w:val="20"/>
        </w:rPr>
        <w:t>. Sửa đổi, bổ sung Điều 36 như sau:</w:t>
      </w:r>
    </w:p>
    <w:p w:rsidR="00765FDA" w:rsidRPr="00EB6DED" w:rsidRDefault="008738FB"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“Điều 36. Chi phí giá</w:t>
      </w:r>
      <w:r w:rsidR="006419E5" w:rsidRPr="00EB6DED">
        <w:rPr>
          <w:rFonts w:ascii="Arial" w:hAnsi="Arial" w:cs="Arial"/>
          <w:b/>
          <w:bCs/>
          <w:sz w:val="20"/>
          <w:szCs w:val="20"/>
        </w:rPr>
        <w:t>m định tư pháp</w:t>
      </w:r>
    </w:p>
    <w:p w:rsidR="00765FDA" w:rsidRPr="00EB6DED" w:rsidRDefault="008738FB" w:rsidP="00C00499">
      <w:pPr>
        <w:pStyle w:val="BodyText"/>
        <w:shd w:val="clear" w:color="auto" w:fill="auto"/>
        <w:tabs>
          <w:tab w:val="left" w:pos="112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1. </w:t>
      </w:r>
      <w:r w:rsidR="006419E5" w:rsidRPr="00EB6DED">
        <w:rPr>
          <w:rFonts w:ascii="Arial" w:hAnsi="Arial" w:cs="Arial"/>
          <w:sz w:val="20"/>
          <w:szCs w:val="20"/>
        </w:rPr>
        <w:t>Người trưng cầu giám định, người yêu cầu giám định có trách nhiệm trả chi phí giám định tư pháp cho cá nhân, tổ chức thực hiện giám định tư pháp theo quy định của pháp luật về chi phí giám định tư pháp.</w:t>
      </w:r>
    </w:p>
    <w:p w:rsidR="00765FDA" w:rsidRPr="00EB6DED" w:rsidRDefault="009B6035" w:rsidP="00C00499">
      <w:pPr>
        <w:pStyle w:val="BodyText"/>
        <w:shd w:val="clear" w:color="auto" w:fill="auto"/>
        <w:tabs>
          <w:tab w:val="left" w:pos="112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6419E5" w:rsidRPr="00EB6DED">
        <w:rPr>
          <w:rFonts w:ascii="Arial" w:hAnsi="Arial" w:cs="Arial"/>
          <w:sz w:val="20"/>
          <w:szCs w:val="20"/>
        </w:rPr>
        <w:t xml:space="preserve">Kinh phí thanh toán chi phí giám định tư pháp mà cơ quan có thẩm quyền </w:t>
      </w:r>
      <w:r w:rsidR="00197445" w:rsidRPr="00EB6DED">
        <w:rPr>
          <w:rFonts w:ascii="Arial" w:hAnsi="Arial" w:cs="Arial"/>
          <w:sz w:val="20"/>
          <w:szCs w:val="20"/>
        </w:rPr>
        <w:t>tiến hành</w:t>
      </w:r>
      <w:r w:rsidR="006419E5" w:rsidRPr="00EB6DED">
        <w:rPr>
          <w:rFonts w:ascii="Arial" w:hAnsi="Arial" w:cs="Arial"/>
          <w:sz w:val="20"/>
          <w:szCs w:val="20"/>
        </w:rPr>
        <w:t xml:space="preserve"> </w:t>
      </w:r>
      <w:r w:rsidR="00197445" w:rsidRPr="00EB6DED">
        <w:rPr>
          <w:rFonts w:ascii="Arial" w:hAnsi="Arial" w:cs="Arial"/>
          <w:sz w:val="20"/>
          <w:szCs w:val="20"/>
        </w:rPr>
        <w:t>tố tụng</w:t>
      </w:r>
      <w:r w:rsidR="006419E5" w:rsidRPr="00EB6DED">
        <w:rPr>
          <w:rFonts w:ascii="Arial" w:hAnsi="Arial" w:cs="Arial"/>
          <w:sz w:val="20"/>
          <w:szCs w:val="20"/>
        </w:rPr>
        <w:t xml:space="preserve"> có trách nhiệm chi trả được bảo đảm từ ngân sách nhà nước theo dự toán hằng năm của cơ quan đó để thực hiện nhiệm vụ giám định tư pháp.”.</w:t>
      </w:r>
    </w:p>
    <w:p w:rsidR="00765FDA" w:rsidRPr="00EB6DED" w:rsidRDefault="0027770F" w:rsidP="00C00499">
      <w:pPr>
        <w:pStyle w:val="BodyText"/>
        <w:shd w:val="clear" w:color="auto" w:fill="auto"/>
        <w:tabs>
          <w:tab w:val="left" w:pos="130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21. </w:t>
      </w:r>
      <w:r w:rsidR="00ED3B46" w:rsidRPr="00EB6DED">
        <w:rPr>
          <w:rFonts w:ascii="Arial" w:hAnsi="Arial" w:cs="Arial"/>
          <w:sz w:val="20"/>
          <w:szCs w:val="20"/>
        </w:rPr>
        <w:t>Bổ sung khoản 1</w:t>
      </w:r>
      <w:r w:rsidR="006419E5" w:rsidRPr="00EB6DED">
        <w:rPr>
          <w:rFonts w:ascii="Arial" w:hAnsi="Arial" w:cs="Arial"/>
          <w:sz w:val="20"/>
          <w:szCs w:val="20"/>
        </w:rPr>
        <w:t>a vào sau khoản 1 Điều 37 như sau:</w:t>
      </w:r>
    </w:p>
    <w:p w:rsidR="00765FDA" w:rsidRPr="00EB6DED" w:rsidRDefault="00ED3B46"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“1</w:t>
      </w:r>
      <w:r w:rsidR="006419E5" w:rsidRPr="00EB6DED">
        <w:rPr>
          <w:rFonts w:ascii="Arial" w:hAnsi="Arial" w:cs="Arial"/>
          <w:sz w:val="20"/>
          <w:szCs w:val="20"/>
        </w:rPr>
        <w:t xml:space="preserve">a. Việc thực hiện giám định tư pháp của công chức, viên chức, sĩ quan quân đội, sĩ quan công an nhân dân, quân nhân chuyên nghiệp, công nhân </w:t>
      </w:r>
      <w:r w:rsidR="00E90191" w:rsidRPr="00EB6DED">
        <w:rPr>
          <w:rFonts w:ascii="Arial" w:hAnsi="Arial" w:cs="Arial"/>
          <w:sz w:val="20"/>
          <w:szCs w:val="20"/>
        </w:rPr>
        <w:t>quốc</w:t>
      </w:r>
      <w:r w:rsidR="006419E5" w:rsidRPr="00EB6DED">
        <w:rPr>
          <w:rFonts w:ascii="Arial" w:hAnsi="Arial" w:cs="Arial"/>
          <w:sz w:val="20"/>
          <w:szCs w:val="20"/>
        </w:rPr>
        <w:t xml:space="preserve"> phòng là hoạt động công vụ. Cơ quan, </w:t>
      </w:r>
      <w:r w:rsidR="00A84E92" w:rsidRPr="00EB6DED">
        <w:rPr>
          <w:rFonts w:ascii="Arial" w:hAnsi="Arial" w:cs="Arial"/>
          <w:sz w:val="20"/>
          <w:szCs w:val="20"/>
        </w:rPr>
        <w:t>tổ chức</w:t>
      </w:r>
      <w:r w:rsidR="006419E5" w:rsidRPr="00EB6DED">
        <w:rPr>
          <w:rFonts w:ascii="Arial" w:hAnsi="Arial" w:cs="Arial"/>
          <w:sz w:val="20"/>
          <w:szCs w:val="20"/>
        </w:rPr>
        <w:t xml:space="preserve"> quản lý trực </w:t>
      </w:r>
      <w:r w:rsidR="00277873" w:rsidRPr="00EB6DED">
        <w:rPr>
          <w:rFonts w:ascii="Arial" w:hAnsi="Arial" w:cs="Arial"/>
          <w:sz w:val="20"/>
          <w:szCs w:val="20"/>
        </w:rPr>
        <w:t>tiếp</w:t>
      </w:r>
      <w:r w:rsidR="006419E5" w:rsidRPr="00EB6DED">
        <w:rPr>
          <w:rFonts w:ascii="Arial" w:hAnsi="Arial" w:cs="Arial"/>
          <w:sz w:val="20"/>
          <w:szCs w:val="20"/>
        </w:rPr>
        <w:t xml:space="preserve"> có trách nhiệm bảo đảm đủ </w:t>
      </w:r>
      <w:r w:rsidR="00277873" w:rsidRPr="00EB6DED">
        <w:rPr>
          <w:rFonts w:ascii="Arial" w:hAnsi="Arial" w:cs="Arial"/>
          <w:sz w:val="20"/>
          <w:szCs w:val="20"/>
        </w:rPr>
        <w:t>thời</w:t>
      </w:r>
      <w:r w:rsidR="00DF38CC" w:rsidRPr="00EB6DED">
        <w:rPr>
          <w:rFonts w:ascii="Arial" w:hAnsi="Arial" w:cs="Arial"/>
          <w:sz w:val="20"/>
          <w:szCs w:val="20"/>
        </w:rPr>
        <w:t xml:space="preserve"> gian và các điều kiện cầ</w:t>
      </w:r>
      <w:r w:rsidR="006419E5" w:rsidRPr="00EB6DED">
        <w:rPr>
          <w:rFonts w:ascii="Arial" w:hAnsi="Arial" w:cs="Arial"/>
          <w:sz w:val="20"/>
          <w:szCs w:val="20"/>
        </w:rPr>
        <w:t xml:space="preserve">n thiết </w:t>
      </w:r>
      <w:r w:rsidR="00DF38CC" w:rsidRPr="00EB6DED">
        <w:rPr>
          <w:rFonts w:ascii="Arial" w:hAnsi="Arial" w:cs="Arial"/>
          <w:sz w:val="20"/>
          <w:szCs w:val="20"/>
        </w:rPr>
        <w:t>khác cho việc thực hiện giám đị</w:t>
      </w:r>
      <w:r w:rsidR="006419E5" w:rsidRPr="00EB6DED">
        <w:rPr>
          <w:rFonts w:ascii="Arial" w:hAnsi="Arial" w:cs="Arial"/>
          <w:sz w:val="20"/>
          <w:szCs w:val="20"/>
        </w:rPr>
        <w:t>nh. Người thực hiện giám định được h</w:t>
      </w:r>
      <w:r w:rsidR="00DF38CC" w:rsidRPr="00EB6DED">
        <w:rPr>
          <w:rFonts w:ascii="Arial" w:hAnsi="Arial" w:cs="Arial"/>
          <w:sz w:val="20"/>
          <w:szCs w:val="20"/>
        </w:rPr>
        <w:t xml:space="preserve">ưởng các chế độ, chính sách </w:t>
      </w:r>
      <w:r w:rsidR="006419E5" w:rsidRPr="00EB6DED">
        <w:rPr>
          <w:rFonts w:ascii="Arial" w:hAnsi="Arial" w:cs="Arial"/>
          <w:sz w:val="20"/>
          <w:szCs w:val="20"/>
        </w:rPr>
        <w:t>theo quy định của pháp luật.</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Người giám định tư pháp không hưởng lương từ ngân sách nhà nước, tổ chức giám định tư pháp theo vụ việc không do Nhà nước bảo đảm kinh phí hoạt động tiếp nhận và thực hiện giám định tư pháp trên cơ sở thỏa thuận với người trưng cầu giám định, người yêu cầu giám định.”.</w:t>
      </w:r>
    </w:p>
    <w:p w:rsidR="00765FDA" w:rsidRPr="00EB6DED" w:rsidRDefault="00F545CD" w:rsidP="00C00499">
      <w:pPr>
        <w:pStyle w:val="BodyText"/>
        <w:shd w:val="clear" w:color="auto" w:fill="auto"/>
        <w:tabs>
          <w:tab w:val="left" w:pos="127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22. </w:t>
      </w:r>
      <w:r w:rsidR="006419E5" w:rsidRPr="00EB6DED">
        <w:rPr>
          <w:rFonts w:ascii="Arial" w:hAnsi="Arial" w:cs="Arial"/>
          <w:sz w:val="20"/>
          <w:szCs w:val="20"/>
        </w:rPr>
        <w:t>Sửa đổi, bổ sung khoản 2 Điều 38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 Người giám định tư pháp, tổ chức giám định tư pháp, tổ chức giám định tư pháp theo vụ việc có đóng góp tích cực cho hoạt động giám định tư pháp thì được tôn vinh, khen thưởng.”.</w:t>
      </w:r>
    </w:p>
    <w:p w:rsidR="00765FDA" w:rsidRPr="00EB6DED" w:rsidRDefault="00D27C52"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23. Sửa đổi, bổ sung Điều 41 như sau</w:t>
      </w:r>
      <w:r w:rsidR="006419E5" w:rsidRPr="00EB6DED">
        <w:rPr>
          <w:rFonts w:ascii="Arial" w:hAnsi="Arial" w:cs="Arial"/>
          <w:sz w:val="20"/>
          <w:szCs w:val="20"/>
        </w:rPr>
        <w:t>:</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b/>
          <w:bCs/>
          <w:sz w:val="20"/>
          <w:szCs w:val="20"/>
        </w:rPr>
        <w:t xml:space="preserve">“Điều 41. Nhiệm vụ, quyền hạn của bộ, cơ </w:t>
      </w:r>
      <w:r w:rsidR="00887DF9" w:rsidRPr="00EB6DED">
        <w:rPr>
          <w:rFonts w:ascii="Arial" w:hAnsi="Arial" w:cs="Arial"/>
          <w:b/>
          <w:bCs/>
          <w:sz w:val="20"/>
          <w:szCs w:val="20"/>
        </w:rPr>
        <w:t>quan ngang bộ, cơ quan thuộc Chí</w:t>
      </w:r>
      <w:r w:rsidRPr="00EB6DED">
        <w:rPr>
          <w:rFonts w:ascii="Arial" w:hAnsi="Arial" w:cs="Arial"/>
          <w:b/>
          <w:bCs/>
          <w:sz w:val="20"/>
          <w:szCs w:val="20"/>
        </w:rPr>
        <w:t>nh phủ</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1. Bộ, cơ quan ngang bộ quản lý chuyên môn về lĩnh vực giám định tư pháp có nhiệm vụ, quyền hạn sau đây:</w:t>
      </w:r>
    </w:p>
    <w:p w:rsidR="00765FDA" w:rsidRPr="00EB6DED" w:rsidRDefault="005A659C" w:rsidP="00C00499">
      <w:pPr>
        <w:pStyle w:val="BodyText"/>
        <w:shd w:val="clear" w:color="auto" w:fill="auto"/>
        <w:tabs>
          <w:tab w:val="left" w:pos="109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Ban hành hoặc trình cơ quan nhà nước có thẩm quyền ban hành văn bản quy phạm pháp luật về giám định tư pháp ở lĩnh vực giám định thuộc thẩm quyền quản lý và hướng dẫn thi hành các văn bản đó;</w:t>
      </w:r>
    </w:p>
    <w:p w:rsidR="00765FDA" w:rsidRPr="00EB6DED" w:rsidRDefault="00902EA0" w:rsidP="00C00499">
      <w:pPr>
        <w:pStyle w:val="BodyText"/>
        <w:shd w:val="clear" w:color="auto" w:fill="auto"/>
        <w:tabs>
          <w:tab w:val="left" w:pos="111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 xml:space="preserve">Ban hành quy trình giám định; ban hành hoặc hướng dẫn áp dụng quy </w:t>
      </w:r>
      <w:r w:rsidR="00917FA7" w:rsidRPr="00EB6DED">
        <w:rPr>
          <w:rFonts w:ascii="Arial" w:hAnsi="Arial" w:cs="Arial"/>
          <w:sz w:val="20"/>
          <w:szCs w:val="20"/>
        </w:rPr>
        <w:t>chuẩn</w:t>
      </w:r>
      <w:r w:rsidR="006419E5" w:rsidRPr="00EB6DED">
        <w:rPr>
          <w:rFonts w:ascii="Arial" w:hAnsi="Arial" w:cs="Arial"/>
          <w:sz w:val="20"/>
          <w:szCs w:val="20"/>
        </w:rPr>
        <w:t xml:space="preserve"> chuyên môn cho hoạt động giám định tư pháp; căn cứ </w:t>
      </w:r>
      <w:r w:rsidR="00B73ED2" w:rsidRPr="00EB6DED">
        <w:rPr>
          <w:rFonts w:ascii="Arial" w:hAnsi="Arial" w:cs="Arial"/>
          <w:sz w:val="20"/>
          <w:szCs w:val="20"/>
        </w:rPr>
        <w:t>yêu cầu</w:t>
      </w:r>
      <w:r w:rsidR="006419E5" w:rsidRPr="00EB6DED">
        <w:rPr>
          <w:rFonts w:ascii="Arial" w:hAnsi="Arial" w:cs="Arial"/>
          <w:sz w:val="20"/>
          <w:szCs w:val="20"/>
        </w:rPr>
        <w:t xml:space="preserve"> và tính chất đặc thù của lĩnh vực thuộc thẩm quyền quản lý quy định cụ thể về thời hạn đối với từng loại việc giám định;</w:t>
      </w:r>
    </w:p>
    <w:p w:rsidR="00765FDA" w:rsidRPr="00EB6DED" w:rsidRDefault="00600068" w:rsidP="00C00499">
      <w:pPr>
        <w:pStyle w:val="BodyText"/>
        <w:shd w:val="clear" w:color="auto" w:fill="auto"/>
        <w:tabs>
          <w:tab w:val="left" w:pos="1127"/>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Chủ trì, phối hợp với Bộ Tư pháp trong việc quyết định thà</w:t>
      </w:r>
      <w:r w:rsidR="005D46D2" w:rsidRPr="00EB6DED">
        <w:rPr>
          <w:rFonts w:ascii="Arial" w:hAnsi="Arial" w:cs="Arial"/>
          <w:sz w:val="20"/>
          <w:szCs w:val="20"/>
        </w:rPr>
        <w:t>nh lập, củng cố</w:t>
      </w:r>
      <w:r w:rsidR="006419E5" w:rsidRPr="00EB6DED">
        <w:rPr>
          <w:rFonts w:ascii="Arial" w:hAnsi="Arial" w:cs="Arial"/>
          <w:sz w:val="20"/>
          <w:szCs w:val="20"/>
        </w:rPr>
        <w:t xml:space="preserve">, kiện toàn </w:t>
      </w:r>
      <w:r w:rsidR="00A84E92" w:rsidRPr="00EB6DED">
        <w:rPr>
          <w:rFonts w:ascii="Arial" w:hAnsi="Arial" w:cs="Arial"/>
          <w:sz w:val="20"/>
          <w:szCs w:val="20"/>
        </w:rPr>
        <w:t>tổ chức</w:t>
      </w:r>
      <w:r w:rsidR="006419E5" w:rsidRPr="00EB6DED">
        <w:rPr>
          <w:rFonts w:ascii="Arial" w:hAnsi="Arial" w:cs="Arial"/>
          <w:sz w:val="20"/>
          <w:szCs w:val="20"/>
        </w:rPr>
        <w:t xml:space="preserve"> giám định tư pháp công lập thuộc </w:t>
      </w:r>
      <w:r w:rsidR="00197445" w:rsidRPr="00EB6DED">
        <w:rPr>
          <w:rFonts w:ascii="Arial" w:hAnsi="Arial" w:cs="Arial"/>
          <w:sz w:val="20"/>
          <w:szCs w:val="20"/>
        </w:rPr>
        <w:t>thẩm</w:t>
      </w:r>
      <w:r w:rsidR="006419E5" w:rsidRPr="00EB6DED">
        <w:rPr>
          <w:rFonts w:ascii="Arial" w:hAnsi="Arial" w:cs="Arial"/>
          <w:sz w:val="20"/>
          <w:szCs w:val="20"/>
        </w:rPr>
        <w:t xml:space="preserve"> quyền quản lý theo quy định của Luật này; phân công đơn vị thuộc bộ, cơ quan ngang bộ làm đầu mối quản lý chung công tác giám định tư pháp;</w:t>
      </w:r>
    </w:p>
    <w:p w:rsidR="00765FDA" w:rsidRPr="00EB6DED" w:rsidRDefault="007A6097" w:rsidP="00C00499">
      <w:pPr>
        <w:pStyle w:val="BodyText"/>
        <w:shd w:val="clear" w:color="auto" w:fill="auto"/>
        <w:spacing w:after="120" w:line="240" w:lineRule="auto"/>
        <w:ind w:firstLine="720"/>
        <w:jc w:val="both"/>
        <w:rPr>
          <w:rFonts w:ascii="Arial" w:hAnsi="Arial" w:cs="Arial"/>
          <w:sz w:val="20"/>
          <w:szCs w:val="20"/>
        </w:rPr>
      </w:pPr>
      <w:r>
        <w:rPr>
          <w:rFonts w:ascii="Arial" w:hAnsi="Arial" w:cs="Arial"/>
          <w:sz w:val="20"/>
          <w:szCs w:val="20"/>
          <w:lang w:val="en-SG"/>
        </w:rPr>
        <w:t>d</w:t>
      </w:r>
      <w:r w:rsidR="006419E5" w:rsidRPr="00EB6DED">
        <w:rPr>
          <w:rFonts w:ascii="Arial" w:hAnsi="Arial" w:cs="Arial"/>
          <w:sz w:val="20"/>
          <w:szCs w:val="20"/>
        </w:rPr>
        <w:t>) Bổ nhiệm, miễn nhiệm, cấp thẻ, thu hồi thẻ giám định viên tư pháp theo thẩm quyền; công nhận danh sách người giám định tư pháp theo vụ việc, tổ chức giám định tư pháp theo vụ việc; đăng tải và cập nhật danh sách cá nhân, tổ chức giám định tư pháp trên cổng thông tin điện tử của bộ, ngành mình, đồng thời gửi danh sách đó cho Bộ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đ) Chịu trách nhiệm trước Chính phủ, Thủ tướng Chính phủ về bảo đảm số lượng, </w:t>
      </w:r>
      <w:r w:rsidR="006B5E56" w:rsidRPr="00EB6DED">
        <w:rPr>
          <w:rFonts w:ascii="Arial" w:hAnsi="Arial" w:cs="Arial"/>
          <w:sz w:val="20"/>
          <w:szCs w:val="20"/>
        </w:rPr>
        <w:t>chất</w:t>
      </w:r>
      <w:r w:rsidRPr="00EB6DED">
        <w:rPr>
          <w:rFonts w:ascii="Arial" w:hAnsi="Arial" w:cs="Arial"/>
          <w:sz w:val="20"/>
          <w:szCs w:val="20"/>
        </w:rPr>
        <w:t xml:space="preserve"> lượng hoạt động của người giám định tư pháp, tổ chức giám định tư pháp; bảo đảm kinh phí, trang thiết bị, phương tiện giám định và điều kiện vật chất cần thiết khác cho cá nhân, tổ chức giám định thuộc bộ, ngành mình quản lý;</w:t>
      </w:r>
    </w:p>
    <w:p w:rsidR="00765FDA" w:rsidRPr="00EB6DED" w:rsidRDefault="00FC7EFD" w:rsidP="00C00499">
      <w:pPr>
        <w:pStyle w:val="BodyText"/>
        <w:shd w:val="clear" w:color="auto" w:fill="auto"/>
        <w:tabs>
          <w:tab w:val="left" w:pos="113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e) </w:t>
      </w:r>
      <w:r w:rsidR="006419E5" w:rsidRPr="00EB6DED">
        <w:rPr>
          <w:rFonts w:ascii="Arial" w:hAnsi="Arial" w:cs="Arial"/>
          <w:sz w:val="20"/>
          <w:szCs w:val="20"/>
        </w:rPr>
        <w:t xml:space="preserve">Hằng năm, đánh giá chất lượng hoạt động của cá nhân, tổ chức giám định tư pháp thuộc thẩm quyền quản </w:t>
      </w:r>
      <w:r w:rsidR="000B6E6D" w:rsidRPr="00EB6DED">
        <w:rPr>
          <w:rFonts w:ascii="Arial" w:hAnsi="Arial" w:cs="Arial"/>
          <w:sz w:val="20"/>
          <w:szCs w:val="20"/>
        </w:rPr>
        <w:t>lý; kịp thời tôn vinh, khen thưở</w:t>
      </w:r>
      <w:r w:rsidR="006419E5" w:rsidRPr="00EB6DED">
        <w:rPr>
          <w:rFonts w:ascii="Arial" w:hAnsi="Arial" w:cs="Arial"/>
          <w:sz w:val="20"/>
          <w:szCs w:val="20"/>
        </w:rPr>
        <w:t>ng cá nhân, tổ chức giám định tư pháp có thành tích xuất sắc trong hoạt động giám định tư pháp;</w:t>
      </w:r>
    </w:p>
    <w:p w:rsidR="00765FDA" w:rsidRPr="00EB6DED" w:rsidRDefault="000B6E6D" w:rsidP="00C00499">
      <w:pPr>
        <w:pStyle w:val="BodyText"/>
        <w:shd w:val="clear" w:color="auto" w:fill="auto"/>
        <w:tabs>
          <w:tab w:val="left" w:pos="1141"/>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g) </w:t>
      </w:r>
      <w:r w:rsidR="006419E5" w:rsidRPr="00EB6DED">
        <w:rPr>
          <w:rFonts w:ascii="Arial" w:hAnsi="Arial" w:cs="Arial"/>
          <w:sz w:val="20"/>
          <w:szCs w:val="20"/>
        </w:rPr>
        <w:t>Quy địn</w:t>
      </w:r>
      <w:r w:rsidR="007F15DD" w:rsidRPr="00EB6DED">
        <w:rPr>
          <w:rFonts w:ascii="Arial" w:hAnsi="Arial" w:cs="Arial"/>
          <w:sz w:val="20"/>
          <w:szCs w:val="20"/>
        </w:rPr>
        <w:t>h điều kiện về cơ sở vật chất, tr</w:t>
      </w:r>
      <w:r w:rsidR="006419E5" w:rsidRPr="00EB6DED">
        <w:rPr>
          <w:rFonts w:ascii="Arial" w:hAnsi="Arial" w:cs="Arial"/>
          <w:sz w:val="20"/>
          <w:szCs w:val="20"/>
        </w:rPr>
        <w:t xml:space="preserve">ang thiết bị, phương tiện giám định của Văn phòng </w:t>
      </w:r>
      <w:r w:rsidR="006419E5" w:rsidRPr="00EB6DED">
        <w:rPr>
          <w:rFonts w:ascii="Arial" w:hAnsi="Arial" w:cs="Arial"/>
          <w:sz w:val="20"/>
          <w:szCs w:val="20"/>
        </w:rPr>
        <w:lastRenderedPageBreak/>
        <w:t>giám định tư pháp, tổ chức giám định tư pháp theo vụ việc ở lĩnh vực thuộc thẩm quyền quản lý;</w:t>
      </w:r>
    </w:p>
    <w:p w:rsidR="00765FDA" w:rsidRPr="00EB6DED" w:rsidRDefault="004F29E8" w:rsidP="00C00499">
      <w:pPr>
        <w:pStyle w:val="BodyText"/>
        <w:shd w:val="clear" w:color="auto" w:fill="auto"/>
        <w:tabs>
          <w:tab w:val="left" w:pos="114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h) </w:t>
      </w:r>
      <w:r w:rsidR="006419E5" w:rsidRPr="00EB6DED">
        <w:rPr>
          <w:rFonts w:ascii="Arial" w:hAnsi="Arial" w:cs="Arial"/>
          <w:sz w:val="20"/>
          <w:szCs w:val="20"/>
        </w:rPr>
        <w:t>Tổ chức bồi dưỡng nghiệp vụ giám định tư pháp, kiến thức pháp luật cho người giám định tư pháp ở lĩnh vực thuộc thẩm quyền quản lý;</w:t>
      </w:r>
    </w:p>
    <w:p w:rsidR="00765FDA" w:rsidRPr="00EB6DED" w:rsidRDefault="004D7B3B" w:rsidP="00C00499">
      <w:pPr>
        <w:pStyle w:val="BodyText"/>
        <w:shd w:val="clear" w:color="auto" w:fill="auto"/>
        <w:tabs>
          <w:tab w:val="left" w:pos="116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i) </w:t>
      </w:r>
      <w:r w:rsidR="006419E5" w:rsidRPr="00EB6DED">
        <w:rPr>
          <w:rFonts w:ascii="Arial" w:hAnsi="Arial" w:cs="Arial"/>
          <w:sz w:val="20"/>
          <w:szCs w:val="20"/>
        </w:rPr>
        <w:t>Kiểm tra, thanh tra và giải quyết khiếu nại, tố cáo về tổ chức, hoạt động giám định tư pháp ở lĩnh vực thuộc thẩm quyền quản lý; phối hợp với Bộ Tư pháp trong công tác kiểm tra, thanh tra về tổ chức, hoạt động giám định tư pháp theo quy định tại khoản 6 Điều 40 của Luật này;</w:t>
      </w:r>
    </w:p>
    <w:p w:rsidR="00765FDA" w:rsidRPr="00EB6DED" w:rsidRDefault="00261C58" w:rsidP="00C00499">
      <w:pPr>
        <w:pStyle w:val="BodyText"/>
        <w:shd w:val="clear" w:color="auto" w:fill="auto"/>
        <w:tabs>
          <w:tab w:val="left" w:pos="1152"/>
        </w:tabs>
        <w:spacing w:after="120" w:line="240" w:lineRule="auto"/>
        <w:ind w:firstLine="720"/>
        <w:jc w:val="both"/>
        <w:rPr>
          <w:rFonts w:ascii="Arial" w:hAnsi="Arial" w:cs="Arial"/>
          <w:sz w:val="20"/>
          <w:szCs w:val="20"/>
        </w:rPr>
      </w:pPr>
      <w:r w:rsidRPr="00EB6DED">
        <w:rPr>
          <w:rFonts w:ascii="Arial" w:hAnsi="Arial" w:cs="Arial"/>
          <w:sz w:val="20"/>
          <w:szCs w:val="20"/>
        </w:rPr>
        <w:t xml:space="preserve">k) </w:t>
      </w:r>
      <w:r w:rsidR="006419E5" w:rsidRPr="00EB6DED">
        <w:rPr>
          <w:rFonts w:ascii="Arial" w:hAnsi="Arial" w:cs="Arial"/>
          <w:sz w:val="20"/>
          <w:szCs w:val="20"/>
        </w:rPr>
        <w:t>Thực hiện hợp tác quốc tế về giám định tư pháp ở l</w:t>
      </w:r>
      <w:r w:rsidR="00765391" w:rsidRPr="00EB6DED">
        <w:rPr>
          <w:rFonts w:ascii="Arial" w:hAnsi="Arial" w:cs="Arial"/>
          <w:sz w:val="20"/>
          <w:szCs w:val="20"/>
        </w:rPr>
        <w:t>ĩnh vực thuộc thẩm quyền quản l</w:t>
      </w:r>
      <w:r w:rsidR="006419E5" w:rsidRPr="00EB6DED">
        <w:rPr>
          <w:rFonts w:ascii="Arial" w:hAnsi="Arial" w:cs="Arial"/>
          <w:sz w:val="20"/>
          <w:szCs w:val="20"/>
        </w:rPr>
        <w:t>ý;</w:t>
      </w:r>
    </w:p>
    <w:p w:rsidR="00765FDA" w:rsidRPr="00EB6DED" w:rsidRDefault="00765391" w:rsidP="00C00499">
      <w:pPr>
        <w:pStyle w:val="BodyText"/>
        <w:shd w:val="clear" w:color="auto" w:fill="auto"/>
        <w:tabs>
          <w:tab w:val="left" w:pos="115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l) </w:t>
      </w:r>
      <w:r w:rsidR="006419E5" w:rsidRPr="00EB6DED">
        <w:rPr>
          <w:rFonts w:ascii="Arial" w:hAnsi="Arial" w:cs="Arial"/>
          <w:sz w:val="20"/>
          <w:szCs w:val="20"/>
        </w:rPr>
        <w:t>Trước ngày 31 tháng 12 hằng năm, tổng kết về tổ chức, hoạt động giám định tư pháp ở lĩnh vực thuộc thẩm quyền quản lý và gửi báo c</w:t>
      </w:r>
      <w:r w:rsidR="00F93928" w:rsidRPr="00EB6DED">
        <w:rPr>
          <w:rFonts w:ascii="Arial" w:hAnsi="Arial" w:cs="Arial"/>
          <w:sz w:val="20"/>
          <w:szCs w:val="20"/>
        </w:rPr>
        <w:t>áo về Bộ Tư pháp để tổng hợp, bá</w:t>
      </w:r>
      <w:r w:rsidR="006419E5" w:rsidRPr="00EB6DED">
        <w:rPr>
          <w:rFonts w:ascii="Arial" w:hAnsi="Arial" w:cs="Arial"/>
          <w:sz w:val="20"/>
          <w:szCs w:val="20"/>
        </w:rPr>
        <w:t>o cáo Chính phủ.</w:t>
      </w:r>
    </w:p>
    <w:p w:rsidR="00765FDA" w:rsidRPr="00EB6DED" w:rsidRDefault="005E168F" w:rsidP="00C00499">
      <w:pPr>
        <w:pStyle w:val="BodyText"/>
        <w:shd w:val="clear" w:color="auto" w:fill="auto"/>
        <w:tabs>
          <w:tab w:val="left" w:pos="1159"/>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 </w:t>
      </w:r>
      <w:r w:rsidR="006419E5" w:rsidRPr="00EB6DED">
        <w:rPr>
          <w:rFonts w:ascii="Arial" w:hAnsi="Arial" w:cs="Arial"/>
          <w:sz w:val="20"/>
          <w:szCs w:val="20"/>
        </w:rPr>
        <w:t>Cơ quan thuộc Chính phủ có nhiệm vụ, quyền hạn sau đây:</w:t>
      </w:r>
    </w:p>
    <w:p w:rsidR="00765FDA" w:rsidRPr="00EB6DED" w:rsidRDefault="008224C3" w:rsidP="00C00499">
      <w:pPr>
        <w:pStyle w:val="BodyText"/>
        <w:shd w:val="clear" w:color="auto" w:fill="auto"/>
        <w:tabs>
          <w:tab w:val="left" w:pos="113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Xây dựng quy trình giám định đề nghị bộ, cơ quan ngang bộ quản lý chuyên môn về lĩnh vực giám định tư pháp ban hành theo thẩm quyền;</w:t>
      </w:r>
    </w:p>
    <w:p w:rsidR="00765FDA" w:rsidRPr="00EB6DED" w:rsidRDefault="00CE3ADE" w:rsidP="00C00499">
      <w:pPr>
        <w:pStyle w:val="BodyText"/>
        <w:shd w:val="clear" w:color="auto" w:fill="auto"/>
        <w:tabs>
          <w:tab w:val="left" w:pos="1152"/>
        </w:tabs>
        <w:spacing w:after="120" w:line="240" w:lineRule="auto"/>
        <w:ind w:firstLine="720"/>
        <w:jc w:val="both"/>
        <w:rPr>
          <w:rFonts w:ascii="Arial" w:hAnsi="Arial" w:cs="Arial"/>
          <w:sz w:val="20"/>
          <w:szCs w:val="20"/>
        </w:rPr>
      </w:pPr>
      <w:r w:rsidRPr="00EB6DED">
        <w:rPr>
          <w:rFonts w:ascii="Arial" w:hAnsi="Arial" w:cs="Arial"/>
          <w:sz w:val="20"/>
          <w:szCs w:val="20"/>
          <w:lang w:val="en-US"/>
        </w:rPr>
        <w:t>b)</w:t>
      </w:r>
      <w:r w:rsidR="002A73E1" w:rsidRPr="00EB6DED">
        <w:rPr>
          <w:rFonts w:ascii="Arial" w:hAnsi="Arial" w:cs="Arial"/>
          <w:sz w:val="20"/>
          <w:szCs w:val="20"/>
          <w:lang w:val="en-US"/>
        </w:rPr>
        <w:t xml:space="preserve"> </w:t>
      </w:r>
      <w:r w:rsidR="006419E5" w:rsidRPr="00EB6DED">
        <w:rPr>
          <w:rFonts w:ascii="Arial" w:hAnsi="Arial" w:cs="Arial"/>
          <w:sz w:val="20"/>
          <w:szCs w:val="20"/>
        </w:rPr>
        <w:t>Công nhận danh sách người giám định tư pháp theo vụ việc, tổ chức giám định tư pháp theo vụ việc; đăng tải và cập nhật danh sách cá nhân, tổ chức giám định tư pháp trên cổng thông tin điện tử của cơ quan mình, đồng thời gửi danh sách đó cho Bộ Tư pháp; hằng năm, tổng kết, gửi Bộ Tư pháp báo cáo về hoạt động giám định tư pháp của cơ quan mình;</w:t>
      </w:r>
    </w:p>
    <w:p w:rsidR="00765FDA" w:rsidRPr="00EB6DED" w:rsidRDefault="00CE3ADE" w:rsidP="00C00499">
      <w:pPr>
        <w:pStyle w:val="BodyText"/>
        <w:shd w:val="clear" w:color="auto" w:fill="auto"/>
        <w:tabs>
          <w:tab w:val="left" w:pos="119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Nhiệm vụ, quyền hạn quy định tại các điểm đ, e và h khoản 1 Điều này.”.</w:t>
      </w:r>
    </w:p>
    <w:p w:rsidR="00765FDA" w:rsidRPr="00EB6DED" w:rsidRDefault="006B6398" w:rsidP="00C00499">
      <w:pPr>
        <w:pStyle w:val="BodyText"/>
        <w:shd w:val="clear" w:color="auto" w:fill="auto"/>
        <w:tabs>
          <w:tab w:val="left" w:pos="129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24. </w:t>
      </w:r>
      <w:r w:rsidR="006419E5" w:rsidRPr="00EB6DED">
        <w:rPr>
          <w:rFonts w:ascii="Arial" w:hAnsi="Arial" w:cs="Arial"/>
          <w:sz w:val="20"/>
          <w:szCs w:val="20"/>
        </w:rPr>
        <w:t>Sửa đổi, bổ sung một số khoản của Điều 42 như sau:</w:t>
      </w:r>
    </w:p>
    <w:p w:rsidR="00765FDA" w:rsidRPr="00EB6DED" w:rsidRDefault="00A92F8A" w:rsidP="00C00499">
      <w:pPr>
        <w:pStyle w:val="BodyText"/>
        <w:shd w:val="clear" w:color="auto" w:fill="auto"/>
        <w:tabs>
          <w:tab w:val="left" w:pos="116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Sửa đổi, bổ sung điểm đ khoản 2 như sau:</w:t>
      </w:r>
    </w:p>
    <w:p w:rsidR="00765FDA" w:rsidRPr="00EB6DED" w:rsidRDefault="00D1643F"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“đ) Ban hành chỉ tiêu thống kê</w:t>
      </w:r>
      <w:r w:rsidR="006419E5" w:rsidRPr="00EB6DED">
        <w:rPr>
          <w:rFonts w:ascii="Arial" w:hAnsi="Arial" w:cs="Arial"/>
          <w:sz w:val="20"/>
          <w:szCs w:val="20"/>
        </w:rPr>
        <w:t xml:space="preserve">, thực hiện thống kê hằng năm về </w:t>
      </w:r>
      <w:r w:rsidR="00330E19" w:rsidRPr="00EB6DED">
        <w:rPr>
          <w:rFonts w:ascii="Arial" w:hAnsi="Arial" w:cs="Arial"/>
          <w:sz w:val="20"/>
          <w:szCs w:val="20"/>
        </w:rPr>
        <w:t>trưng cầu</w:t>
      </w:r>
      <w:r w:rsidR="006419E5" w:rsidRPr="00EB6DED">
        <w:rPr>
          <w:rFonts w:ascii="Arial" w:hAnsi="Arial" w:cs="Arial"/>
          <w:sz w:val="20"/>
          <w:szCs w:val="20"/>
        </w:rPr>
        <w:t xml:space="preserve">, </w:t>
      </w:r>
      <w:r w:rsidR="00B73ED2" w:rsidRPr="00EB6DED">
        <w:rPr>
          <w:rFonts w:ascii="Arial" w:hAnsi="Arial" w:cs="Arial"/>
          <w:sz w:val="20"/>
          <w:szCs w:val="20"/>
        </w:rPr>
        <w:t>yêu cầu</w:t>
      </w:r>
      <w:r w:rsidR="006419E5" w:rsidRPr="00EB6DED">
        <w:rPr>
          <w:rFonts w:ascii="Arial" w:hAnsi="Arial" w:cs="Arial"/>
          <w:sz w:val="20"/>
          <w:szCs w:val="20"/>
        </w:rPr>
        <w:t xml:space="preserve"> giám định tư pháp, đánh giá việc thực hiện giám định tư pháp và sử dụng </w:t>
      </w:r>
      <w:r w:rsidR="00654344" w:rsidRPr="00EB6DED">
        <w:rPr>
          <w:rFonts w:ascii="Arial" w:hAnsi="Arial" w:cs="Arial"/>
          <w:sz w:val="20"/>
          <w:szCs w:val="20"/>
        </w:rPr>
        <w:t>kết</w:t>
      </w:r>
      <w:r w:rsidR="006419E5" w:rsidRPr="00EB6DED">
        <w:rPr>
          <w:rFonts w:ascii="Arial" w:hAnsi="Arial" w:cs="Arial"/>
          <w:sz w:val="20"/>
          <w:szCs w:val="20"/>
        </w:rPr>
        <w:t xml:space="preserve"> luận giám</w:t>
      </w:r>
      <w:r w:rsidR="006030BD" w:rsidRPr="00EB6DED">
        <w:rPr>
          <w:rFonts w:ascii="Arial" w:hAnsi="Arial" w:cs="Arial"/>
          <w:sz w:val="20"/>
          <w:szCs w:val="20"/>
        </w:rPr>
        <w:t xml:space="preserve"> định tư pháp, nhu cầ</w:t>
      </w:r>
      <w:r w:rsidR="006419E5" w:rsidRPr="00EB6DED">
        <w:rPr>
          <w:rFonts w:ascii="Arial" w:hAnsi="Arial" w:cs="Arial"/>
          <w:sz w:val="20"/>
          <w:szCs w:val="20"/>
        </w:rPr>
        <w:t xml:space="preserve">u giám định trong </w:t>
      </w:r>
      <w:r w:rsidR="006030BD" w:rsidRPr="00EB6DED">
        <w:rPr>
          <w:rFonts w:ascii="Arial" w:hAnsi="Arial" w:cs="Arial"/>
          <w:sz w:val="20"/>
          <w:szCs w:val="20"/>
        </w:rPr>
        <w:t>hệ thống</w:t>
      </w:r>
      <w:r w:rsidR="006419E5" w:rsidRPr="00EB6DED">
        <w:rPr>
          <w:rFonts w:ascii="Arial" w:hAnsi="Arial" w:cs="Arial"/>
          <w:sz w:val="20"/>
          <w:szCs w:val="20"/>
        </w:rPr>
        <w:t xml:space="preserve"> cơ quan </w:t>
      </w:r>
      <w:r w:rsidR="00433289" w:rsidRPr="00EB6DED">
        <w:rPr>
          <w:rFonts w:ascii="Arial" w:hAnsi="Arial" w:cs="Arial"/>
          <w:sz w:val="20"/>
          <w:szCs w:val="20"/>
        </w:rPr>
        <w:t>điều</w:t>
      </w:r>
      <w:r w:rsidR="006419E5" w:rsidRPr="00EB6DED">
        <w:rPr>
          <w:rFonts w:ascii="Arial" w:hAnsi="Arial" w:cs="Arial"/>
          <w:sz w:val="20"/>
          <w:szCs w:val="20"/>
        </w:rPr>
        <w:t xml:space="preserve"> tra thuộc </w:t>
      </w:r>
      <w:r w:rsidR="00197445" w:rsidRPr="00EB6DED">
        <w:rPr>
          <w:rFonts w:ascii="Arial" w:hAnsi="Arial" w:cs="Arial"/>
          <w:sz w:val="20"/>
          <w:szCs w:val="20"/>
        </w:rPr>
        <w:t>thẩm quyền</w:t>
      </w:r>
      <w:r w:rsidR="006419E5" w:rsidRPr="00EB6DED">
        <w:rPr>
          <w:rFonts w:ascii="Arial" w:hAnsi="Arial" w:cs="Arial"/>
          <w:sz w:val="20"/>
          <w:szCs w:val="20"/>
        </w:rPr>
        <w:t xml:space="preserve"> quản lý;”;</w:t>
      </w:r>
    </w:p>
    <w:p w:rsidR="00765FDA" w:rsidRPr="00EB6DED" w:rsidRDefault="006030BD" w:rsidP="00C00499">
      <w:pPr>
        <w:pStyle w:val="BodyText"/>
        <w:shd w:val="clear" w:color="auto" w:fill="auto"/>
        <w:tabs>
          <w:tab w:val="left" w:pos="1152"/>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Sửa đổi, bổ sung điểm h và bổ sung điểm i vào sau điểm h khoản 2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“h) Hằng năm, tổng kết và gửi báo cáo về Bộ Tư pháp, đồng thời gửi bộ, ngành có liên quan về tình hình trưng cầu giám định tư pháp, đánh giá việc thực hiện giám định tư pháp và sử dụng kết luận giám định tư pháp, nhu cầu giám định trong hệ thống cơ quan điều tra thuộc thẩm quyền quản lý; chỉ đạo Công an cấp tỉnh gửi báo cáo về Sở Tư pháp, đồng thời gửi sở, ngành có liên quan về tình hình </w:t>
      </w:r>
      <w:r w:rsidR="00330E19" w:rsidRPr="00EB6DED">
        <w:rPr>
          <w:rFonts w:ascii="Arial" w:hAnsi="Arial" w:cs="Arial"/>
          <w:sz w:val="20"/>
          <w:szCs w:val="20"/>
        </w:rPr>
        <w:t>trưng cầu</w:t>
      </w:r>
      <w:r w:rsidRPr="00EB6DED">
        <w:rPr>
          <w:rFonts w:ascii="Arial" w:hAnsi="Arial" w:cs="Arial"/>
          <w:sz w:val="20"/>
          <w:szCs w:val="20"/>
        </w:rPr>
        <w:t xml:space="preserve"> giám định tư pháp, đánh giá việc thực hiện giám định tư pháp và sử dụng kết luận giám định tư pháp, nhu cầu giám định ở địa phương;</w:t>
      </w:r>
    </w:p>
    <w:p w:rsidR="00765FDA" w:rsidRPr="00EB6DED" w:rsidRDefault="000934CB" w:rsidP="00C00499">
      <w:pPr>
        <w:pStyle w:val="BodyText"/>
        <w:shd w:val="clear" w:color="auto" w:fill="auto"/>
        <w:tabs>
          <w:tab w:val="left" w:pos="1064"/>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i) </w:t>
      </w:r>
      <w:r w:rsidR="006419E5" w:rsidRPr="00EB6DED">
        <w:rPr>
          <w:rFonts w:ascii="Arial" w:hAnsi="Arial" w:cs="Arial"/>
          <w:sz w:val="20"/>
          <w:szCs w:val="20"/>
        </w:rPr>
        <w:t>Lập dự toán và đề nghị cơ quan có thẩm quyền cấp kinh phí bảo đảm ch</w:t>
      </w:r>
      <w:r w:rsidR="00812DDF" w:rsidRPr="00EB6DED">
        <w:rPr>
          <w:rFonts w:ascii="Arial" w:hAnsi="Arial" w:cs="Arial"/>
          <w:sz w:val="20"/>
          <w:szCs w:val="20"/>
        </w:rPr>
        <w:t>i trả chi phí giám đị</w:t>
      </w:r>
      <w:r w:rsidR="006419E5" w:rsidRPr="00EB6DED">
        <w:rPr>
          <w:rFonts w:ascii="Arial" w:hAnsi="Arial" w:cs="Arial"/>
          <w:sz w:val="20"/>
          <w:szCs w:val="20"/>
        </w:rPr>
        <w:t xml:space="preserve">nh tư pháp; trường hợp </w:t>
      </w:r>
      <w:r w:rsidR="00812DDF" w:rsidRPr="00EB6DED">
        <w:rPr>
          <w:rFonts w:ascii="Arial" w:hAnsi="Arial" w:cs="Arial"/>
          <w:sz w:val="20"/>
          <w:szCs w:val="20"/>
        </w:rPr>
        <w:t>kinh</w:t>
      </w:r>
      <w:r w:rsidR="009B0678" w:rsidRPr="00EB6DED">
        <w:rPr>
          <w:rFonts w:ascii="Arial" w:hAnsi="Arial" w:cs="Arial"/>
          <w:sz w:val="20"/>
          <w:szCs w:val="20"/>
        </w:rPr>
        <w:t xml:space="preserve"> phí được cấp không đủ thì lập dự toán để</w:t>
      </w:r>
      <w:r w:rsidR="006419E5" w:rsidRPr="00EB6DED">
        <w:rPr>
          <w:rFonts w:ascii="Arial" w:hAnsi="Arial" w:cs="Arial"/>
          <w:sz w:val="20"/>
          <w:szCs w:val="20"/>
        </w:rPr>
        <w:t xml:space="preserve"> </w:t>
      </w:r>
      <w:r w:rsidR="00CB0B74" w:rsidRPr="00EB6DED">
        <w:rPr>
          <w:rFonts w:ascii="Arial" w:hAnsi="Arial" w:cs="Arial"/>
          <w:sz w:val="20"/>
          <w:szCs w:val="20"/>
        </w:rPr>
        <w:t>cấp</w:t>
      </w:r>
      <w:r w:rsidR="006419E5" w:rsidRPr="00EB6DED">
        <w:rPr>
          <w:rFonts w:ascii="Arial" w:hAnsi="Arial" w:cs="Arial"/>
          <w:sz w:val="20"/>
          <w:szCs w:val="20"/>
        </w:rPr>
        <w:t xml:space="preserve"> </w:t>
      </w:r>
      <w:r w:rsidR="009B0678" w:rsidRPr="00EB6DED">
        <w:rPr>
          <w:rFonts w:ascii="Arial" w:hAnsi="Arial" w:cs="Arial"/>
          <w:sz w:val="20"/>
          <w:szCs w:val="20"/>
          <w:lang w:val="en-US"/>
        </w:rPr>
        <w:t xml:space="preserve">bổ </w:t>
      </w:r>
      <w:r w:rsidR="006419E5" w:rsidRPr="00EB6DED">
        <w:rPr>
          <w:rFonts w:ascii="Arial" w:hAnsi="Arial" w:cs="Arial"/>
          <w:sz w:val="20"/>
          <w:szCs w:val="20"/>
        </w:rPr>
        <w:t>s</w:t>
      </w:r>
      <w:r w:rsidR="009B0678" w:rsidRPr="00EB6DED">
        <w:rPr>
          <w:rFonts w:ascii="Arial" w:hAnsi="Arial" w:cs="Arial"/>
          <w:sz w:val="20"/>
          <w:szCs w:val="20"/>
        </w:rPr>
        <w:t>ung bảo đảm chi trả kịp thời, đầ</w:t>
      </w:r>
      <w:r w:rsidR="006419E5" w:rsidRPr="00EB6DED">
        <w:rPr>
          <w:rFonts w:ascii="Arial" w:hAnsi="Arial" w:cs="Arial"/>
          <w:sz w:val="20"/>
          <w:szCs w:val="20"/>
        </w:rPr>
        <w:t>y đủ chi phí giám định tư pháp theo quy định của pháp luật về ngân sách nhà nước.”;</w:t>
      </w:r>
    </w:p>
    <w:p w:rsidR="00765FDA" w:rsidRPr="00EB6DED" w:rsidRDefault="009B0678" w:rsidP="00C00499">
      <w:pPr>
        <w:pStyle w:val="BodyText"/>
        <w:shd w:val="clear" w:color="auto" w:fill="auto"/>
        <w:tabs>
          <w:tab w:val="left" w:pos="114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Sửa đổi, bổ sung khoản 3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“3. Bộ Quốc phòng có nhiệm vụ, quyền hạn quy định tại các điểm đ, e, g và i khoản 2 Điều này; hằng năm, tổng kết và gửi báo cáo về Bộ Tư pháp, đồng thời gửi bộ, ngành có liên quan về tình hình trưng cầu giám định tư pháp, đánh giá việc thực hiện giám định tư pháp và sử dụng kế</w:t>
      </w:r>
      <w:r w:rsidR="00175EC3" w:rsidRPr="00EB6DED">
        <w:rPr>
          <w:rFonts w:ascii="Arial" w:hAnsi="Arial" w:cs="Arial"/>
          <w:sz w:val="20"/>
          <w:szCs w:val="20"/>
        </w:rPr>
        <w:t>t luận giám định tư pháp, nhu cầ</w:t>
      </w:r>
      <w:r w:rsidRPr="00EB6DED">
        <w:rPr>
          <w:rFonts w:ascii="Arial" w:hAnsi="Arial" w:cs="Arial"/>
          <w:sz w:val="20"/>
          <w:szCs w:val="20"/>
        </w:rPr>
        <w:t xml:space="preserve">u giám định trong </w:t>
      </w:r>
      <w:r w:rsidR="006030BD" w:rsidRPr="00EB6DED">
        <w:rPr>
          <w:rFonts w:ascii="Arial" w:hAnsi="Arial" w:cs="Arial"/>
          <w:sz w:val="20"/>
          <w:szCs w:val="20"/>
        </w:rPr>
        <w:t>hệ thống</w:t>
      </w:r>
      <w:r w:rsidRPr="00EB6DED">
        <w:rPr>
          <w:rFonts w:ascii="Arial" w:hAnsi="Arial" w:cs="Arial"/>
          <w:sz w:val="20"/>
          <w:szCs w:val="20"/>
        </w:rPr>
        <w:t xml:space="preserve"> cơ quan </w:t>
      </w:r>
      <w:r w:rsidR="00433289" w:rsidRPr="00EB6DED">
        <w:rPr>
          <w:rFonts w:ascii="Arial" w:hAnsi="Arial" w:cs="Arial"/>
          <w:sz w:val="20"/>
          <w:szCs w:val="20"/>
        </w:rPr>
        <w:t>điều</w:t>
      </w:r>
      <w:r w:rsidRPr="00EB6DED">
        <w:rPr>
          <w:rFonts w:ascii="Arial" w:hAnsi="Arial" w:cs="Arial"/>
          <w:sz w:val="20"/>
          <w:szCs w:val="20"/>
        </w:rPr>
        <w:t xml:space="preserve"> tra thuộc </w:t>
      </w:r>
      <w:r w:rsidR="00197445" w:rsidRPr="00EB6DED">
        <w:rPr>
          <w:rFonts w:ascii="Arial" w:hAnsi="Arial" w:cs="Arial"/>
          <w:sz w:val="20"/>
          <w:szCs w:val="20"/>
        </w:rPr>
        <w:t>thẩm quyền</w:t>
      </w:r>
      <w:r w:rsidRPr="00EB6DED">
        <w:rPr>
          <w:rFonts w:ascii="Arial" w:hAnsi="Arial" w:cs="Arial"/>
          <w:sz w:val="20"/>
          <w:szCs w:val="20"/>
        </w:rPr>
        <w:t xml:space="preserve"> quản lý.”.</w:t>
      </w:r>
    </w:p>
    <w:p w:rsidR="00765FDA" w:rsidRPr="00EB6DED" w:rsidRDefault="00175EC3" w:rsidP="00C00499">
      <w:pPr>
        <w:pStyle w:val="BodyText"/>
        <w:shd w:val="clear" w:color="auto" w:fill="auto"/>
        <w:tabs>
          <w:tab w:val="left" w:pos="127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25. </w:t>
      </w:r>
      <w:r w:rsidR="006419E5" w:rsidRPr="00EB6DED">
        <w:rPr>
          <w:rFonts w:ascii="Arial" w:hAnsi="Arial" w:cs="Arial"/>
          <w:sz w:val="20"/>
          <w:szCs w:val="20"/>
        </w:rPr>
        <w:t>Sử</w:t>
      </w:r>
      <w:r w:rsidR="00DC7ABC" w:rsidRPr="00EB6DED">
        <w:rPr>
          <w:rFonts w:ascii="Arial" w:hAnsi="Arial" w:cs="Arial"/>
          <w:sz w:val="20"/>
          <w:szCs w:val="20"/>
        </w:rPr>
        <w:t>a đổi, bổ sung một số điểm, khoả</w:t>
      </w:r>
      <w:r w:rsidR="006419E5" w:rsidRPr="00EB6DED">
        <w:rPr>
          <w:rFonts w:ascii="Arial" w:hAnsi="Arial" w:cs="Arial"/>
          <w:sz w:val="20"/>
          <w:szCs w:val="20"/>
        </w:rPr>
        <w:t>n của Điều 43 như sau:</w:t>
      </w:r>
    </w:p>
    <w:p w:rsidR="00765FDA" w:rsidRPr="00EB6DED" w:rsidRDefault="00DC7ABC" w:rsidP="00C00499">
      <w:pPr>
        <w:pStyle w:val="BodyText"/>
        <w:shd w:val="clear" w:color="auto" w:fill="auto"/>
        <w:tabs>
          <w:tab w:val="left" w:pos="114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Pr="00EB6DED">
        <w:rPr>
          <w:rFonts w:ascii="Arial" w:hAnsi="Arial" w:cs="Arial"/>
          <w:sz w:val="20"/>
          <w:szCs w:val="20"/>
        </w:rPr>
        <w:t>Sửa</w:t>
      </w:r>
      <w:r w:rsidR="006419E5" w:rsidRPr="00EB6DED">
        <w:rPr>
          <w:rFonts w:ascii="Arial" w:hAnsi="Arial" w:cs="Arial"/>
          <w:sz w:val="20"/>
          <w:szCs w:val="20"/>
        </w:rPr>
        <w:t xml:space="preserve"> đổi, bổ sung các điểm </w:t>
      </w:r>
      <w:r w:rsidR="006419E5" w:rsidRPr="00EB6DED">
        <w:rPr>
          <w:rFonts w:ascii="Arial" w:hAnsi="Arial" w:cs="Arial"/>
          <w:sz w:val="20"/>
          <w:szCs w:val="20"/>
          <w:lang w:val="en-US" w:eastAsia="en-US" w:bidi="en-US"/>
        </w:rPr>
        <w:t xml:space="preserve">a, </w:t>
      </w:r>
      <w:r w:rsidR="006419E5" w:rsidRPr="00EB6DED">
        <w:rPr>
          <w:rFonts w:ascii="Arial" w:hAnsi="Arial" w:cs="Arial"/>
          <w:sz w:val="20"/>
          <w:szCs w:val="20"/>
        </w:rPr>
        <w:t>b, c, d và đ khoản 1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“a) Thành lập tổ chức giám định tư pháp công lập; quyết định cho phép thành lập Văn phòng giám định tư pháp;</w:t>
      </w:r>
    </w:p>
    <w:p w:rsidR="00765FDA" w:rsidRPr="00EB6DED" w:rsidRDefault="00DC7ABC" w:rsidP="00C00499">
      <w:pPr>
        <w:pStyle w:val="BodyText"/>
        <w:shd w:val="clear" w:color="auto" w:fill="auto"/>
        <w:tabs>
          <w:tab w:val="left" w:pos="1141"/>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b) </w:t>
      </w:r>
      <w:r w:rsidR="006419E5" w:rsidRPr="00EB6DED">
        <w:rPr>
          <w:rFonts w:ascii="Arial" w:hAnsi="Arial" w:cs="Arial"/>
          <w:sz w:val="20"/>
          <w:szCs w:val="20"/>
        </w:rPr>
        <w:t xml:space="preserve">Bổ nhiệm, miễn nhiệm, cấp thẻ, thu hồi thẻ giám định viên tư pháp theo thẩm quyền; công nhận danh sách người giám định tư pháp theo vụ việc, tổ chức giám định tư pháp theo vụ việc ở địa phương; đăng tải và cập nhật danh sách cá nhân, tổ chức giám định tư pháp trên cổng thông tin điện tử của </w:t>
      </w:r>
      <w:r w:rsidR="0027113F" w:rsidRPr="00EB6DED">
        <w:rPr>
          <w:rFonts w:ascii="Arial" w:hAnsi="Arial" w:cs="Arial"/>
          <w:sz w:val="20"/>
          <w:szCs w:val="20"/>
        </w:rPr>
        <w:t>Ủy ban</w:t>
      </w:r>
      <w:r w:rsidR="006419E5" w:rsidRPr="00EB6DED">
        <w:rPr>
          <w:rFonts w:ascii="Arial" w:hAnsi="Arial" w:cs="Arial"/>
          <w:sz w:val="20"/>
          <w:szCs w:val="20"/>
        </w:rPr>
        <w:t xml:space="preserve"> nhân dân cấp tỉnh, đồng thời gửi danh sách đó cho Bộ Tư pháp;</w:t>
      </w:r>
    </w:p>
    <w:p w:rsidR="00765FDA" w:rsidRPr="00EB6DED" w:rsidRDefault="00DF3304" w:rsidP="00C00499">
      <w:pPr>
        <w:pStyle w:val="BodyText"/>
        <w:shd w:val="clear" w:color="auto" w:fill="auto"/>
        <w:tabs>
          <w:tab w:val="left" w:pos="1141"/>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c) </w:t>
      </w:r>
      <w:r w:rsidR="006419E5" w:rsidRPr="00EB6DED">
        <w:rPr>
          <w:rFonts w:ascii="Arial" w:hAnsi="Arial" w:cs="Arial"/>
          <w:sz w:val="20"/>
          <w:szCs w:val="20"/>
        </w:rPr>
        <w:t>Bảo đảm kinh phí, trang thiết bị, phương tiện giám định và điều kiện vật chất cần thiết khác cho cá nhân, tổ chức giám định tư pháp thuộc thẩm quyền quản lý;</w:t>
      </w:r>
    </w:p>
    <w:p w:rsidR="00765FDA" w:rsidRPr="00EB6DED" w:rsidRDefault="00CD6A12" w:rsidP="00C00499">
      <w:pPr>
        <w:pStyle w:val="BodyText"/>
        <w:shd w:val="clear" w:color="auto" w:fill="auto"/>
        <w:tabs>
          <w:tab w:val="left" w:pos="1136"/>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d) </w:t>
      </w:r>
      <w:r w:rsidR="006419E5" w:rsidRPr="00EB6DED">
        <w:rPr>
          <w:rFonts w:ascii="Arial" w:hAnsi="Arial" w:cs="Arial"/>
          <w:sz w:val="20"/>
          <w:szCs w:val="20"/>
        </w:rPr>
        <w:t>Tổ chức bồi dưỡng kiến thức pháp luật cho người giám định tư pháp ở địa phương;</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lastRenderedPageBreak/>
        <w:t xml:space="preserve">đ) Hằng năm, đánh giá chất lượng hoạt động của cá nhân, tổ chức giám định tư pháp ở địa phương theo quy định của Chính phủ, kịp thời tôn vinh, khen thưởng cá nhân, tổ chức giám định tư pháp có thành tích xuất sắc trong hoạt động </w:t>
      </w:r>
      <w:r w:rsidR="00E31F1D" w:rsidRPr="00EB6DED">
        <w:rPr>
          <w:rFonts w:ascii="Arial" w:hAnsi="Arial" w:cs="Arial"/>
          <w:sz w:val="20"/>
          <w:szCs w:val="20"/>
          <w:lang w:val="en-US"/>
        </w:rPr>
        <w:t xml:space="preserve">giám định </w:t>
      </w:r>
      <w:r w:rsidR="00792ADA" w:rsidRPr="00EB6DED">
        <w:rPr>
          <w:rFonts w:ascii="Arial" w:hAnsi="Arial" w:cs="Arial"/>
          <w:sz w:val="20"/>
          <w:szCs w:val="20"/>
        </w:rPr>
        <w:t>tư pháp và báo cáo kết quả</w:t>
      </w:r>
      <w:r w:rsidRPr="00EB6DED">
        <w:rPr>
          <w:rFonts w:ascii="Arial" w:hAnsi="Arial" w:cs="Arial"/>
          <w:sz w:val="20"/>
          <w:szCs w:val="20"/>
        </w:rPr>
        <w:t xml:space="preserve"> cho Bộ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b) Sửa đổi, bổ sung khoản 2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“2. Sở Tư pháp có trách nhiệm giúp </w:t>
      </w:r>
      <w:r w:rsidR="0027113F" w:rsidRPr="00EB6DED">
        <w:rPr>
          <w:rFonts w:ascii="Arial" w:hAnsi="Arial" w:cs="Arial"/>
          <w:sz w:val="20"/>
          <w:szCs w:val="20"/>
        </w:rPr>
        <w:t>Ủy ban</w:t>
      </w:r>
      <w:r w:rsidR="001E62FD" w:rsidRPr="00EB6DED">
        <w:rPr>
          <w:rFonts w:ascii="Arial" w:hAnsi="Arial" w:cs="Arial"/>
          <w:sz w:val="20"/>
          <w:szCs w:val="20"/>
        </w:rPr>
        <w:t xml:space="preserve"> nhân dân cấp tỉnh quả</w:t>
      </w:r>
      <w:r w:rsidRPr="00EB6DED">
        <w:rPr>
          <w:rFonts w:ascii="Arial" w:hAnsi="Arial" w:cs="Arial"/>
          <w:sz w:val="20"/>
          <w:szCs w:val="20"/>
        </w:rPr>
        <w:t xml:space="preserve">n lý nhà nước về giám định tư pháp ở địa phương; chủ trì, phối hợp với cơ quan chuyên môn khác giúp </w:t>
      </w:r>
      <w:r w:rsidR="0027113F" w:rsidRPr="00EB6DED">
        <w:rPr>
          <w:rFonts w:ascii="Arial" w:hAnsi="Arial" w:cs="Arial"/>
          <w:sz w:val="20"/>
          <w:szCs w:val="20"/>
        </w:rPr>
        <w:t>Ủy ban</w:t>
      </w:r>
      <w:r w:rsidRPr="00EB6DED">
        <w:rPr>
          <w:rFonts w:ascii="Arial" w:hAnsi="Arial" w:cs="Arial"/>
          <w:sz w:val="20"/>
          <w:szCs w:val="20"/>
        </w:rPr>
        <w:t xml:space="preserve"> nhân dân cấp tỉnh quản lý hoạt động của Văn phòng giám định tư pháp.</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Cơ quan chuyên môn thuộc </w:t>
      </w:r>
      <w:r w:rsidR="0027113F" w:rsidRPr="00EB6DED">
        <w:rPr>
          <w:rFonts w:ascii="Arial" w:hAnsi="Arial" w:cs="Arial"/>
          <w:sz w:val="20"/>
          <w:szCs w:val="20"/>
        </w:rPr>
        <w:t>Ủy ban</w:t>
      </w:r>
      <w:r w:rsidRPr="00EB6DED">
        <w:rPr>
          <w:rFonts w:ascii="Arial" w:hAnsi="Arial" w:cs="Arial"/>
          <w:sz w:val="20"/>
          <w:szCs w:val="20"/>
        </w:rPr>
        <w:t xml:space="preserve"> nhân dân cấp tỉnh quản lý lĩnh vực giám định tư pháp chịu trách nhiệm trước </w:t>
      </w:r>
      <w:r w:rsidR="0027113F" w:rsidRPr="00EB6DED">
        <w:rPr>
          <w:rFonts w:ascii="Arial" w:hAnsi="Arial" w:cs="Arial"/>
          <w:sz w:val="20"/>
          <w:szCs w:val="20"/>
        </w:rPr>
        <w:t>Ủy ban</w:t>
      </w:r>
      <w:r w:rsidRPr="00EB6DED">
        <w:rPr>
          <w:rFonts w:ascii="Arial" w:hAnsi="Arial" w:cs="Arial"/>
          <w:sz w:val="20"/>
          <w:szCs w:val="20"/>
        </w:rPr>
        <w:t xml:space="preserve"> nhân dân cấp tỉnh về tổ chức, hoạt động giám định tư pháp thuộc lĩnh vực quản lý; </w:t>
      </w:r>
      <w:r w:rsidR="0003531E" w:rsidRPr="00EB6DED">
        <w:rPr>
          <w:rFonts w:ascii="Arial" w:hAnsi="Arial" w:cs="Arial"/>
          <w:sz w:val="20"/>
          <w:szCs w:val="20"/>
        </w:rPr>
        <w:t>phối hợ</w:t>
      </w:r>
      <w:r w:rsidRPr="00EB6DED">
        <w:rPr>
          <w:rFonts w:ascii="Arial" w:hAnsi="Arial" w:cs="Arial"/>
          <w:sz w:val="20"/>
          <w:szCs w:val="20"/>
        </w:rPr>
        <w:t xml:space="preserve">p với Sở Tư pháp giúp </w:t>
      </w:r>
      <w:r w:rsidR="0027113F" w:rsidRPr="00EB6DED">
        <w:rPr>
          <w:rFonts w:ascii="Arial" w:hAnsi="Arial" w:cs="Arial"/>
          <w:sz w:val="20"/>
          <w:szCs w:val="20"/>
        </w:rPr>
        <w:t>Ủy ban</w:t>
      </w:r>
      <w:r w:rsidRPr="00EB6DED">
        <w:rPr>
          <w:rFonts w:ascii="Arial" w:hAnsi="Arial" w:cs="Arial"/>
          <w:sz w:val="20"/>
          <w:szCs w:val="20"/>
        </w:rPr>
        <w:t xml:space="preserve"> nhân dân cấp tỉnh trong quản lý nhà nước về giám định tư pháp ở địa phương; phân công đơn vị làm đầu mối giúp cơ quan chuyên môn trong việc quản lý công tác giám định tư pháp ở lĩnh vực thuộc thẩm quyền quản lý.”.</w:t>
      </w:r>
    </w:p>
    <w:p w:rsidR="00765FDA" w:rsidRPr="00EB6DED" w:rsidRDefault="005B127B" w:rsidP="00C00499">
      <w:pPr>
        <w:pStyle w:val="BodyText"/>
        <w:shd w:val="clear" w:color="auto" w:fill="auto"/>
        <w:tabs>
          <w:tab w:val="left" w:pos="120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26. </w:t>
      </w:r>
      <w:r w:rsidR="006419E5" w:rsidRPr="00EB6DED">
        <w:rPr>
          <w:rFonts w:ascii="Arial" w:hAnsi="Arial" w:cs="Arial"/>
          <w:sz w:val="20"/>
          <w:szCs w:val="20"/>
        </w:rPr>
        <w:t>Sửa đổi, bổ sung một số khoản của Điều 44 như sau:</w:t>
      </w:r>
    </w:p>
    <w:p w:rsidR="00765FDA" w:rsidRPr="00EB6DED" w:rsidRDefault="003060E3" w:rsidP="00C00499">
      <w:pPr>
        <w:pStyle w:val="BodyText"/>
        <w:shd w:val="clear" w:color="auto" w:fill="auto"/>
        <w:tabs>
          <w:tab w:val="left" w:pos="1070"/>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a) </w:t>
      </w:r>
      <w:r w:rsidR="006419E5" w:rsidRPr="00EB6DED">
        <w:rPr>
          <w:rFonts w:ascii="Arial" w:hAnsi="Arial" w:cs="Arial"/>
          <w:sz w:val="20"/>
          <w:szCs w:val="20"/>
        </w:rPr>
        <w:t>Sửa đổi, bổ sung khoản 2 như sau:</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“2. Ban hành chỉ tiêu thống kê, thực hiện thống kê về trưng cầu, đánh giá việc thực hiện giám định tư pháp và sử dụng kết luận giám định tư pháp, nhu cầu giám định trong hệ thống cơ quan Tòa án nhân dân, Viện kiểm sát nhân dân và báo cáo Quốc hội trong báo cáo công tác hằng năm, đồng thời gửi báo c</w:t>
      </w:r>
      <w:r w:rsidR="005F717B" w:rsidRPr="00EB6DED">
        <w:rPr>
          <w:rFonts w:ascii="Arial" w:hAnsi="Arial" w:cs="Arial"/>
          <w:sz w:val="20"/>
          <w:szCs w:val="20"/>
        </w:rPr>
        <w:t>áo về Bộ Tư pháp, bộ, ngành có li</w:t>
      </w:r>
      <w:r w:rsidRPr="00EB6DED">
        <w:rPr>
          <w:rFonts w:ascii="Arial" w:hAnsi="Arial" w:cs="Arial"/>
          <w:sz w:val="20"/>
          <w:szCs w:val="20"/>
        </w:rPr>
        <w:t>ên quan; chỉ đạo Tòa án nhân dân, Viện kiểm sát nhân dân cấp tỉnh gửi báo cáo về Sở Tư ph</w:t>
      </w:r>
      <w:r w:rsidR="005F717B" w:rsidRPr="00EB6DED">
        <w:rPr>
          <w:rFonts w:ascii="Arial" w:hAnsi="Arial" w:cs="Arial"/>
          <w:sz w:val="20"/>
          <w:szCs w:val="20"/>
        </w:rPr>
        <w:t>áp, đồng thời gửi sở, ngành có liên quan về tình hì</w:t>
      </w:r>
      <w:r w:rsidRPr="00EB6DED">
        <w:rPr>
          <w:rFonts w:ascii="Arial" w:hAnsi="Arial" w:cs="Arial"/>
          <w:sz w:val="20"/>
          <w:szCs w:val="20"/>
        </w:rPr>
        <w:t xml:space="preserve">nh trưng cầu giám định tư pháp, đánh giá việc thực hiện giám định tư pháp và sử dụng </w:t>
      </w:r>
      <w:r w:rsidR="00654344" w:rsidRPr="00EB6DED">
        <w:rPr>
          <w:rFonts w:ascii="Arial" w:hAnsi="Arial" w:cs="Arial"/>
          <w:sz w:val="20"/>
          <w:szCs w:val="20"/>
        </w:rPr>
        <w:t>kết</w:t>
      </w:r>
      <w:r w:rsidRPr="00EB6DED">
        <w:rPr>
          <w:rFonts w:ascii="Arial" w:hAnsi="Arial" w:cs="Arial"/>
          <w:sz w:val="20"/>
          <w:szCs w:val="20"/>
        </w:rPr>
        <w:t xml:space="preserve"> luận giám định tư pháp, nhu cầu giám định ở địa phương.”;</w:t>
      </w:r>
    </w:p>
    <w:p w:rsidR="00765FDA" w:rsidRPr="00EB6DED" w:rsidRDefault="00E61F3D" w:rsidP="00C00499">
      <w:pPr>
        <w:pStyle w:val="BodyText"/>
        <w:shd w:val="clear" w:color="auto" w:fill="auto"/>
        <w:tabs>
          <w:tab w:val="left" w:pos="1144"/>
        </w:tabs>
        <w:spacing w:after="120" w:line="240" w:lineRule="auto"/>
        <w:ind w:firstLine="720"/>
        <w:jc w:val="both"/>
        <w:rPr>
          <w:rFonts w:ascii="Arial" w:hAnsi="Arial" w:cs="Arial"/>
          <w:sz w:val="20"/>
          <w:szCs w:val="20"/>
          <w:lang w:val="en-US"/>
        </w:rPr>
      </w:pPr>
      <w:r w:rsidRPr="00EB6DED">
        <w:rPr>
          <w:rFonts w:ascii="Arial" w:hAnsi="Arial" w:cs="Arial"/>
          <w:sz w:val="20"/>
          <w:szCs w:val="20"/>
          <w:lang w:val="en-US"/>
        </w:rPr>
        <w:t xml:space="preserve">b) </w:t>
      </w:r>
      <w:r w:rsidR="006419E5" w:rsidRPr="00EB6DED">
        <w:rPr>
          <w:rFonts w:ascii="Arial" w:hAnsi="Arial" w:cs="Arial"/>
          <w:sz w:val="20"/>
          <w:szCs w:val="20"/>
        </w:rPr>
        <w:t>Sửa đổi, bổ sung khoản 4, bổ sung khoản 5 và khoản 6 vào sau khoản 4</w:t>
      </w:r>
      <w:r w:rsidR="00A212EF" w:rsidRPr="00EB6DED">
        <w:rPr>
          <w:rFonts w:ascii="Arial" w:hAnsi="Arial" w:cs="Arial"/>
          <w:sz w:val="20"/>
          <w:szCs w:val="20"/>
          <w:lang w:val="en-US"/>
        </w:rPr>
        <w:t xml:space="preserve"> </w:t>
      </w:r>
      <w:r w:rsidR="00A212EF" w:rsidRPr="00EB6DED">
        <w:rPr>
          <w:rFonts w:ascii="Arial" w:hAnsi="Arial" w:cs="Arial"/>
          <w:sz w:val="20"/>
          <w:szCs w:val="20"/>
        </w:rPr>
        <w:t>như sau</w:t>
      </w:r>
      <w:r w:rsidR="00A212EF" w:rsidRPr="00EB6DED">
        <w:rPr>
          <w:rFonts w:ascii="Arial" w:hAnsi="Arial" w:cs="Arial"/>
          <w:sz w:val="20"/>
          <w:szCs w:val="20"/>
          <w:lang w:val="en-US"/>
        </w:rPr>
        <w:t>:</w:t>
      </w:r>
    </w:p>
    <w:p w:rsidR="00765FDA" w:rsidRPr="00EB6DED" w:rsidRDefault="006419E5" w:rsidP="00C00499">
      <w:pPr>
        <w:pStyle w:val="BodyText"/>
        <w:shd w:val="clear" w:color="auto" w:fill="auto"/>
        <w:spacing w:after="120" w:line="240" w:lineRule="auto"/>
        <w:ind w:firstLine="720"/>
        <w:jc w:val="both"/>
        <w:rPr>
          <w:rFonts w:ascii="Arial" w:hAnsi="Arial" w:cs="Arial"/>
          <w:sz w:val="20"/>
          <w:szCs w:val="20"/>
        </w:rPr>
      </w:pPr>
      <w:r w:rsidRPr="00EB6DED">
        <w:rPr>
          <w:rFonts w:ascii="Arial" w:hAnsi="Arial" w:cs="Arial"/>
          <w:sz w:val="20"/>
          <w:szCs w:val="20"/>
        </w:rPr>
        <w:t xml:space="preserve">“4. Lập dự toán và đề nghị cơ quan có thẩm quyền cấp kinh phí bảo đảm </w:t>
      </w:r>
      <w:r w:rsidR="003E0AE5">
        <w:rPr>
          <w:rFonts w:ascii="Arial" w:hAnsi="Arial" w:cs="Arial"/>
          <w:sz w:val="20"/>
          <w:szCs w:val="20"/>
        </w:rPr>
        <w:t>chi trả chi phí giám định tư phá</w:t>
      </w:r>
      <w:r w:rsidRPr="00EB6DED">
        <w:rPr>
          <w:rFonts w:ascii="Arial" w:hAnsi="Arial" w:cs="Arial"/>
          <w:sz w:val="20"/>
          <w:szCs w:val="20"/>
        </w:rPr>
        <w:t xml:space="preserve">p, chi phí tham dự phiên tòa của người giám định trong </w:t>
      </w:r>
      <w:r w:rsidR="006030BD" w:rsidRPr="00EB6DED">
        <w:rPr>
          <w:rFonts w:ascii="Arial" w:hAnsi="Arial" w:cs="Arial"/>
          <w:sz w:val="20"/>
          <w:szCs w:val="20"/>
        </w:rPr>
        <w:t>hệ thống</w:t>
      </w:r>
      <w:r w:rsidR="003E0AE5">
        <w:rPr>
          <w:rFonts w:ascii="Arial" w:hAnsi="Arial" w:cs="Arial"/>
          <w:sz w:val="20"/>
          <w:szCs w:val="20"/>
        </w:rPr>
        <w:t xml:space="preserve"> cơ quan Tòa án nhân dân</w:t>
      </w:r>
      <w:r w:rsidRPr="00EB6DED">
        <w:rPr>
          <w:rFonts w:ascii="Arial" w:hAnsi="Arial" w:cs="Arial"/>
          <w:sz w:val="20"/>
          <w:szCs w:val="20"/>
        </w:rPr>
        <w:t xml:space="preserve">, Viện </w:t>
      </w:r>
      <w:r w:rsidR="00A84E92" w:rsidRPr="00EB6DED">
        <w:rPr>
          <w:rFonts w:ascii="Arial" w:hAnsi="Arial" w:cs="Arial"/>
          <w:sz w:val="20"/>
          <w:szCs w:val="20"/>
        </w:rPr>
        <w:t>kiểm sát</w:t>
      </w:r>
      <w:r w:rsidRPr="00EB6DED">
        <w:rPr>
          <w:rFonts w:ascii="Arial" w:hAnsi="Arial" w:cs="Arial"/>
          <w:sz w:val="20"/>
          <w:szCs w:val="20"/>
        </w:rPr>
        <w:t xml:space="preserve"> nhân dân; trường hợp kinh phí được cấp không đủ thì lập dự toán để cấp bổ s</w:t>
      </w:r>
      <w:r w:rsidR="00C13BEA" w:rsidRPr="00EB6DED">
        <w:rPr>
          <w:rFonts w:ascii="Arial" w:hAnsi="Arial" w:cs="Arial"/>
          <w:sz w:val="20"/>
          <w:szCs w:val="20"/>
        </w:rPr>
        <w:t>ung bảo đảm chi trả kịp thời, đầ</w:t>
      </w:r>
      <w:r w:rsidRPr="00EB6DED">
        <w:rPr>
          <w:rFonts w:ascii="Arial" w:hAnsi="Arial" w:cs="Arial"/>
          <w:sz w:val="20"/>
          <w:szCs w:val="20"/>
        </w:rPr>
        <w:t xml:space="preserve">y đủ chi phí giám định tư pháp và chi phí tham dự phiên tòa của người giám định theo quy định của pháp luật </w:t>
      </w:r>
      <w:r w:rsidR="00424861" w:rsidRPr="00EB6DED">
        <w:rPr>
          <w:rFonts w:ascii="Arial" w:hAnsi="Arial" w:cs="Arial"/>
          <w:sz w:val="20"/>
          <w:szCs w:val="20"/>
        </w:rPr>
        <w:t>về</w:t>
      </w:r>
      <w:r w:rsidRPr="00EB6DED">
        <w:rPr>
          <w:rFonts w:ascii="Arial" w:hAnsi="Arial" w:cs="Arial"/>
          <w:sz w:val="20"/>
          <w:szCs w:val="20"/>
        </w:rPr>
        <w:t xml:space="preserve"> ngân sách nhà nước.</w:t>
      </w:r>
    </w:p>
    <w:p w:rsidR="00765FDA" w:rsidRPr="00EB6DED" w:rsidRDefault="00424861" w:rsidP="00C00499">
      <w:pPr>
        <w:pStyle w:val="BodyText"/>
        <w:shd w:val="clear" w:color="auto" w:fill="auto"/>
        <w:tabs>
          <w:tab w:val="left" w:pos="104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5. </w:t>
      </w:r>
      <w:r w:rsidR="006419E5" w:rsidRPr="00EB6DED">
        <w:rPr>
          <w:rFonts w:ascii="Arial" w:hAnsi="Arial" w:cs="Arial"/>
          <w:sz w:val="20"/>
          <w:szCs w:val="20"/>
        </w:rPr>
        <w:t>Chánh án Tòa án nhân dân tối cao quy định việc bố trí vị trí của người giám định tư pháp khi tham gia tố tụng tại phiên tòa.</w:t>
      </w:r>
    </w:p>
    <w:p w:rsidR="00765FDA" w:rsidRPr="00EB6DED" w:rsidRDefault="00DD3D68" w:rsidP="00C00499">
      <w:pPr>
        <w:pStyle w:val="BodyText"/>
        <w:shd w:val="clear" w:color="auto" w:fill="auto"/>
        <w:tabs>
          <w:tab w:val="left" w:pos="1065"/>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6. </w:t>
      </w:r>
      <w:r w:rsidR="006419E5" w:rsidRPr="00EB6DED">
        <w:rPr>
          <w:rFonts w:ascii="Arial" w:hAnsi="Arial" w:cs="Arial"/>
          <w:sz w:val="20"/>
          <w:szCs w:val="20"/>
        </w:rPr>
        <w:t>Viện kiểm sát nhân dân tối</w:t>
      </w:r>
      <w:r w:rsidR="006052BA" w:rsidRPr="00EB6DED">
        <w:rPr>
          <w:rFonts w:ascii="Arial" w:hAnsi="Arial" w:cs="Arial"/>
          <w:sz w:val="20"/>
          <w:szCs w:val="20"/>
        </w:rPr>
        <w:t xml:space="preserve"> cao có trách nhiệm chủ trì,</w:t>
      </w:r>
      <w:r w:rsidR="006419E5" w:rsidRPr="00EB6DED">
        <w:rPr>
          <w:rFonts w:ascii="Arial" w:hAnsi="Arial" w:cs="Arial"/>
          <w:sz w:val="20"/>
          <w:szCs w:val="20"/>
        </w:rPr>
        <w:t xml:space="preserve"> phối hợp với Bộ Tư pháp trong việc thành lập, củng cố, kiện toàn tổ chức của Phòng giám định kỹ thuật hình sự thuộc Viện kiểm sát nhân dân tối cao; đăng tải và cập nhật danh sách giám định viên tư pháp trên cổng thông tin điện tử </w:t>
      </w:r>
      <w:r w:rsidR="00CD01CF" w:rsidRPr="00EB6DED">
        <w:rPr>
          <w:rFonts w:ascii="Arial" w:hAnsi="Arial" w:cs="Arial"/>
          <w:sz w:val="20"/>
          <w:szCs w:val="20"/>
        </w:rPr>
        <w:t>của</w:t>
      </w:r>
      <w:r w:rsidR="006419E5" w:rsidRPr="00EB6DED">
        <w:rPr>
          <w:rFonts w:ascii="Arial" w:hAnsi="Arial" w:cs="Arial"/>
          <w:sz w:val="20"/>
          <w:szCs w:val="20"/>
        </w:rPr>
        <w:t xml:space="preserve"> Viện </w:t>
      </w:r>
      <w:r w:rsidR="00A84E92" w:rsidRPr="00EB6DED">
        <w:rPr>
          <w:rFonts w:ascii="Arial" w:hAnsi="Arial" w:cs="Arial"/>
          <w:sz w:val="20"/>
          <w:szCs w:val="20"/>
        </w:rPr>
        <w:t>kiểm sát</w:t>
      </w:r>
      <w:r w:rsidR="003A1DBA" w:rsidRPr="00EB6DED">
        <w:rPr>
          <w:rFonts w:ascii="Arial" w:hAnsi="Arial" w:cs="Arial"/>
          <w:sz w:val="20"/>
          <w:szCs w:val="20"/>
        </w:rPr>
        <w:t xml:space="preserve"> nhân dân tối cao, đồ</w:t>
      </w:r>
      <w:r w:rsidR="006419E5" w:rsidRPr="00EB6DED">
        <w:rPr>
          <w:rFonts w:ascii="Arial" w:hAnsi="Arial" w:cs="Arial"/>
          <w:sz w:val="20"/>
          <w:szCs w:val="20"/>
        </w:rPr>
        <w:t xml:space="preserve">ng thời gửi danh sách đó cho Bộ Tư pháp; </w:t>
      </w:r>
      <w:r w:rsidR="003A1DBA" w:rsidRPr="00EB6DED">
        <w:rPr>
          <w:rFonts w:ascii="Arial" w:hAnsi="Arial" w:cs="Arial"/>
          <w:sz w:val="20"/>
          <w:szCs w:val="20"/>
        </w:rPr>
        <w:t>kiểm</w:t>
      </w:r>
      <w:r w:rsidR="006419E5" w:rsidRPr="00EB6DED">
        <w:rPr>
          <w:rFonts w:ascii="Arial" w:hAnsi="Arial" w:cs="Arial"/>
          <w:sz w:val="20"/>
          <w:szCs w:val="20"/>
        </w:rPr>
        <w:t xml:space="preserve"> tra, thanh tra và giải quyết khiếu nại, tố cáo về tổ chức, hoạt động giám định tư pháp của Phòng giám định kỹ thuật hình sự thuộc thẩm quyền quản lý; hằng năm, đánh giá </w:t>
      </w:r>
      <w:r w:rsidR="006B5E56" w:rsidRPr="00EB6DED">
        <w:rPr>
          <w:rFonts w:ascii="Arial" w:hAnsi="Arial" w:cs="Arial"/>
          <w:sz w:val="20"/>
          <w:szCs w:val="20"/>
        </w:rPr>
        <w:t>chất</w:t>
      </w:r>
      <w:r w:rsidR="006419E5" w:rsidRPr="00EB6DED">
        <w:rPr>
          <w:rFonts w:ascii="Arial" w:hAnsi="Arial" w:cs="Arial"/>
          <w:sz w:val="20"/>
          <w:szCs w:val="20"/>
        </w:rPr>
        <w:t xml:space="preserve"> lượng hoạt động giám định tư pháp thuộc </w:t>
      </w:r>
      <w:r w:rsidR="00197445" w:rsidRPr="00EB6DED">
        <w:rPr>
          <w:rFonts w:ascii="Arial" w:hAnsi="Arial" w:cs="Arial"/>
          <w:sz w:val="20"/>
          <w:szCs w:val="20"/>
        </w:rPr>
        <w:t>thẩm quyền</w:t>
      </w:r>
      <w:r w:rsidR="00793C55" w:rsidRPr="00EB6DED">
        <w:rPr>
          <w:rFonts w:ascii="Arial" w:hAnsi="Arial" w:cs="Arial"/>
          <w:sz w:val="20"/>
          <w:szCs w:val="20"/>
        </w:rPr>
        <w:t xml:space="preserve"> quản lý</w:t>
      </w:r>
      <w:r w:rsidR="007A6097">
        <w:rPr>
          <w:rFonts w:ascii="Arial" w:hAnsi="Arial" w:cs="Arial"/>
          <w:sz w:val="20"/>
          <w:szCs w:val="20"/>
          <w:lang w:val="en-SG"/>
        </w:rPr>
        <w:t>;</w:t>
      </w:r>
      <w:r w:rsidR="006419E5" w:rsidRPr="00EB6DED">
        <w:rPr>
          <w:rFonts w:ascii="Arial" w:hAnsi="Arial" w:cs="Arial"/>
          <w:sz w:val="20"/>
          <w:szCs w:val="20"/>
        </w:rPr>
        <w:t xml:space="preserve"> kịp thời tôn vinh, </w:t>
      </w:r>
      <w:r w:rsidR="00793C55" w:rsidRPr="00EB6DED">
        <w:rPr>
          <w:rFonts w:ascii="Arial" w:hAnsi="Arial" w:cs="Arial"/>
          <w:sz w:val="20"/>
          <w:szCs w:val="20"/>
        </w:rPr>
        <w:t>khen thưởng cá nhân, tổ chức giá</w:t>
      </w:r>
      <w:r w:rsidR="006419E5" w:rsidRPr="00EB6DED">
        <w:rPr>
          <w:rFonts w:ascii="Arial" w:hAnsi="Arial" w:cs="Arial"/>
          <w:sz w:val="20"/>
          <w:szCs w:val="20"/>
        </w:rPr>
        <w:t xml:space="preserve">m định tư pháp thuộc thẩm quyền quản lý có thành tích xuất sắc trong hoạt động giám định tư pháp; trước ngày 31 tháng 12 hằng năm, tổng kết về tổ chức, hoạt động giám định tư pháp thuộc </w:t>
      </w:r>
      <w:r w:rsidR="00C155BD" w:rsidRPr="00EB6DED">
        <w:rPr>
          <w:rFonts w:ascii="Arial" w:hAnsi="Arial" w:cs="Arial"/>
          <w:sz w:val="20"/>
          <w:szCs w:val="20"/>
        </w:rPr>
        <w:t>thẩm</w:t>
      </w:r>
      <w:r w:rsidR="006419E5" w:rsidRPr="00EB6DED">
        <w:rPr>
          <w:rFonts w:ascii="Arial" w:hAnsi="Arial" w:cs="Arial"/>
          <w:sz w:val="20"/>
          <w:szCs w:val="20"/>
        </w:rPr>
        <w:t xml:space="preserve"> quyền quản lý và gửi báo cáo về Bộ Tư pháp để tổng hợp báo cáo Chính phủ.”.</w:t>
      </w:r>
    </w:p>
    <w:p w:rsidR="00765FDA" w:rsidRPr="00EB6DED" w:rsidRDefault="00D1744F" w:rsidP="00C00499">
      <w:pPr>
        <w:pStyle w:val="BodyText"/>
        <w:shd w:val="clear" w:color="auto" w:fill="auto"/>
        <w:tabs>
          <w:tab w:val="left" w:pos="1243"/>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27. </w:t>
      </w:r>
      <w:r w:rsidR="006419E5" w:rsidRPr="00EB6DED">
        <w:rPr>
          <w:rFonts w:ascii="Arial" w:hAnsi="Arial" w:cs="Arial"/>
          <w:sz w:val="20"/>
          <w:szCs w:val="20"/>
        </w:rPr>
        <w:t>Bãi bỏ khoản 3 Điều 45.</w:t>
      </w:r>
    </w:p>
    <w:p w:rsidR="00765FDA" w:rsidRPr="00EB6DED" w:rsidRDefault="00382BCA" w:rsidP="00C00499">
      <w:pPr>
        <w:pStyle w:val="BodyText"/>
        <w:shd w:val="clear" w:color="auto" w:fill="auto"/>
        <w:tabs>
          <w:tab w:val="left" w:pos="1198"/>
        </w:tabs>
        <w:spacing w:after="120" w:line="240" w:lineRule="auto"/>
        <w:ind w:firstLine="720"/>
        <w:jc w:val="both"/>
        <w:rPr>
          <w:rFonts w:ascii="Arial" w:hAnsi="Arial" w:cs="Arial"/>
          <w:sz w:val="20"/>
          <w:szCs w:val="20"/>
        </w:rPr>
      </w:pPr>
      <w:r w:rsidRPr="00EB6DED">
        <w:rPr>
          <w:rFonts w:ascii="Arial" w:hAnsi="Arial" w:cs="Arial"/>
          <w:sz w:val="20"/>
          <w:szCs w:val="20"/>
          <w:lang w:val="en-US"/>
        </w:rPr>
        <w:t xml:space="preserve">28. </w:t>
      </w:r>
      <w:r w:rsidR="006419E5" w:rsidRPr="00EB6DED">
        <w:rPr>
          <w:rFonts w:ascii="Arial" w:hAnsi="Arial" w:cs="Arial"/>
          <w:sz w:val="20"/>
          <w:szCs w:val="20"/>
        </w:rPr>
        <w:t xml:space="preserve">Thay thế cụm từ “cơ quan chuyên môn của </w:t>
      </w:r>
      <w:r w:rsidR="0027113F" w:rsidRPr="00EB6DED">
        <w:rPr>
          <w:rFonts w:ascii="Arial" w:hAnsi="Arial" w:cs="Arial"/>
          <w:sz w:val="20"/>
          <w:szCs w:val="20"/>
        </w:rPr>
        <w:t>Ủy ban</w:t>
      </w:r>
      <w:r w:rsidR="006419E5" w:rsidRPr="00EB6DED">
        <w:rPr>
          <w:rFonts w:ascii="Arial" w:hAnsi="Arial" w:cs="Arial"/>
          <w:sz w:val="20"/>
          <w:szCs w:val="20"/>
        </w:rPr>
        <w:t xml:space="preserve"> nhân dân cấp tỉnh” bằng cụm từ “cơ quan chuyên môn thuộc </w:t>
      </w:r>
      <w:r w:rsidR="0027113F" w:rsidRPr="00EB6DED">
        <w:rPr>
          <w:rFonts w:ascii="Arial" w:hAnsi="Arial" w:cs="Arial"/>
          <w:sz w:val="20"/>
          <w:szCs w:val="20"/>
        </w:rPr>
        <w:t>Ủy ban</w:t>
      </w:r>
      <w:r w:rsidR="00280DD9" w:rsidRPr="00EB6DED">
        <w:rPr>
          <w:rFonts w:ascii="Arial" w:hAnsi="Arial" w:cs="Arial"/>
          <w:sz w:val="20"/>
          <w:szCs w:val="20"/>
        </w:rPr>
        <w:t xml:space="preserve"> nhân dân cấp tỉ</w:t>
      </w:r>
      <w:r w:rsidR="006419E5" w:rsidRPr="00EB6DED">
        <w:rPr>
          <w:rFonts w:ascii="Arial" w:hAnsi="Arial" w:cs="Arial"/>
          <w:sz w:val="20"/>
          <w:szCs w:val="20"/>
        </w:rPr>
        <w:t>nh” tại khoản 3 Điều 16, khoản 3 Điều 17 và khoản 3 Điều 19.</w:t>
      </w:r>
    </w:p>
    <w:p w:rsidR="00765FDA" w:rsidRPr="00EB6DED" w:rsidRDefault="006419E5" w:rsidP="00C00499">
      <w:pPr>
        <w:pStyle w:val="BodyText"/>
        <w:shd w:val="clear" w:color="auto" w:fill="auto"/>
        <w:spacing w:after="120" w:line="240" w:lineRule="auto"/>
        <w:ind w:firstLine="720"/>
        <w:jc w:val="both"/>
        <w:rPr>
          <w:rFonts w:ascii="Arial" w:hAnsi="Arial" w:cs="Arial"/>
          <w:b/>
          <w:sz w:val="20"/>
          <w:szCs w:val="20"/>
        </w:rPr>
      </w:pPr>
      <w:r w:rsidRPr="00EB6DED">
        <w:rPr>
          <w:rFonts w:ascii="Arial" w:hAnsi="Arial" w:cs="Arial"/>
          <w:b/>
          <w:sz w:val="20"/>
          <w:szCs w:val="20"/>
        </w:rPr>
        <w:t>Điều. 2. Hiệu lực thi hành</w:t>
      </w:r>
    </w:p>
    <w:p w:rsidR="00765FDA" w:rsidRPr="00EB6DED" w:rsidRDefault="006419E5" w:rsidP="00C00499">
      <w:pPr>
        <w:pStyle w:val="BodyText"/>
        <w:shd w:val="clear" w:color="auto" w:fill="auto"/>
        <w:spacing w:after="0" w:line="240" w:lineRule="auto"/>
        <w:ind w:firstLine="720"/>
        <w:jc w:val="both"/>
        <w:rPr>
          <w:rFonts w:ascii="Arial" w:hAnsi="Arial" w:cs="Arial"/>
          <w:sz w:val="20"/>
          <w:szCs w:val="20"/>
        </w:rPr>
      </w:pPr>
      <w:r w:rsidRPr="00EB6DED">
        <w:rPr>
          <w:rFonts w:ascii="Arial" w:hAnsi="Arial" w:cs="Arial"/>
          <w:sz w:val="20"/>
          <w:szCs w:val="20"/>
        </w:rPr>
        <w:t>Luật này có hiệu lực thi hành từ ngày 01 tháng 01 năm 2021.</w:t>
      </w:r>
    </w:p>
    <w:p w:rsidR="00D65C22" w:rsidRPr="00EB6DED" w:rsidRDefault="00D65C22" w:rsidP="00C00499">
      <w:pPr>
        <w:pStyle w:val="BodyText"/>
        <w:shd w:val="clear" w:color="auto" w:fill="auto"/>
        <w:spacing w:after="0" w:line="240" w:lineRule="auto"/>
        <w:ind w:firstLine="720"/>
        <w:jc w:val="both"/>
        <w:rPr>
          <w:rFonts w:ascii="Arial" w:hAnsi="Arial" w:cs="Arial"/>
          <w:sz w:val="20"/>
          <w:szCs w:val="20"/>
        </w:rPr>
      </w:pPr>
    </w:p>
    <w:p w:rsidR="00D65C22" w:rsidRPr="00EB6DED" w:rsidRDefault="00D65C22" w:rsidP="00C00499">
      <w:pPr>
        <w:pStyle w:val="BodyText"/>
        <w:shd w:val="clear" w:color="auto" w:fill="auto"/>
        <w:spacing w:after="120" w:line="240" w:lineRule="auto"/>
        <w:ind w:firstLine="720"/>
        <w:jc w:val="both"/>
        <w:rPr>
          <w:rFonts w:ascii="Arial" w:hAnsi="Arial" w:cs="Arial"/>
          <w:sz w:val="20"/>
          <w:szCs w:val="20"/>
          <w:lang w:val="en-US"/>
        </w:rPr>
      </w:pPr>
      <w:r w:rsidRPr="00EB6DED">
        <w:rPr>
          <w:rFonts w:ascii="Arial" w:hAnsi="Arial" w:cs="Arial"/>
          <w:sz w:val="20"/>
          <w:szCs w:val="20"/>
          <w:lang w:val="en-US"/>
        </w:rPr>
        <w:t>____________________________________</w:t>
      </w:r>
    </w:p>
    <w:p w:rsidR="00765FDA" w:rsidRPr="00EB6DED" w:rsidRDefault="006419E5" w:rsidP="00C00499">
      <w:pPr>
        <w:pStyle w:val="BodyText"/>
        <w:shd w:val="clear" w:color="auto" w:fill="auto"/>
        <w:spacing w:after="0" w:line="240" w:lineRule="auto"/>
        <w:ind w:firstLine="720"/>
        <w:jc w:val="both"/>
        <w:rPr>
          <w:rFonts w:ascii="Arial" w:hAnsi="Arial" w:cs="Arial"/>
          <w:sz w:val="20"/>
          <w:szCs w:val="20"/>
        </w:rPr>
        <w:sectPr w:rsidR="00765FDA" w:rsidRPr="00EB6DED" w:rsidSect="00EF4481">
          <w:footerReference w:type="default" r:id="rId7"/>
          <w:pgSz w:w="11900" w:h="16840" w:code="9"/>
          <w:pgMar w:top="1440" w:right="1440" w:bottom="1440" w:left="1440" w:header="0" w:footer="0" w:gutter="0"/>
          <w:cols w:space="720"/>
          <w:noEndnote/>
          <w:docGrid w:linePitch="360"/>
        </w:sectPr>
      </w:pPr>
      <w:r w:rsidRPr="00EB6DED">
        <w:rPr>
          <w:rFonts w:ascii="Arial" w:hAnsi="Arial" w:cs="Arial"/>
          <w:i/>
          <w:iCs/>
          <w:sz w:val="20"/>
          <w:szCs w:val="20"/>
        </w:rPr>
        <w:t>Luậ</w:t>
      </w:r>
      <w:r w:rsidR="00D65C22" w:rsidRPr="00EB6DED">
        <w:rPr>
          <w:rFonts w:ascii="Arial" w:hAnsi="Arial" w:cs="Arial"/>
          <w:i/>
          <w:iCs/>
          <w:sz w:val="20"/>
          <w:szCs w:val="20"/>
        </w:rPr>
        <w:t>t này được Quốc hội nước Cộng hò</w:t>
      </w:r>
      <w:r w:rsidRPr="00EB6DED">
        <w:rPr>
          <w:rFonts w:ascii="Arial" w:hAnsi="Arial" w:cs="Arial"/>
          <w:i/>
          <w:iCs/>
          <w:sz w:val="20"/>
          <w:szCs w:val="20"/>
        </w:rPr>
        <w:t>a xã hội chủ nghĩa Việt Nam khóa XIV, kỳ họp thứ 9 thông qua ngày 10 tháng 6 năm 2020.</w:t>
      </w:r>
    </w:p>
    <w:p w:rsidR="00765FDA" w:rsidRPr="00EB6DED" w:rsidRDefault="00765FDA" w:rsidP="00C00499">
      <w:pPr>
        <w:ind w:firstLine="720"/>
        <w:jc w:val="both"/>
        <w:rPr>
          <w:rFonts w:ascii="Arial" w:hAnsi="Arial" w:cs="Arial"/>
          <w:sz w:val="20"/>
          <w:szCs w:val="20"/>
        </w:rPr>
      </w:pPr>
    </w:p>
    <w:tbl>
      <w:tblPr>
        <w:tblW w:w="5000" w:type="pct"/>
        <w:tblLook w:val="04A0" w:firstRow="1" w:lastRow="0" w:firstColumn="1" w:lastColumn="0" w:noHBand="0" w:noVBand="1"/>
      </w:tblPr>
      <w:tblGrid>
        <w:gridCol w:w="4533"/>
        <w:gridCol w:w="4487"/>
      </w:tblGrid>
      <w:tr w:rsidR="00A212EF" w:rsidRPr="006419E5" w:rsidTr="000A5148">
        <w:trPr>
          <w:trHeight w:val="340"/>
        </w:trPr>
        <w:tc>
          <w:tcPr>
            <w:tcW w:w="2513" w:type="pct"/>
            <w:shd w:val="clear" w:color="auto" w:fill="auto"/>
          </w:tcPr>
          <w:p w:rsidR="00A212EF" w:rsidRPr="006419E5" w:rsidRDefault="00A212EF" w:rsidP="006419E5">
            <w:pPr>
              <w:jc w:val="center"/>
              <w:rPr>
                <w:rFonts w:ascii="Arial" w:hAnsi="Arial" w:cs="Arial"/>
                <w:sz w:val="20"/>
                <w:szCs w:val="20"/>
              </w:rPr>
            </w:pPr>
          </w:p>
        </w:tc>
        <w:tc>
          <w:tcPr>
            <w:tcW w:w="2487" w:type="pct"/>
            <w:shd w:val="clear" w:color="auto" w:fill="auto"/>
          </w:tcPr>
          <w:p w:rsidR="00A212EF" w:rsidRDefault="00A212EF" w:rsidP="006419E5">
            <w:pPr>
              <w:pStyle w:val="Bodytext20"/>
              <w:shd w:val="clear" w:color="auto" w:fill="auto"/>
              <w:spacing w:line="240" w:lineRule="auto"/>
              <w:jc w:val="center"/>
              <w:rPr>
                <w:rFonts w:ascii="Arial" w:hAnsi="Arial" w:cs="Arial"/>
                <w:sz w:val="20"/>
                <w:szCs w:val="20"/>
              </w:rPr>
            </w:pPr>
            <w:r w:rsidRPr="006419E5">
              <w:rPr>
                <w:rFonts w:ascii="Arial" w:hAnsi="Arial" w:cs="Arial"/>
                <w:sz w:val="20"/>
                <w:szCs w:val="20"/>
              </w:rPr>
              <w:t xml:space="preserve">CHỦ TỊCH </w:t>
            </w:r>
            <w:r w:rsidR="00B56B95" w:rsidRPr="006419E5">
              <w:rPr>
                <w:rFonts w:ascii="Arial" w:hAnsi="Arial" w:cs="Arial"/>
                <w:sz w:val="20"/>
                <w:szCs w:val="20"/>
              </w:rPr>
              <w:t>QUỐC</w:t>
            </w:r>
            <w:r w:rsidRPr="006419E5">
              <w:rPr>
                <w:rFonts w:ascii="Arial" w:hAnsi="Arial" w:cs="Arial"/>
                <w:sz w:val="20"/>
                <w:szCs w:val="20"/>
              </w:rPr>
              <w:t xml:space="preserve"> HỘI</w:t>
            </w:r>
          </w:p>
          <w:p w:rsidR="000A5148" w:rsidRPr="006419E5" w:rsidRDefault="000A5148" w:rsidP="000A5148">
            <w:pPr>
              <w:pStyle w:val="Bodytext20"/>
              <w:shd w:val="clear" w:color="auto" w:fill="auto"/>
              <w:spacing w:line="240" w:lineRule="auto"/>
              <w:rPr>
                <w:rFonts w:ascii="Arial" w:hAnsi="Arial" w:cs="Arial"/>
                <w:sz w:val="20"/>
                <w:szCs w:val="20"/>
              </w:rPr>
            </w:pPr>
          </w:p>
          <w:p w:rsidR="00A212EF" w:rsidRPr="006419E5" w:rsidRDefault="00A212EF" w:rsidP="000A5148">
            <w:pPr>
              <w:pStyle w:val="BodyText"/>
              <w:shd w:val="clear" w:color="auto" w:fill="auto"/>
              <w:spacing w:after="0" w:line="240" w:lineRule="auto"/>
              <w:ind w:firstLine="0"/>
              <w:jc w:val="center"/>
              <w:rPr>
                <w:rFonts w:ascii="Arial" w:hAnsi="Arial" w:cs="Arial"/>
                <w:sz w:val="20"/>
                <w:szCs w:val="20"/>
              </w:rPr>
            </w:pPr>
            <w:r w:rsidRPr="006419E5">
              <w:rPr>
                <w:rFonts w:ascii="Arial" w:hAnsi="Arial" w:cs="Arial"/>
                <w:b/>
                <w:i/>
                <w:iCs/>
                <w:sz w:val="20"/>
                <w:szCs w:val="20"/>
              </w:rPr>
              <w:lastRenderedPageBreak/>
              <w:t>Đã ký:</w:t>
            </w:r>
            <w:r w:rsidR="00B56B95" w:rsidRPr="006419E5">
              <w:rPr>
                <w:rFonts w:ascii="Arial" w:hAnsi="Arial" w:cs="Arial"/>
                <w:b/>
                <w:sz w:val="20"/>
                <w:szCs w:val="20"/>
              </w:rPr>
              <w:t xml:space="preserve"> Nguyễn Thị Kim </w:t>
            </w:r>
            <w:r w:rsidRPr="006419E5">
              <w:rPr>
                <w:rFonts w:ascii="Arial" w:hAnsi="Arial" w:cs="Arial"/>
                <w:b/>
                <w:sz w:val="20"/>
                <w:szCs w:val="20"/>
              </w:rPr>
              <w:t>Ngân</w:t>
            </w:r>
          </w:p>
        </w:tc>
      </w:tr>
    </w:tbl>
    <w:p w:rsidR="00765FDA" w:rsidRPr="00EB6DED" w:rsidRDefault="00765FDA" w:rsidP="000A5148">
      <w:pPr>
        <w:spacing w:after="120"/>
        <w:ind w:firstLine="720"/>
        <w:jc w:val="both"/>
        <w:rPr>
          <w:rFonts w:ascii="Arial" w:hAnsi="Arial" w:cs="Arial"/>
          <w:sz w:val="20"/>
          <w:szCs w:val="20"/>
        </w:rPr>
      </w:pPr>
    </w:p>
    <w:sectPr w:rsidR="00765FDA" w:rsidRPr="00EB6DED" w:rsidSect="00A212EF">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E8E" w:rsidRDefault="00C21E8E">
      <w:r>
        <w:separator/>
      </w:r>
    </w:p>
  </w:endnote>
  <w:endnote w:type="continuationSeparator" w:id="0">
    <w:p w:rsidR="00C21E8E" w:rsidRDefault="00C2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481" w:rsidRDefault="00EF4481">
    <w:pPr>
      <w:pStyle w:val="Footer"/>
    </w:pPr>
    <w:r w:rsidRPr="001256AD">
      <w:rPr>
        <w:noProof/>
        <w:lang w:val="en-SG" w:eastAsia="en-SG" w:bidi="ar-SA"/>
      </w:rPr>
      <w:drawing>
        <wp:inline distT="0" distB="0" distL="0" distR="0">
          <wp:extent cx="5725795" cy="57721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795" cy="57721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E8E" w:rsidRDefault="00C21E8E"/>
  </w:footnote>
  <w:footnote w:type="continuationSeparator" w:id="0">
    <w:p w:rsidR="00C21E8E" w:rsidRDefault="00C21E8E"/>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3875"/>
    <w:multiLevelType w:val="multilevel"/>
    <w:tmpl w:val="3912C73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67756E"/>
    <w:multiLevelType w:val="multilevel"/>
    <w:tmpl w:val="82FEE34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44110C"/>
    <w:multiLevelType w:val="multilevel"/>
    <w:tmpl w:val="581488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32408E"/>
    <w:multiLevelType w:val="multilevel"/>
    <w:tmpl w:val="AD3EC82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333884"/>
    <w:multiLevelType w:val="multilevel"/>
    <w:tmpl w:val="C284BC7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641388"/>
    <w:multiLevelType w:val="multilevel"/>
    <w:tmpl w:val="18B4F344"/>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6A5E0C"/>
    <w:multiLevelType w:val="multilevel"/>
    <w:tmpl w:val="959E7C5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660DF2"/>
    <w:multiLevelType w:val="multilevel"/>
    <w:tmpl w:val="6D14FA4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B31BB5"/>
    <w:multiLevelType w:val="multilevel"/>
    <w:tmpl w:val="525288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3A675F"/>
    <w:multiLevelType w:val="multilevel"/>
    <w:tmpl w:val="E87EB03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8D106F4"/>
    <w:multiLevelType w:val="multilevel"/>
    <w:tmpl w:val="B79EA0A2"/>
    <w:lvl w:ilvl="0">
      <w:start w:val="2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90A2EE0"/>
    <w:multiLevelType w:val="multilevel"/>
    <w:tmpl w:val="1548F21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0F47E5"/>
    <w:multiLevelType w:val="multilevel"/>
    <w:tmpl w:val="D542EDE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BE0C71"/>
    <w:multiLevelType w:val="multilevel"/>
    <w:tmpl w:val="D6D4FED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870F92"/>
    <w:multiLevelType w:val="multilevel"/>
    <w:tmpl w:val="04EE95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293A20"/>
    <w:multiLevelType w:val="multilevel"/>
    <w:tmpl w:val="5C4645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6863BD9"/>
    <w:multiLevelType w:val="multilevel"/>
    <w:tmpl w:val="7124F028"/>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B84453F"/>
    <w:multiLevelType w:val="multilevel"/>
    <w:tmpl w:val="7B34F0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0773F8"/>
    <w:multiLevelType w:val="multilevel"/>
    <w:tmpl w:val="94A03E3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1980386"/>
    <w:multiLevelType w:val="multilevel"/>
    <w:tmpl w:val="970AD4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7546BE5"/>
    <w:multiLevelType w:val="multilevel"/>
    <w:tmpl w:val="F5F083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E83A45"/>
    <w:multiLevelType w:val="multilevel"/>
    <w:tmpl w:val="429E168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D6D5C02"/>
    <w:multiLevelType w:val="multilevel"/>
    <w:tmpl w:val="F3F210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2D01519"/>
    <w:multiLevelType w:val="multilevel"/>
    <w:tmpl w:val="0ADE20B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FA0D44"/>
    <w:multiLevelType w:val="multilevel"/>
    <w:tmpl w:val="1BDABC2A"/>
    <w:lvl w:ilvl="0">
      <w:start w:val="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2B02304"/>
    <w:multiLevelType w:val="multilevel"/>
    <w:tmpl w:val="F258BCE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7B34DF3"/>
    <w:multiLevelType w:val="multilevel"/>
    <w:tmpl w:val="5B60D32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8DD03CE"/>
    <w:multiLevelType w:val="multilevel"/>
    <w:tmpl w:val="55F634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E545EC"/>
    <w:multiLevelType w:val="multilevel"/>
    <w:tmpl w:val="53A449C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434BA5"/>
    <w:multiLevelType w:val="multilevel"/>
    <w:tmpl w:val="600867E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A097569"/>
    <w:multiLevelType w:val="multilevel"/>
    <w:tmpl w:val="0A2EEA6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AD87FBC"/>
    <w:multiLevelType w:val="multilevel"/>
    <w:tmpl w:val="419A23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C063689"/>
    <w:multiLevelType w:val="multilevel"/>
    <w:tmpl w:val="A418BC14"/>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E5544D2"/>
    <w:multiLevelType w:val="multilevel"/>
    <w:tmpl w:val="B834591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25"/>
  </w:num>
  <w:num w:numId="3">
    <w:abstractNumId w:val="29"/>
  </w:num>
  <w:num w:numId="4">
    <w:abstractNumId w:val="7"/>
  </w:num>
  <w:num w:numId="5">
    <w:abstractNumId w:val="2"/>
  </w:num>
  <w:num w:numId="6">
    <w:abstractNumId w:val="1"/>
  </w:num>
  <w:num w:numId="7">
    <w:abstractNumId w:val="5"/>
  </w:num>
  <w:num w:numId="8">
    <w:abstractNumId w:val="33"/>
  </w:num>
  <w:num w:numId="9">
    <w:abstractNumId w:val="21"/>
  </w:num>
  <w:num w:numId="10">
    <w:abstractNumId w:val="3"/>
  </w:num>
  <w:num w:numId="11">
    <w:abstractNumId w:val="8"/>
  </w:num>
  <w:num w:numId="12">
    <w:abstractNumId w:val="23"/>
  </w:num>
  <w:num w:numId="13">
    <w:abstractNumId w:val="12"/>
  </w:num>
  <w:num w:numId="14">
    <w:abstractNumId w:val="27"/>
  </w:num>
  <w:num w:numId="15">
    <w:abstractNumId w:val="20"/>
  </w:num>
  <w:num w:numId="16">
    <w:abstractNumId w:val="13"/>
  </w:num>
  <w:num w:numId="17">
    <w:abstractNumId w:val="31"/>
  </w:num>
  <w:num w:numId="18">
    <w:abstractNumId w:val="26"/>
  </w:num>
  <w:num w:numId="19">
    <w:abstractNumId w:val="4"/>
  </w:num>
  <w:num w:numId="20">
    <w:abstractNumId w:val="19"/>
  </w:num>
  <w:num w:numId="21">
    <w:abstractNumId w:val="17"/>
  </w:num>
  <w:num w:numId="22">
    <w:abstractNumId w:val="22"/>
  </w:num>
  <w:num w:numId="23">
    <w:abstractNumId w:val="18"/>
  </w:num>
  <w:num w:numId="24">
    <w:abstractNumId w:val="6"/>
  </w:num>
  <w:num w:numId="25">
    <w:abstractNumId w:val="14"/>
  </w:num>
  <w:num w:numId="26">
    <w:abstractNumId w:val="24"/>
  </w:num>
  <w:num w:numId="27">
    <w:abstractNumId w:val="9"/>
  </w:num>
  <w:num w:numId="28">
    <w:abstractNumId w:val="16"/>
  </w:num>
  <w:num w:numId="29">
    <w:abstractNumId w:val="32"/>
  </w:num>
  <w:num w:numId="30">
    <w:abstractNumId w:val="28"/>
  </w:num>
  <w:num w:numId="31">
    <w:abstractNumId w:val="10"/>
  </w:num>
  <w:num w:numId="32">
    <w:abstractNumId w:val="30"/>
  </w:num>
  <w:num w:numId="33">
    <w:abstractNumId w:val="1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DA"/>
    <w:rsid w:val="0003531E"/>
    <w:rsid w:val="00037568"/>
    <w:rsid w:val="00056476"/>
    <w:rsid w:val="000934CB"/>
    <w:rsid w:val="000A5148"/>
    <w:rsid w:val="000B6E6D"/>
    <w:rsid w:val="000F6F77"/>
    <w:rsid w:val="000F7E94"/>
    <w:rsid w:val="00124D42"/>
    <w:rsid w:val="00133824"/>
    <w:rsid w:val="00133CFB"/>
    <w:rsid w:val="0016208C"/>
    <w:rsid w:val="00175EC3"/>
    <w:rsid w:val="0018479D"/>
    <w:rsid w:val="00185CE7"/>
    <w:rsid w:val="00197445"/>
    <w:rsid w:val="001A6990"/>
    <w:rsid w:val="001C7140"/>
    <w:rsid w:val="001D12EE"/>
    <w:rsid w:val="001E62FD"/>
    <w:rsid w:val="001E6A05"/>
    <w:rsid w:val="001F500E"/>
    <w:rsid w:val="00203066"/>
    <w:rsid w:val="0020342D"/>
    <w:rsid w:val="00224A0E"/>
    <w:rsid w:val="00236BF8"/>
    <w:rsid w:val="00245D19"/>
    <w:rsid w:val="00253C48"/>
    <w:rsid w:val="00261C58"/>
    <w:rsid w:val="0027113F"/>
    <w:rsid w:val="0027770F"/>
    <w:rsid w:val="00277873"/>
    <w:rsid w:val="00280DD9"/>
    <w:rsid w:val="002856C6"/>
    <w:rsid w:val="002A73E1"/>
    <w:rsid w:val="002B6B5C"/>
    <w:rsid w:val="002D769F"/>
    <w:rsid w:val="002E3A80"/>
    <w:rsid w:val="003026A7"/>
    <w:rsid w:val="003060E3"/>
    <w:rsid w:val="00316041"/>
    <w:rsid w:val="00330E19"/>
    <w:rsid w:val="00381148"/>
    <w:rsid w:val="00382BCA"/>
    <w:rsid w:val="00395C94"/>
    <w:rsid w:val="003A1DBA"/>
    <w:rsid w:val="003C2249"/>
    <w:rsid w:val="003D3D65"/>
    <w:rsid w:val="003E0AE5"/>
    <w:rsid w:val="003E6AFA"/>
    <w:rsid w:val="00407810"/>
    <w:rsid w:val="004226EE"/>
    <w:rsid w:val="00424861"/>
    <w:rsid w:val="00433289"/>
    <w:rsid w:val="00436636"/>
    <w:rsid w:val="00445AD7"/>
    <w:rsid w:val="004835D8"/>
    <w:rsid w:val="004846AD"/>
    <w:rsid w:val="00492019"/>
    <w:rsid w:val="004A6FBE"/>
    <w:rsid w:val="004B4500"/>
    <w:rsid w:val="004B6C5E"/>
    <w:rsid w:val="004C6442"/>
    <w:rsid w:val="004D57E0"/>
    <w:rsid w:val="004D7B3B"/>
    <w:rsid w:val="004E370B"/>
    <w:rsid w:val="004F29E8"/>
    <w:rsid w:val="004F55A3"/>
    <w:rsid w:val="004F5E45"/>
    <w:rsid w:val="00540AFC"/>
    <w:rsid w:val="005477C6"/>
    <w:rsid w:val="0056786E"/>
    <w:rsid w:val="005724A4"/>
    <w:rsid w:val="005737AC"/>
    <w:rsid w:val="005766AE"/>
    <w:rsid w:val="00582870"/>
    <w:rsid w:val="00593106"/>
    <w:rsid w:val="005A659C"/>
    <w:rsid w:val="005B08AD"/>
    <w:rsid w:val="005B127B"/>
    <w:rsid w:val="005B4880"/>
    <w:rsid w:val="005B7885"/>
    <w:rsid w:val="005D0CA1"/>
    <w:rsid w:val="005D46D2"/>
    <w:rsid w:val="005E168F"/>
    <w:rsid w:val="005F2C23"/>
    <w:rsid w:val="005F717B"/>
    <w:rsid w:val="00600068"/>
    <w:rsid w:val="006030BD"/>
    <w:rsid w:val="006052BA"/>
    <w:rsid w:val="00622F9B"/>
    <w:rsid w:val="00627730"/>
    <w:rsid w:val="006419E5"/>
    <w:rsid w:val="0065363D"/>
    <w:rsid w:val="00654344"/>
    <w:rsid w:val="00697983"/>
    <w:rsid w:val="006A012E"/>
    <w:rsid w:val="006B5E56"/>
    <w:rsid w:val="006B6398"/>
    <w:rsid w:val="00702179"/>
    <w:rsid w:val="00716BD3"/>
    <w:rsid w:val="00716E2A"/>
    <w:rsid w:val="0072584A"/>
    <w:rsid w:val="00727A5C"/>
    <w:rsid w:val="00763866"/>
    <w:rsid w:val="00765391"/>
    <w:rsid w:val="00765FDA"/>
    <w:rsid w:val="00792ADA"/>
    <w:rsid w:val="00793C55"/>
    <w:rsid w:val="007A6097"/>
    <w:rsid w:val="007C57E3"/>
    <w:rsid w:val="007D13A0"/>
    <w:rsid w:val="007D6D7B"/>
    <w:rsid w:val="007E5079"/>
    <w:rsid w:val="007F0462"/>
    <w:rsid w:val="007F15DD"/>
    <w:rsid w:val="00812DDF"/>
    <w:rsid w:val="0081302A"/>
    <w:rsid w:val="00820BFE"/>
    <w:rsid w:val="008224C3"/>
    <w:rsid w:val="00827C11"/>
    <w:rsid w:val="008334EE"/>
    <w:rsid w:val="00842E6B"/>
    <w:rsid w:val="00871DA2"/>
    <w:rsid w:val="008738FB"/>
    <w:rsid w:val="00887922"/>
    <w:rsid w:val="00887DF9"/>
    <w:rsid w:val="008B04F5"/>
    <w:rsid w:val="008B11B8"/>
    <w:rsid w:val="008D447A"/>
    <w:rsid w:val="008D710A"/>
    <w:rsid w:val="008D74AA"/>
    <w:rsid w:val="00902EA0"/>
    <w:rsid w:val="00917FA7"/>
    <w:rsid w:val="00964921"/>
    <w:rsid w:val="009A5E8B"/>
    <w:rsid w:val="009B0678"/>
    <w:rsid w:val="009B6035"/>
    <w:rsid w:val="009C3259"/>
    <w:rsid w:val="009C37EA"/>
    <w:rsid w:val="009E1821"/>
    <w:rsid w:val="009F5F40"/>
    <w:rsid w:val="00A13452"/>
    <w:rsid w:val="00A212EF"/>
    <w:rsid w:val="00A27058"/>
    <w:rsid w:val="00A425EF"/>
    <w:rsid w:val="00A563CE"/>
    <w:rsid w:val="00A84E92"/>
    <w:rsid w:val="00A85AF2"/>
    <w:rsid w:val="00A92F8A"/>
    <w:rsid w:val="00A93783"/>
    <w:rsid w:val="00A95901"/>
    <w:rsid w:val="00AA6E52"/>
    <w:rsid w:val="00AC5881"/>
    <w:rsid w:val="00AC77A8"/>
    <w:rsid w:val="00AE04CC"/>
    <w:rsid w:val="00B11608"/>
    <w:rsid w:val="00B11D93"/>
    <w:rsid w:val="00B21B81"/>
    <w:rsid w:val="00B36D4E"/>
    <w:rsid w:val="00B56B95"/>
    <w:rsid w:val="00B64FAC"/>
    <w:rsid w:val="00B71036"/>
    <w:rsid w:val="00B73ED2"/>
    <w:rsid w:val="00B95B5B"/>
    <w:rsid w:val="00BA5ED1"/>
    <w:rsid w:val="00BB3C77"/>
    <w:rsid w:val="00BC5B0B"/>
    <w:rsid w:val="00BD1235"/>
    <w:rsid w:val="00BE56A9"/>
    <w:rsid w:val="00C00499"/>
    <w:rsid w:val="00C13BEA"/>
    <w:rsid w:val="00C155BD"/>
    <w:rsid w:val="00C1745A"/>
    <w:rsid w:val="00C21E8E"/>
    <w:rsid w:val="00C3183E"/>
    <w:rsid w:val="00C319DA"/>
    <w:rsid w:val="00C31B17"/>
    <w:rsid w:val="00C3477D"/>
    <w:rsid w:val="00C73EB9"/>
    <w:rsid w:val="00C91ACE"/>
    <w:rsid w:val="00CA5305"/>
    <w:rsid w:val="00CB03D2"/>
    <w:rsid w:val="00CB0B74"/>
    <w:rsid w:val="00CB7457"/>
    <w:rsid w:val="00CD01CF"/>
    <w:rsid w:val="00CD6A12"/>
    <w:rsid w:val="00CD74FD"/>
    <w:rsid w:val="00CE3ADE"/>
    <w:rsid w:val="00CE7B81"/>
    <w:rsid w:val="00CF00D2"/>
    <w:rsid w:val="00D04FB6"/>
    <w:rsid w:val="00D1643F"/>
    <w:rsid w:val="00D1744F"/>
    <w:rsid w:val="00D26762"/>
    <w:rsid w:val="00D2710A"/>
    <w:rsid w:val="00D27C52"/>
    <w:rsid w:val="00D36879"/>
    <w:rsid w:val="00D53DB6"/>
    <w:rsid w:val="00D55158"/>
    <w:rsid w:val="00D64935"/>
    <w:rsid w:val="00D65C22"/>
    <w:rsid w:val="00D70A5F"/>
    <w:rsid w:val="00D72636"/>
    <w:rsid w:val="00DB30FE"/>
    <w:rsid w:val="00DC252D"/>
    <w:rsid w:val="00DC7ABC"/>
    <w:rsid w:val="00DD3D68"/>
    <w:rsid w:val="00DD706A"/>
    <w:rsid w:val="00DE22A9"/>
    <w:rsid w:val="00DE5E09"/>
    <w:rsid w:val="00DF3304"/>
    <w:rsid w:val="00DF38CC"/>
    <w:rsid w:val="00E116F9"/>
    <w:rsid w:val="00E20F4C"/>
    <w:rsid w:val="00E26059"/>
    <w:rsid w:val="00E31F1D"/>
    <w:rsid w:val="00E43A62"/>
    <w:rsid w:val="00E5587B"/>
    <w:rsid w:val="00E61F3D"/>
    <w:rsid w:val="00E90191"/>
    <w:rsid w:val="00E9187F"/>
    <w:rsid w:val="00EB1D88"/>
    <w:rsid w:val="00EB6DED"/>
    <w:rsid w:val="00ED3B46"/>
    <w:rsid w:val="00ED6F36"/>
    <w:rsid w:val="00EF4481"/>
    <w:rsid w:val="00EF4F17"/>
    <w:rsid w:val="00F34FD8"/>
    <w:rsid w:val="00F36D9D"/>
    <w:rsid w:val="00F545CD"/>
    <w:rsid w:val="00F72151"/>
    <w:rsid w:val="00F86D21"/>
    <w:rsid w:val="00F9021B"/>
    <w:rsid w:val="00F93928"/>
    <w:rsid w:val="00FA3942"/>
    <w:rsid w:val="00FB7165"/>
    <w:rsid w:val="00FC6967"/>
    <w:rsid w:val="00FC7EFD"/>
    <w:rsid w:val="00FD188F"/>
    <w:rsid w:val="00FF76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488B"/>
  <w15:docId w15:val="{07A80394-8172-40C0-86D9-2A85BFE2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rPr>
      <w:rFonts w:ascii="Times New Roman" w:eastAsia="Times New Roman" w:hAnsi="Times New Roman" w:cs="Times New Roman"/>
      <w:b/>
      <w:bCs/>
      <w:i w:val="0"/>
      <w:iCs w:val="0"/>
      <w:smallCaps w:val="0"/>
      <w:strike w:val="0"/>
      <w:sz w:val="22"/>
      <w:szCs w:val="22"/>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spacing w:line="254" w:lineRule="auto"/>
    </w:pPr>
    <w:rPr>
      <w:rFonts w:ascii="Times New Roman" w:eastAsia="Times New Roman" w:hAnsi="Times New Roman" w:cs="Times New Roman"/>
      <w:b/>
      <w:bCs/>
      <w:sz w:val="22"/>
      <w:szCs w:val="22"/>
    </w:rPr>
  </w:style>
  <w:style w:type="paragraph" w:styleId="BodyText">
    <w:name w:val="Body Text"/>
    <w:basedOn w:val="Normal"/>
    <w:link w:val="BodyTextChar"/>
    <w:qFormat/>
    <w:pPr>
      <w:shd w:val="clear" w:color="auto" w:fill="FFFFFF"/>
      <w:spacing w:after="100" w:line="257"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A2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481"/>
    <w:pPr>
      <w:tabs>
        <w:tab w:val="center" w:pos="4513"/>
        <w:tab w:val="right" w:pos="9026"/>
      </w:tabs>
    </w:pPr>
  </w:style>
  <w:style w:type="character" w:customStyle="1" w:styleId="HeaderChar">
    <w:name w:val="Header Char"/>
    <w:basedOn w:val="DefaultParagraphFont"/>
    <w:link w:val="Header"/>
    <w:uiPriority w:val="99"/>
    <w:rsid w:val="00EF4481"/>
    <w:rPr>
      <w:color w:val="000000"/>
      <w:sz w:val="24"/>
      <w:szCs w:val="24"/>
      <w:lang w:val="vi-VN" w:eastAsia="vi-VN" w:bidi="vi-VN"/>
    </w:rPr>
  </w:style>
  <w:style w:type="paragraph" w:styleId="Footer">
    <w:name w:val="footer"/>
    <w:basedOn w:val="Normal"/>
    <w:link w:val="FooterChar"/>
    <w:uiPriority w:val="99"/>
    <w:unhideWhenUsed/>
    <w:rsid w:val="00EF4481"/>
    <w:pPr>
      <w:tabs>
        <w:tab w:val="center" w:pos="4513"/>
        <w:tab w:val="right" w:pos="9026"/>
      </w:tabs>
    </w:pPr>
  </w:style>
  <w:style w:type="character" w:customStyle="1" w:styleId="FooterChar">
    <w:name w:val="Footer Char"/>
    <w:basedOn w:val="DefaultParagraphFont"/>
    <w:link w:val="Footer"/>
    <w:uiPriority w:val="99"/>
    <w:rsid w:val="00EF4481"/>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5592</Words>
  <Characters>31879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2020-07-08 (1)</vt:lpstr>
    </vt:vector>
  </TitlesOfParts>
  <Company/>
  <LinksUpToDate>false</LinksUpToDate>
  <CharactersWithSpaces>37397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2020-07-08 (1)</dc:title>
  <dc:subject/>
  <dc:creator>Windows User</dc:creator>
  <cp:keywords/>
  <cp:lastModifiedBy>HP</cp:lastModifiedBy>
  <cp:revision>2</cp:revision>
  <dcterms:created xsi:type="dcterms:W3CDTF">2024-03-22T06:58:00Z</dcterms:created>
  <dcterms:modified xsi:type="dcterms:W3CDTF">2024-03-22T06:58:00Z</dcterms:modified>
</cp:coreProperties>
</file>