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rFonts w:ascii="Times New Roman" w:cs="Times New Roman" w:eastAsia="Times New Roman" w:hAnsi="Times New Roman"/>
          <w:b/>
          <w:bCs/>
          <w:sz w:val="30"/>
          <w:szCs w:val="30"/>
        </w:rPr>
        <w:t xml:space="preserve">RESEARCH PROPOSAL /</w:t>
      </w:r>
    </w:p>
    <w:p>
      <w:pPr>
        <w:spacing w:after="240"/>
        <w:jc w:val="center"/>
      </w:pPr>
      <w:r>
        <w:rPr>
          <w:rFonts w:ascii="Times New Roman" w:cs="Times New Roman" w:eastAsia="Times New Roman" w:hAnsi="Times New Roman"/>
          <w:b/>
          <w:bCs/>
          <w:sz w:val="30"/>
          <w:szCs w:val="30"/>
        </w:rPr>
        <w:t xml:space="preserve">THUYẾT MINH ĐỀ CƯƠNG NGHIÊN CỨU</w:t>
      </w:r>
    </w:p>
    <w:p>
      <w:pPr>
        <w:spacing w:after="180"/>
        <w:jc w:val="center"/>
      </w:pPr>
      <w:r>
        <w:rPr>
          <w:rFonts w:ascii="Times New Roman" w:cs="Times New Roman" w:eastAsia="Times New Roman" w:hAnsi="Times New Roman"/>
          <w:b/>
          <w:bCs/>
          <w:sz w:val="26"/>
          <w:szCs w:val="26"/>
        </w:rPr>
        <w:t xml:space="preserve">Nhóm 7</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6854"/>
      </w:tblGrid>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24"/>
                <w:szCs w:val="24"/>
              </w:rPr>
              <w:t xml:space="preserve">Research title</w:t>
            </w:r>
          </w:p>
        </w:tc>
        <w:tc>
          <w:tcPr>
            <w:tcW w:type="dxa" w:w="68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sz w:val="24"/>
                <w:szCs w:val="24"/>
              </w:rPr>
              <w:t xml:space="preserve">Where Do Tiny Oriented Objects Lose Their Training Signal? Candidate-Region Geometry for Real-Time YOLO-OBB Detectors on AI-TOD-R</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24"/>
                <w:szCs w:val="24"/>
              </w:rPr>
              <w:t xml:space="preserve">Mentor</w:t>
            </w:r>
          </w:p>
        </w:tc>
        <w:tc>
          <w:tcPr>
            <w:tcW w:type="dxa" w:w="68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24"/>
                <w:szCs w:val="24"/>
              </w:rPr>
              <w:t xml:space="preserve">Hà Anh</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24"/>
                <w:szCs w:val="24"/>
              </w:rPr>
              <w:t xml:space="preserve">Members</w:t>
            </w:r>
          </w:p>
          <w:p>
            <w:pPr>
              <w:spacing w:after="20" w:line="240"/>
              <w:jc w:val="left"/>
            </w:pPr>
            <w:r>
              <w:rPr>
                <w:rFonts w:ascii="Times New Roman" w:cs="Times New Roman" w:eastAsia="Times New Roman" w:hAnsi="Times New Roman"/>
                <w:i/>
                <w:iCs/>
                <w:sz w:val="24"/>
                <w:szCs w:val="24"/>
              </w:rPr>
              <w:t xml:space="preserve">(up to 4 students)</w:t>
            </w:r>
          </w:p>
        </w:tc>
        <w:tc>
          <w:tcPr>
            <w:tcW w:type="dxa" w:w="68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24"/>
                <w:szCs w:val="24"/>
              </w:rPr>
              <w:t xml:space="preserve">Võ Đức Nhật</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p>
        </w:tc>
        <w:tc>
          <w:tcPr>
            <w:tcW w:type="dxa" w:w="68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24"/>
                <w:szCs w:val="24"/>
              </w:rPr>
              <w:t xml:space="preserve">Trần Lợi Kiều Nhi</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p>
        </w:tc>
        <w:tc>
          <w:tcPr>
            <w:tcW w:type="dxa" w:w="68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24"/>
                <w:szCs w:val="24"/>
              </w:rPr>
              <w:t xml:space="preserve">Trần Nguyễn Minh Hải</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p>
        </w:tc>
        <w:tc>
          <w:tcPr>
            <w:tcW w:type="dxa" w:w="68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24"/>
                <w:szCs w:val="24"/>
              </w:rPr>
              <w:t xml:space="preserve">Nguyễn Tấn Tài</w:t>
            </w:r>
          </w:p>
        </w:tc>
      </w:tr>
    </w:tbl>
    <w:p>
      <w:pPr>
        <w:keepNext/>
        <w:spacing w:after="80" w:before="140"/>
      </w:pPr>
      <w:r>
        <w:rPr>
          <w:rFonts w:ascii="Times New Roman" w:cs="Times New Roman" w:eastAsia="Times New Roman" w:hAnsi="Times New Roman"/>
          <w:b/>
          <w:bCs/>
          <w:sz w:val="24"/>
          <w:szCs w:val="24"/>
        </w:rPr>
        <w:t xml:space="preserve">Abstract / Tóm tắt</w:t>
      </w:r>
    </w:p>
    <w:p>
      <w:pPr>
        <w:spacing w:after="120" w:before="0" w:line="300"/>
        <w:jc w:val="both"/>
      </w:pPr>
      <w:r>
        <w:rPr>
          <w:rFonts w:ascii="Times New Roman" w:cs="Times New Roman" w:eastAsia="Times New Roman" w:hAnsi="Times New Roman"/>
        </w:rPr>
        <w:t xml:space="preserve">Tiny objects in aerial images, such as vehicles, ships or people only a few pixels wide, are among the hardest targets for object detectors. In real-time one-stage detectors such as the YOLO family, the first failure happens during training: a ground-truth box smaller than the feature stride may contain no anchor point and then receives no training signal at all [1]. YOLO26 introduced Small-Target-Aware Label Assignment (STAL) to fix this, but STAL has only been evaluated on COCO with horizontal boxes, and its rule for oriented boxes changed three times in the public code during 2026 [1, 2]. This project studies how such candidate-region rules affect tiny oriented objects and whether a better rule helps. Research questions: (RQ1) how do YOLO11-OBB and YOLO26-OBB perform on AI-TOD-R, the oriented tiny-object benchmark with a mean object size of 10.6 px [3], when scored by its official evaluator and broken down by object size; (RQ2) how do the candidate rules change the number of candidates, where they fall and how often neighbouring objects compete for them; (RQ3) does a shape-preserving minimum-area rule (OA-STAL v2) with a conflict rule improve tiny-object accuracy at zero inference cost; (RQ4) do the findings transfer to a second dataset. The methodology combines a geometric analysis that predicts candidate counts, offline statistics computed from the labels, controlled ablations in one pinned code base, three random seeds, paired bootstrap confidence intervals and predictions registered before training.</w:t>
      </w:r>
    </w:p>
    <w:p>
      <w:pPr>
        <w:spacing w:after="120" w:before="0" w:line="300"/>
        <w:jc w:val="both"/>
      </w:pPr>
      <w:r>
        <w:rPr>
          <w:rFonts w:ascii="Times New Roman" w:cs="Times New Roman" w:eastAsia="Times New Roman" w:hAnsi="Times New Roman"/>
          <w:b/>
          <w:bCs/>
        </w:rPr>
        <w:t xml:space="preserve">Key words:</w:t>
      </w:r>
      <w:r>
        <w:rPr>
          <w:rFonts w:ascii="Times New Roman" w:cs="Times New Roman" w:eastAsia="Times New Roman" w:hAnsi="Times New Roman"/>
        </w:rPr>
        <w:t xml:space="preserve"> tiny object detection; oriented object detection; label assignment; YOLO; aerial imagery; AI-TOD-R.</w:t>
      </w:r>
    </w:p>
    <w:p>
      <w:pPr>
        <w:keepNext/>
        <w:spacing w:after="110" w:before="220"/>
      </w:pPr>
      <w:r>
        <w:rPr>
          <w:rFonts w:ascii="Times New Roman" w:cs="Times New Roman" w:eastAsia="Times New Roman" w:hAnsi="Times New Roman"/>
          <w:b/>
          <w:bCs/>
          <w:color w:val="000000"/>
          <w:sz w:val="26"/>
          <w:szCs w:val="26"/>
        </w:rPr>
        <w:t xml:space="preserve">1.	Introduction / Giới thiệu</w:t>
      </w:r>
    </w:p>
    <w:p>
      <w:pPr>
        <w:keepNext/>
        <w:spacing w:after="80" w:before="140"/>
      </w:pPr>
      <w:r>
        <w:rPr>
          <w:rFonts w:ascii="Times New Roman" w:cs="Times New Roman" w:eastAsia="Times New Roman" w:hAnsi="Times New Roman"/>
          <w:b/>
          <w:bCs/>
          <w:sz w:val="24"/>
          <w:szCs w:val="24"/>
        </w:rPr>
        <w:t xml:space="preserve">1.1. Literature review / Tình hình nghiên cứu trong và ngoài nước</w:t>
      </w:r>
    </w:p>
    <w:p>
      <w:pPr>
        <w:spacing w:after="120" w:before="0" w:line="300"/>
        <w:jc w:val="both"/>
      </w:pPr>
      <w:r>
        <w:rPr>
          <w:rFonts w:ascii="Times New Roman" w:cs="Times New Roman" w:eastAsia="Times New Roman" w:hAnsi="Times New Roman"/>
          <w:b/>
          <w:bCs/>
        </w:rPr>
        <w:t xml:space="preserve">Why the problem matters in practice.</w:t>
      </w:r>
      <w:r>
        <w:rPr>
          <w:rFonts w:ascii="Times New Roman" w:cs="Times New Roman" w:eastAsia="Times New Roman" w:hAnsi="Times New Roman"/>
        </w:rPr>
        <w:t xml:space="preserve"> Detecting tiny objects in aerial images supports vehicle detection, traffic-condition monitoring and maritime rescue [5]. More broadly, tiny-object detection is used for traffic monitoring and border surveillance [3] and for drone-scene analysis [17]. Many of these systems must run on drones or edge devices: real-time detection is described as powering applications "often on edge devices with tight latency and power budgets", and current YOLO models export to TensorRT, ONNX and other embedded runtimes [1]. This is why we study </w:t>
      </w:r>
      <w:r>
        <w:rPr>
          <w:rFonts w:ascii="Times New Roman" w:cs="Times New Roman" w:eastAsia="Times New Roman" w:hAnsi="Times New Roman"/>
          <w:i/>
          <w:iCs/>
        </w:rPr>
        <w:t xml:space="preserve">real-time</w:t>
      </w:r>
      <w:r>
        <w:rPr>
          <w:rFonts w:ascii="Times New Roman" w:cs="Times New Roman" w:eastAsia="Times New Roman" w:hAnsi="Times New Roman"/>
        </w:rPr>
        <w:t xml:space="preserve"> detectors rather than the slower two-stage pipelines that dominate tiny-object benchmarks.</w:t>
      </w:r>
    </w:p>
    <w:p>
      <w:pPr>
        <w:spacing w:after="120" w:before="0" w:line="300"/>
        <w:jc w:val="both"/>
      </w:pPr>
      <w:r>
        <w:rPr>
          <w:rFonts w:ascii="Times New Roman" w:cs="Times New Roman" w:eastAsia="Times New Roman" w:hAnsi="Times New Roman"/>
          <w:b/>
          <w:bCs/>
        </w:rPr>
        <w:t xml:space="preserve">Datasets.</w:t>
      </w:r>
      <w:r>
        <w:rPr>
          <w:rFonts w:ascii="Times New Roman" w:cs="Times New Roman" w:eastAsia="Times New Roman" w:hAnsi="Times New Roman"/>
        </w:rPr>
        <w:t xml:space="preserve"> DOTA is the standard large-scale benchmark for oriented (rotated-box) detection in aerial images [19]. AI-TOD and AI-TOD-v2 focus on tiny objects but use horizontal boxes [16, 5]; AI-TOD-v2 defines the size bins used in this field: very tiny 2–8 px, tiny 8–16 px, small 16–32 px and medium 32–64 px [5]. SODA-A provides 2,513 large images with 872,069 oriented small objects [17]. </w:t>
      </w:r>
      <w:r>
        <w:rPr>
          <w:rFonts w:ascii="Times New Roman" w:cs="Times New Roman" w:eastAsia="Times New Roman" w:hAnsi="Times New Roman"/>
          <w:b/>
          <w:bCs/>
        </w:rPr>
        <w:t xml:space="preserve">AI-TOD-R</w:t>
      </w:r>
      <w:r>
        <w:rPr>
          <w:rFonts w:ascii="Times New Roman" w:cs="Times New Roman" w:eastAsia="Times New Roman" w:hAnsi="Times New Roman"/>
        </w:rPr>
        <w:t xml:space="preserve"> adds oriented boxes to the AI-TOD images: 28,036 images, 752,460 oriented boxes in 8 classes, mean size 10.6 ± 4.9 px, "most objects … within the tiny scale (&lt;16×16 pixels)", and often more than 100 objects per image [3]. It is the target benchmark of this project.</w:t>
      </w:r>
    </w:p>
    <w:p>
      <w:pPr>
        <w:spacing w:after="120" w:before="0" w:line="300"/>
        <w:jc w:val="both"/>
      </w:pPr>
      <w:r>
        <w:rPr>
          <w:rFonts w:ascii="Times New Roman" w:cs="Times New Roman" w:eastAsia="Times New Roman" w:hAnsi="Times New Roman"/>
          <w:b/>
          <w:bCs/>
        </w:rPr>
        <w:t xml:space="preserve">Label assignment for tiny objects.</w:t>
      </w:r>
      <w:r>
        <w:rPr>
          <w:rFonts w:ascii="Times New Roman" w:cs="Times New Roman" w:eastAsia="Times New Roman" w:hAnsi="Times New Roman"/>
        </w:rPr>
        <w:t xml:space="preserve"> During training a detector must decide which feature-map positions (anchor points) learn which object; this step is called </w:t>
      </w:r>
      <w:r>
        <w:rPr>
          <w:rFonts w:ascii="Times New Roman" w:cs="Times New Roman" w:eastAsia="Times New Roman" w:hAnsi="Times New Roman"/>
          <w:i/>
          <w:iCs/>
        </w:rPr>
        <w:t xml:space="preserve">label assignment</w:t>
      </w:r>
      <w:r>
        <w:rPr>
          <w:rFonts w:ascii="Times New Roman" w:cs="Times New Roman" w:eastAsia="Times New Roman" w:hAnsi="Times New Roman"/>
        </w:rPr>
        <w:t xml:space="preserve">. Because Intersection-over-Union (IoU) changes sharply when a tiny box shifts by one or two pixels, several works replace it: NWD-RKA compares boxes as 2-D Gaussian distributions [5]; RFLA uses Gaussian receptive-field priors [6]; GCD proposes a scale-invariant Gaussian distance [7]. Their gains are large for two-stage detectors (RFLA lifts Faster R-CNN from 11.1 to 21.1 AP on AI-TOD) but small for one-stage detectors (RetinaNet from 8.7 to 9.1 AP with RFLA; +1.6 AP with NWD-RKA) [5, 6]. </w:t>
      </w:r>
      <w:r>
        <w:rPr>
          <w:rFonts w:ascii="Times New Roman" w:cs="Times New Roman" w:eastAsia="Times New Roman" w:hAnsi="Times New Roman"/>
          <w:i/>
          <w:iCs/>
        </w:rPr>
        <w:t xml:space="preserve">Comment:</w:t>
      </w:r>
      <w:r>
        <w:rPr>
          <w:rFonts w:ascii="Times New Roman" w:cs="Times New Roman" w:eastAsia="Times New Roman" w:hAnsi="Times New Roman"/>
        </w:rPr>
        <w:t xml:space="preserve"> all three use horizontal boxes, and the small one-stage gains warn that assignment changes in YOLO-like detectors will produce small effects that need careful statistics.</w:t>
      </w:r>
    </w:p>
    <w:p>
      <w:pPr>
        <w:spacing w:after="120" w:before="0" w:line="300"/>
        <w:jc w:val="both"/>
      </w:pPr>
      <w:r>
        <w:rPr>
          <w:rFonts w:ascii="Times New Roman" w:cs="Times New Roman" w:eastAsia="Times New Roman" w:hAnsi="Times New Roman"/>
          <w:b/>
          <w:bCs/>
        </w:rPr>
        <w:t xml:space="preserve">Oriented tiny objects.</w:t>
      </w:r>
      <w:r>
        <w:rPr>
          <w:rFonts w:ascii="Times New Roman" w:cs="Times New Roman" w:eastAsia="Times New Roman" w:hAnsi="Times New Roman"/>
        </w:rPr>
        <w:t xml:space="preserve"> On AI-TOD-R the best published method, DCFL, reaches 17.5 AP and only 6.5 AP on very tiny objects (AP</w:t>
      </w:r>
      <w:r>
        <w:rPr>
          <w:rFonts w:ascii="Times New Roman" w:cs="Times New Roman" w:eastAsia="Times New Roman" w:hAnsi="Times New Roman"/>
          <w:vertAlign w:val="subscript"/>
        </w:rPr>
        <w:t xml:space="preserve">vt</w:t>
      </w:r>
      <w:r>
        <w:rPr>
          <w:rFonts w:ascii="Times New Roman" w:cs="Times New Roman" w:eastAsia="Times New Roman" w:hAnsi="Times New Roman"/>
        </w:rPr>
        <w:t xml:space="preserve">); a standard Oriented R-CNN reaches 11.2 AP but 0.6 AP on very tiny objects [3]. The authors trace the problem to assignment: "tiny-scale objects receive significantly fewer positive samples than larger-scale objects" because "the stride of prior locations in a typical single-stage detector is at least 8 pixels" [3]. Shape-aware assigners exist: SASM and CFA appear in the AI-TOD-R benchmark (11.4 and 12.4 AP) [3]; EARL samples inside an ellipse that follows the object's angle and aspect ratio [8]; SARFA-Net does the same and enlarges the sampling range of small objects by 1.1× [9]; RDCNet, built on YOLOv8, selects candidates in the object's rotated frame [10]. </w:t>
      </w:r>
      <w:r>
        <w:rPr>
          <w:rFonts w:ascii="Times New Roman" w:cs="Times New Roman" w:eastAsia="Times New Roman" w:hAnsi="Times New Roman"/>
          <w:i/>
          <w:iCs/>
        </w:rPr>
        <w:t xml:space="preserve">Comment:</w:t>
      </w:r>
      <w:r>
        <w:rPr>
          <w:rFonts w:ascii="Times New Roman" w:cs="Times New Roman" w:eastAsia="Times New Roman" w:hAnsi="Times New Roman"/>
        </w:rPr>
        <w:t xml:space="preserve"> none of the last three was evaluated on a tiny-object dataset.</w:t>
      </w:r>
    </w:p>
    <w:p>
      <w:pPr>
        <w:spacing w:after="120" w:before="0" w:line="300"/>
        <w:jc w:val="both"/>
      </w:pPr>
      <w:r>
        <w:rPr>
          <w:rFonts w:ascii="Times New Roman" w:cs="Times New Roman" w:eastAsia="Times New Roman" w:hAnsi="Times New Roman"/>
          <w:b/>
          <w:bCs/>
        </w:rPr>
        <w:t xml:space="preserve">Real-time YOLO detectors and STAL.</w:t>
      </w:r>
      <w:r>
        <w:rPr>
          <w:rFonts w:ascii="Times New Roman" w:cs="Times New Roman" w:eastAsia="Times New Roman" w:hAnsi="Times New Roman"/>
        </w:rPr>
        <w:t xml:space="preserve"> Modern YOLO models use task-aligned assignment (TAL) from TOOD [14]. YOLO26 [1] observed that "a tiny box may contain no valid anchor centers at all" and introduced </w:t>
      </w:r>
      <w:r>
        <w:rPr>
          <w:rFonts w:ascii="Times New Roman" w:cs="Times New Roman" w:eastAsia="Times New Roman" w:hAnsi="Times New Roman"/>
          <w:b/>
          <w:bCs/>
        </w:rPr>
        <w:t xml:space="preserve">STAL</w:t>
      </w:r>
      <w:r>
        <w:rPr>
          <w:rFonts w:ascii="Times New Roman" w:cs="Times New Roman" w:eastAsia="Times New Roman" w:hAnsi="Times New Roman"/>
        </w:rPr>
        <w:t xml:space="preserve">: while selecting candidates only, any box side shorter than 8 px is enlarged to 16 px; the true box is still used for regression. On COCO with YOLO11s, STAL raised AP from 46.6 to 46.8 and small-object AP from 29.0 to 29.6 (single runs) [1]. YOLO26s-OBB reaches 54.8 mAP50-95 on DOTA-v1.0 test [1]. The only YOLO-OBB numbers we found next to AI-TOD-R come from DIA-YOLO [4], which used 18,730 images instead of 28,036, a 4-channel (RGB + depth) input, up to 815 epochs and no size bins.</w:t>
      </w:r>
    </w:p>
    <w:p>
      <w:pPr>
        <w:keepNext/>
        <w:spacing w:after="120" w:before="0" w:line="300"/>
        <w:jc w:val="both"/>
      </w:pPr>
      <w:r>
        <w:rPr>
          <w:rFonts w:ascii="Times New Roman" w:cs="Times New Roman" w:eastAsia="Times New Roman" w:hAnsi="Times New Roman"/>
        </w:rPr>
        <w:t xml:space="preserve">Table 1 summarises the works closest to this project, what they achieved and what they leave open.</w:t>
      </w:r>
    </w:p>
    <w:p>
      <w:pPr>
        <w:keepNext/>
        <w:spacing w:after="140"/>
        <w:jc w:val="center"/>
      </w:pPr>
      <w:r>
        <w:rPr>
          <w:rFonts w:ascii="Times New Roman" w:cs="Times New Roman" w:eastAsia="Times New Roman" w:hAnsi="Times New Roman"/>
          <w:i/>
          <w:iCs/>
          <w:sz w:val="20"/>
          <w:szCs w:val="20"/>
        </w:rPr>
        <w:t xml:space="preserve">Table 1. Key related works, their results and our comments (numbers as reported by the authors).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0"/>
        <w:gridCol w:w="2350"/>
        <w:gridCol w:w="1500"/>
        <w:gridCol w:w="1900"/>
        <w:gridCol w:w="2254"/>
      </w:tblGrid>
      <w:tr>
        <w:trPr>
          <w:tblHeader/>
        </w:trPr>
        <w:tc>
          <w:tcPr>
            <w:tcW w:type="dxa" w:w="135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7"/>
                <w:szCs w:val="17"/>
              </w:rPr>
              <w:t xml:space="preserve">Work</w:t>
            </w:r>
          </w:p>
        </w:tc>
        <w:tc>
          <w:tcPr>
            <w:tcW w:type="dxa" w:w="235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7"/>
                <w:szCs w:val="17"/>
              </w:rPr>
              <w:t xml:space="preserve">What it does</w:t>
            </w:r>
          </w:p>
        </w:tc>
        <w:tc>
          <w:tcPr>
            <w:tcW w:type="dxa" w:w="15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7"/>
                <w:szCs w:val="17"/>
              </w:rPr>
              <w:t xml:space="preserve">Box type / data</w:t>
            </w:r>
          </w:p>
        </w:tc>
        <w:tc>
          <w:tcPr>
            <w:tcW w:type="dxa" w:w="19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7"/>
                <w:szCs w:val="17"/>
              </w:rPr>
              <w:t xml:space="preserve">Reported result</w:t>
            </w:r>
          </w:p>
        </w:tc>
        <w:tc>
          <w:tcPr>
            <w:tcW w:type="dxa" w:w="2254"/>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7"/>
                <w:szCs w:val="17"/>
              </w:rPr>
              <w:t xml:space="preserve">Comment for this project</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AI-TOD-R + DCFL [3]</w:t>
            </w:r>
          </w:p>
        </w:tc>
        <w:tc>
          <w:tcPr>
            <w:tcW w:type="dxa" w:w="2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Oriented tiny benchmark; dynamic coarse-to-fine assignment with rotated Gaussian candidates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OBB; AI-TOD-R, SODA-A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17.5 AP, 6.5 AP</w:t>
            </w:r>
            <w:r>
              <w:rPr>
                <w:rFonts w:ascii="Times New Roman" w:cs="Times New Roman" w:eastAsia="Times New Roman" w:hAnsi="Times New Roman"/>
                <w:sz w:val="17"/>
                <w:szCs w:val="17"/>
                <w:vertAlign w:val="subscript"/>
              </w:rPr>
              <w:t xml:space="preserve">vt</w:t>
            </w:r>
            <w:r>
              <w:rPr>
                <w:rFonts w:ascii="Times New Roman" w:cs="Times New Roman" w:eastAsia="Times New Roman" w:hAnsi="Times New Roman"/>
                <w:sz w:val="17"/>
                <w:szCs w:val="17"/>
              </w:rPr>
              <w:t xml:space="preserve"> (best on AI-TOD-R)</w:t>
            </w:r>
          </w:p>
        </w:tc>
        <w:tc>
          <w:tcPr>
            <w:tcW w:type="dxa" w:w="22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Strong but not real-time; benchmark has no YOLO and no speed</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NWD-RKA [5]</w:t>
            </w:r>
          </w:p>
        </w:tc>
        <w:tc>
          <w:tcPr>
            <w:tcW w:type="dxa" w:w="2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Gaussian Wasserstein similarity + ranking assignment; AI-TOD-v2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HBB; AI-TOD-v2</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Faster R-CNN 12.8 → 21.4 AP; RetinaNet +1.6 AP</w:t>
            </w:r>
          </w:p>
        </w:tc>
        <w:tc>
          <w:tcPr>
            <w:tcW w:type="dxa" w:w="22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Large two-stage, small one-stage gains</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RFLA [6]</w:t>
            </w:r>
          </w:p>
        </w:tc>
        <w:tc>
          <w:tcPr>
            <w:tcW w:type="dxa" w:w="2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Gaussian receptive-field prior + hierarchical assignment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HBB; AI-TOD</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Faster R-CNN 11.1 → 21.1 AP; RetinaNet 8.7 → 9.1</w:t>
            </w:r>
          </w:p>
        </w:tc>
        <w:tc>
          <w:tcPr>
            <w:tcW w:type="dxa" w:w="22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Same pattern; no rotation</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GCD [7]</w:t>
            </w:r>
          </w:p>
        </w:tc>
        <w:tc>
          <w:tcPr>
            <w:tcW w:type="dxa" w:w="2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Scale-invariant Gaussian distance for assignment and loss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HBB; AI-TOD-v2</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Faster R-CNN 20.1 AP</w:t>
            </w:r>
          </w:p>
        </w:tc>
        <w:tc>
          <w:tcPr>
            <w:tcW w:type="dxa" w:w="22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Authors: verified mainly for horizontal detection</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EARL [8]</w:t>
            </w:r>
          </w:p>
        </w:tc>
        <w:tc>
          <w:tcPr>
            <w:tcW w:type="dxa" w:w="2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Elliptical candidate region following angle and shape; nearest-anchor fallback</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OBB; DOTA-like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w:t>
            </w:r>
          </w:p>
        </w:tc>
        <w:tc>
          <w:tcPr>
            <w:tcW w:type="dxa" w:w="22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No tiny-object dataset</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SARFA-Net [9]</w:t>
            </w:r>
          </w:p>
        </w:tc>
        <w:tc>
          <w:tcPr>
            <w:tcW w:type="dxa" w:w="2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Shape-aware elliptical sampling; ×1.1 range for small objects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OBB; DIOR-R, DOTA, HRSC…</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w:t>
            </w:r>
          </w:p>
        </w:tc>
        <w:tc>
          <w:tcPr>
            <w:tcW w:type="dxa" w:w="22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No tiny-object dataset</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RDCNet [10]</w:t>
            </w:r>
          </w:p>
        </w:tc>
        <w:tc>
          <w:tcPr>
            <w:tcW w:type="dxa" w:w="2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YOLOv8-based; candidates in the rotated frame + fallback</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OBB; DOTA, HRSC</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w:t>
            </w:r>
          </w:p>
        </w:tc>
        <w:tc>
          <w:tcPr>
            <w:tcW w:type="dxa" w:w="22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Same family as ours, no tiny data</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YOLO26 / STAL [1]</w:t>
            </w:r>
          </w:p>
        </w:tc>
        <w:tc>
          <w:tcPr>
            <w:tcW w:type="dxa" w:w="2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Enlarges tiny boxes during candidate selection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HBB experiments; COCO</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AP 46.6 → 46.8; AP</w:t>
            </w:r>
            <w:r>
              <w:rPr>
                <w:rFonts w:ascii="Times New Roman" w:cs="Times New Roman" w:eastAsia="Times New Roman" w:hAnsi="Times New Roman"/>
                <w:sz w:val="17"/>
                <w:szCs w:val="17"/>
                <w:vertAlign w:val="subscript"/>
              </w:rPr>
              <w:t xml:space="preserve">S</w:t>
            </w:r>
            <w:r>
              <w:rPr>
                <w:rFonts w:ascii="Times New Roman" w:cs="Times New Roman" w:eastAsia="Times New Roman" w:hAnsi="Times New Roman"/>
                <w:sz w:val="17"/>
                <w:szCs w:val="17"/>
              </w:rPr>
              <w:t xml:space="preserve"> 29.0 → 29.6 (single runs)</w:t>
            </w:r>
          </w:p>
        </w:tc>
        <w:tc>
          <w:tcPr>
            <w:tcW w:type="dxa" w:w="22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Never tested on OBB or tiny data</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DIA-YOLO [4]</w:t>
            </w:r>
          </w:p>
        </w:tc>
        <w:tc>
          <w:tcPr>
            <w:tcW w:type="dxa" w:w="23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YOLOv11-OBB-based model with depth input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OBB; "AITOD" 18,730 images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Compared with AI-TOD-R AP50 values</w:t>
            </w:r>
          </w:p>
        </w:tc>
        <w:tc>
          <w:tcPr>
            <w:tcW w:type="dxa" w:w="22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7"/>
                <w:szCs w:val="17"/>
              </w:rPr>
              <w:t xml:space="preserve">Different images, input, schedule; no size bins</w:t>
            </w:r>
          </w:p>
        </w:tc>
      </w:tr>
    </w:tbl>
    <w:p>
      <w:pPr>
        <w:spacing w:after="120" w:before="0" w:line="300"/>
        <w:jc w:val="both"/>
      </w:pPr>
      <w:r>
        <w:rPr>
          <w:rFonts w:ascii="Times New Roman" w:cs="Times New Roman" w:eastAsia="Times New Roman" w:hAnsi="Times New Roman"/>
          <w:b/>
          <w:bCs/>
        </w:rPr>
        <w:t xml:space="preserve">Research in Vietnam.</w:t>
      </w:r>
      <w:r>
        <w:rPr>
          <w:rFonts w:ascii="Times New Roman" w:cs="Times New Roman" w:eastAsia="Times New Roman" w:hAnsi="Times New Roman"/>
        </w:rPr>
        <w:t xml:space="preserve"> Within the 80 papers selected by our systematic literature review (3,039 records screened from OpenAlex, arXiv and conference proceedings) we did not identify a study by a Vietnamese team on oriented tiny-object detection. We did not search by author affiliation, so this is not evidence that no such work exists; the team will ask the mentor about related domestic work before the final version.</w:t>
      </w:r>
    </w:p>
    <w:p>
      <w:pPr>
        <w:keepNext/>
        <w:spacing w:after="80" w:before="140"/>
      </w:pPr>
      <w:r>
        <w:rPr>
          <w:rFonts w:ascii="Times New Roman" w:cs="Times New Roman" w:eastAsia="Times New Roman" w:hAnsi="Times New Roman"/>
          <w:b/>
          <w:bCs/>
          <w:sz w:val="24"/>
          <w:szCs w:val="24"/>
        </w:rPr>
        <w:t xml:space="preserve">1.2. The limitation of current works / Những hạn chế của các nghiên cứu hiện tại</w:t>
      </w:r>
    </w:p>
    <w:p>
      <w:pPr>
        <w:pStyle w:val="ListParagraph"/>
        <w:numPr>
          <w:ilvl w:val="0"/>
          <w:numId w:val="2"/>
        </w:numPr>
        <w:spacing w:after="50" w:line="264"/>
        <w:jc w:val="both"/>
      </w:pPr>
      <w:r>
        <w:rPr>
          <w:rFonts w:ascii="Times New Roman" w:cs="Times New Roman" w:eastAsia="Times New Roman" w:hAnsi="Times New Roman"/>
          <w:b/>
          <w:bCs/>
        </w:rPr>
        <w:t xml:space="preserve">STAL is untested where it matters most.</w:t>
      </w:r>
      <w:r>
        <w:rPr>
          <w:rFonts w:ascii="Times New Roman" w:cs="Times New Roman" w:eastAsia="Times New Roman" w:hAnsi="Times New Roman"/>
        </w:rPr>
        <w:t xml:space="preserve"> It was ablated only on COCO with horizontal boxes [1]. No published work evaluates it on oriented boxes or on any tiny-object dataset (checked on 08/10/2026).</w:t>
      </w:r>
    </w:p>
    <w:p>
      <w:pPr>
        <w:pStyle w:val="ListParagraph"/>
        <w:numPr>
          <w:ilvl w:val="0"/>
          <w:numId w:val="2"/>
        </w:numPr>
        <w:spacing w:after="50" w:line="264"/>
        <w:jc w:val="both"/>
      </w:pPr>
      <w:r>
        <w:rPr>
          <w:rFonts w:ascii="Times New Roman" w:cs="Times New Roman" w:eastAsia="Times New Roman" w:hAnsi="Times New Roman"/>
          <w:b/>
          <w:bCs/>
        </w:rPr>
        <w:t xml:space="preserve">"STAL" is not one rule.</w:t>
      </w:r>
      <w:r>
        <w:rPr>
          <w:rFonts w:ascii="Times New Roman" w:cs="Times New Roman" w:eastAsia="Times New Roman" w:hAnsi="Times New Roman"/>
        </w:rPr>
        <w:t xml:space="preserve"> In the public Ultralytics code the rule for oriented boxes changed three times in 2026 (Table 2). Because the rule sits in the shared assigner, YOLOv8- and YOLO11-OBB trained with today's package use it too [2]. Results from different versions are therefore not comparable, and nobody has measured what each version does to tiny oriented objects.</w:t>
      </w:r>
    </w:p>
    <w:p>
      <w:pPr>
        <w:pStyle w:val="ListParagraph"/>
        <w:numPr>
          <w:ilvl w:val="0"/>
          <w:numId w:val="2"/>
        </w:numPr>
        <w:spacing w:after="50" w:line="264"/>
        <w:jc w:val="both"/>
      </w:pPr>
      <w:r>
        <w:rPr>
          <w:rFonts w:ascii="Times New Roman" w:cs="Times New Roman" w:eastAsia="Times New Roman" w:hAnsi="Times New Roman"/>
          <w:b/>
          <w:bCs/>
        </w:rPr>
        <w:t xml:space="preserve">The benchmark has no real-time detector.</w:t>
      </w:r>
      <w:r>
        <w:rPr>
          <w:rFonts w:ascii="Times New Roman" w:cs="Times New Roman" w:eastAsia="Times New Roman" w:hAnsi="Times New Roman"/>
        </w:rPr>
        <w:t xml:space="preserve"> The AI-TOD-R table lists 27 configurations of slow detectors and reports no speed [3]. The one YOLO comparison (DIA-YOLO) uses a different image set, input and schedule, and reports no size bins [4].</w:t>
      </w:r>
    </w:p>
    <w:p>
      <w:pPr>
        <w:pStyle w:val="ListParagraph"/>
        <w:numPr>
          <w:ilvl w:val="0"/>
          <w:numId w:val="2"/>
        </w:numPr>
        <w:spacing w:after="50" w:line="264"/>
        <w:jc w:val="both"/>
      </w:pPr>
      <w:r>
        <w:rPr>
          <w:rFonts w:ascii="Times New Roman" w:cs="Times New Roman" w:eastAsia="Times New Roman" w:hAnsi="Times New Roman"/>
          <w:b/>
          <w:bCs/>
        </w:rPr>
        <w:t xml:space="preserve">Shape-aware assignment was never tested on tiny oriented objects inside YOLO.</w:t>
      </w:r>
      <w:r>
        <w:rPr>
          <w:rFonts w:ascii="Times New Roman" w:cs="Times New Roman" w:eastAsia="Times New Roman" w:hAnsi="Times New Roman"/>
        </w:rPr>
        <w:t xml:space="preserve"> EARL, SARFA-Net and RDCNet were evaluated on DOTA-like data [8–10].</w:t>
      </w:r>
    </w:p>
    <w:p>
      <w:pPr>
        <w:pStyle w:val="ListParagraph"/>
        <w:numPr>
          <w:ilvl w:val="0"/>
          <w:numId w:val="2"/>
        </w:numPr>
        <w:spacing w:after="50" w:line="264"/>
        <w:jc w:val="both"/>
      </w:pPr>
      <w:r>
        <w:rPr>
          <w:rFonts w:ascii="Times New Roman" w:cs="Times New Roman" w:eastAsia="Times New Roman" w:hAnsi="Times New Roman"/>
          <w:b/>
          <w:bCs/>
        </w:rPr>
        <w:t xml:space="preserve">The diagnosis is thin.</w:t>
      </w:r>
      <w:r>
        <w:rPr>
          <w:rFonts w:ascii="Times New Roman" w:cs="Times New Roman" w:eastAsia="Times New Roman" w:hAnsi="Times New Roman"/>
        </w:rPr>
        <w:t xml:space="preserve"> AI-TOD-R shows the positive-sample shortage only as figures [3]; no work measures how often neighbouring tiny objects compete for the same anchor points in dense scenes, although AI-TOD-R images often contain more than 100 objects [3].</w:t>
      </w:r>
    </w:p>
    <w:p>
      <w:pPr>
        <w:pStyle w:val="ListParagraph"/>
        <w:numPr>
          <w:ilvl w:val="0"/>
          <w:numId w:val="2"/>
        </w:numPr>
        <w:spacing w:after="50" w:line="264"/>
        <w:jc w:val="both"/>
      </w:pPr>
      <w:r>
        <w:rPr>
          <w:rFonts w:ascii="Times New Roman" w:cs="Times New Roman" w:eastAsia="Times New Roman" w:hAnsi="Times New Roman"/>
          <w:b/>
          <w:bCs/>
        </w:rPr>
        <w:t xml:space="preserve">Evaluation settings differ silently.</w:t>
      </w:r>
      <w:r>
        <w:rPr>
          <w:rFonts w:ascii="Times New Roman" w:cs="Times New Roman" w:eastAsia="Times New Roman" w:hAnsi="Times New Roman"/>
        </w:rPr>
        <w:t xml:space="preserve"> The official AI-TOD-R evaluator keeps 1,500 detections per image, while Ultralytics keeps 300 by default [2, 15]; in dense images this cap alone can change recall.</w:t>
      </w:r>
    </w:p>
    <w:p>
      <w:pPr>
        <w:keepNext/>
        <w:spacing w:after="140"/>
        <w:jc w:val="center"/>
      </w:pPr>
      <w:r>
        <w:rPr>
          <w:rFonts w:ascii="Times New Roman" w:cs="Times New Roman" w:eastAsia="Times New Roman" w:hAnsi="Times New Roman"/>
          <w:i/>
          <w:iCs/>
          <w:sz w:val="20"/>
          <w:szCs w:val="20"/>
        </w:rPr>
        <w:t xml:space="preserve">Table 2. History of the oriented-box candidate rule in the Ultralytics code (release tags checked on 08/10/2026) [2].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200"/>
        <w:gridCol w:w="5154"/>
      </w:tblGrid>
      <w:tr>
        <w:trPr>
          <w:tblHeader/>
        </w:trPr>
        <w:tc>
          <w:tcPr>
            <w:tcW w:type="dxa" w:w="42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9"/>
                <w:szCs w:val="19"/>
              </w:rPr>
              <w:t xml:space="preserve">Ultralytics release</w:t>
            </w:r>
          </w:p>
        </w:tc>
        <w:tc>
          <w:tcPr>
            <w:tcW w:type="dxa" w:w="5154"/>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9"/>
                <w:szCs w:val="19"/>
              </w:rPr>
              <w:t xml:space="preserve">Rule for oriented ground-truth boxes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 8.4.7 (includes YOLO26 release 8.4.0, January 2026)</w:t>
            </w:r>
          </w:p>
        </w:tc>
        <w:tc>
          <w:tcPr>
            <w:tcW w:type="dxa" w:w="51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No size floor</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8.4.8 – 8.4.38</w:t>
            </w:r>
          </w:p>
        </w:tc>
        <w:tc>
          <w:tcPr>
            <w:tcW w:type="dxa" w:w="51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Sides &lt; 8 px set to 16 px, but applied to the real labels (a bug fixed in 8.4.39)</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8.4.39 – 8.4.127</w:t>
            </w:r>
          </w:p>
        </w:tc>
        <w:tc>
          <w:tcPr>
            <w:tcW w:type="dxa" w:w="51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Sides &lt; 8 px set to 16 px on a copy (= the published rule, "STAL-8")</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 8.4.128 (August 2026; current 8.4.174)</w:t>
            </w:r>
          </w:p>
        </w:tc>
        <w:tc>
          <w:tcPr>
            <w:tcW w:type="dxa" w:w="51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Sides &lt; </w:t>
            </w:r>
            <w:r>
              <w:rPr>
                <w:rFonts w:ascii="Times New Roman" w:cs="Times New Roman" w:eastAsia="Times New Roman" w:hAnsi="Times New Roman"/>
                <w:sz w:val="19"/>
                <w:szCs w:val="19"/>
              </w:rPr>
              <w:t xml:space="preserve">16</w:t>
            </w:r>
            <w:r>
              <w:rPr>
                <w:rFonts w:ascii="Times New Roman" w:cs="Times New Roman" w:eastAsia="Times New Roman" w:hAnsi="Times New Roman"/>
                <w:sz w:val="19"/>
                <w:szCs w:val="19"/>
              </w:rPr>
              <w:t xml:space="preserve"> px set to 16 px ("STAL-16")</w:t>
            </w:r>
          </w:p>
        </w:tc>
      </w:tr>
    </w:tbl>
    <w:p>
      <w:pPr>
        <w:keepNext/>
        <w:spacing w:after="80" w:before="140"/>
      </w:pPr>
      <w:r>
        <w:rPr>
          <w:rFonts w:ascii="Times New Roman" w:cs="Times New Roman" w:eastAsia="Times New Roman" w:hAnsi="Times New Roman"/>
          <w:b/>
          <w:bCs/>
          <w:sz w:val="24"/>
          <w:szCs w:val="24"/>
        </w:rPr>
        <w:t xml:space="preserve">1.3. The necessity of the research / Sự cần thiết tiến hành nghiên cứu</w:t>
      </w:r>
    </w:p>
    <w:p>
      <w:pPr>
        <w:spacing w:after="120" w:before="0" w:line="300"/>
        <w:jc w:val="both"/>
      </w:pPr>
      <w:r>
        <w:rPr>
          <w:rFonts w:ascii="Times New Roman" w:cs="Times New Roman" w:eastAsia="Times New Roman" w:hAnsi="Times New Roman"/>
          <w:b/>
          <w:bCs/>
        </w:rPr>
        <w:t xml:space="preserve">Problem.</w:t>
      </w:r>
      <w:r>
        <w:rPr>
          <w:rFonts w:ascii="Times New Roman" w:cs="Times New Roman" w:eastAsia="Times New Roman" w:hAnsi="Times New Roman"/>
        </w:rPr>
        <w:t xml:space="preserve"> For tiny oriented objects, which candidate-region rule gives real-time detectors the most useful training signal, and why? </w:t>
      </w:r>
      <w:r>
        <w:rPr>
          <w:rFonts w:ascii="Times New Roman" w:cs="Times New Roman" w:eastAsia="Times New Roman" w:hAnsi="Times New Roman"/>
          <w:b/>
          <w:bCs/>
        </w:rPr>
        <w:t xml:space="preserve">Central hypothesis:</w:t>
      </w:r>
      <w:r>
        <w:rPr>
          <w:rFonts w:ascii="Times New Roman" w:cs="Times New Roman" w:eastAsia="Times New Roman" w:hAnsi="Times New Roman"/>
        </w:rPr>
        <w:t xml:space="preserve"> for objects at the scale of AI-TOD-R, the </w:t>
      </w:r>
      <w:r>
        <w:rPr>
          <w:rFonts w:ascii="Times New Roman" w:cs="Times New Roman" w:eastAsia="Times New Roman" w:hAnsi="Times New Roman"/>
          <w:i/>
          <w:iCs/>
        </w:rPr>
        <w:t xml:space="preserve">threshold</w:t>
      </w:r>
      <w:r>
        <w:rPr>
          <w:rFonts w:ascii="Times New Roman" w:cs="Times New Roman" w:eastAsia="Times New Roman" w:hAnsi="Times New Roman"/>
        </w:rPr>
        <w:t xml:space="preserve"> of the rule (8 vs 16 px) controls how many candidates an object receives, while its </w:t>
      </w:r>
      <w:r>
        <w:rPr>
          <w:rFonts w:ascii="Times New Roman" w:cs="Times New Roman" w:eastAsia="Times New Roman" w:hAnsi="Times New Roman"/>
          <w:i/>
          <w:iCs/>
        </w:rPr>
        <w:t xml:space="preserve">shape</w:t>
      </w:r>
      <w:r>
        <w:rPr>
          <w:rFonts w:ascii="Times New Roman" w:cs="Times New Roman" w:eastAsia="Times New Roman" w:hAnsi="Times New Roman"/>
        </w:rPr>
        <w:t xml:space="preserve"> controls only where candidates fall and how often neighbouring objects compete for them; therefore a shape-preserving rule can help only elongated objects in specific neighbour layouts, and this can be predicted from the labels before training.</w:t>
      </w:r>
    </w:p>
    <w:p>
      <w:pPr>
        <w:pStyle w:val="ListParagraph"/>
        <w:numPr>
          <w:ilvl w:val="0"/>
          <w:numId w:val="3"/>
        </w:numPr>
        <w:spacing w:after="50" w:line="264"/>
        <w:jc w:val="both"/>
      </w:pPr>
      <w:r>
        <w:rPr>
          <w:rFonts w:ascii="Times New Roman" w:cs="Times New Roman" w:eastAsia="Times New Roman" w:hAnsi="Times New Roman"/>
          <w:b/>
          <w:bCs/>
        </w:rPr>
        <w:t xml:space="preserve">Originality.</w:t>
      </w:r>
      <w:r>
        <w:rPr>
          <w:rFonts w:ascii="Times New Roman" w:cs="Times New Roman" w:eastAsia="Times New Roman" w:hAnsi="Times New Roman"/>
        </w:rPr>
        <w:t xml:space="preserve"> We do not claim a new mechanism family: shape-aware regions already exist [8–10]. What is new is (i) the regime (oriented tiny objects, mean 10.6 px), (ii) the place (YOLO's candidate step, where every STAL version acts), and (iii) the evidence: a geometric account plus predictions fixed before the experiments.</w:t>
      </w:r>
    </w:p>
    <w:p>
      <w:pPr>
        <w:pStyle w:val="ListParagraph"/>
        <w:numPr>
          <w:ilvl w:val="0"/>
          <w:numId w:val="3"/>
        </w:numPr>
        <w:spacing w:after="50" w:line="264"/>
        <w:jc w:val="both"/>
      </w:pPr>
      <w:r>
        <w:rPr>
          <w:rFonts w:ascii="Times New Roman" w:cs="Times New Roman" w:eastAsia="Times New Roman" w:hAnsi="Times New Roman"/>
          <w:b/>
          <w:bCs/>
        </w:rPr>
        <w:t xml:space="preserve">Timeliness.</w:t>
      </w:r>
      <w:r>
        <w:rPr>
          <w:rFonts w:ascii="Times New Roman" w:cs="Times New Roman" w:eastAsia="Times New Roman" w:hAnsi="Times New Roman"/>
        </w:rPr>
        <w:t xml:space="preserve"> YOLO26 was released in January 2026 and its oriented-box rule last changed in August 2026 [2]; AI-TOD-R was published in IEEE TPAMI in 2025 [3].</w:t>
      </w:r>
    </w:p>
    <w:p>
      <w:pPr>
        <w:pStyle w:val="ListParagraph"/>
        <w:numPr>
          <w:ilvl w:val="0"/>
          <w:numId w:val="3"/>
        </w:numPr>
        <w:spacing w:after="50" w:line="264"/>
        <w:jc w:val="both"/>
      </w:pPr>
      <w:r>
        <w:rPr>
          <w:rFonts w:ascii="Times New Roman" w:cs="Times New Roman" w:eastAsia="Times New Roman" w:hAnsi="Times New Roman"/>
          <w:b/>
          <w:bCs/>
        </w:rPr>
        <w:t xml:space="preserve">Scientific significance.</w:t>
      </w:r>
      <w:r>
        <w:rPr>
          <w:rFonts w:ascii="Times New Roman" w:cs="Times New Roman" w:eastAsia="Times New Roman" w:hAnsi="Times New Roman"/>
        </w:rPr>
        <w:t xml:space="preserve"> The study explains a widely used training trick instead of only reporting a score, and it gives other researchers a fair, size-binned YOLO baseline on the hardest oriented tiny-object benchmark.</w:t>
      </w:r>
    </w:p>
    <w:p>
      <w:pPr>
        <w:pStyle w:val="ListParagraph"/>
        <w:numPr>
          <w:ilvl w:val="0"/>
          <w:numId w:val="3"/>
        </w:numPr>
        <w:spacing w:after="50" w:line="264"/>
        <w:jc w:val="both"/>
      </w:pPr>
      <w:r>
        <w:rPr>
          <w:rFonts w:ascii="Times New Roman" w:cs="Times New Roman" w:eastAsia="Times New Roman" w:hAnsi="Times New Roman"/>
          <w:b/>
          <w:bCs/>
        </w:rPr>
        <w:t xml:space="preserve">Practical significance.</w:t>
      </w:r>
      <w:r>
        <w:rPr>
          <w:rFonts w:ascii="Times New Roman" w:cs="Times New Roman" w:eastAsia="Times New Roman" w:hAnsi="Times New Roman"/>
        </w:rPr>
        <w:t xml:space="preserve"> The proposed change is training-only: model size, speed and deployment pipeline stay identical, so any gain transfers directly to edge deployment.</w:t>
      </w:r>
    </w:p>
    <w:p>
      <w:pPr>
        <w:keepNext/>
        <w:spacing w:after="110" w:before="220"/>
      </w:pPr>
      <w:r>
        <w:rPr>
          <w:rFonts w:ascii="Times New Roman" w:cs="Times New Roman" w:eastAsia="Times New Roman" w:hAnsi="Times New Roman"/>
          <w:b/>
          <w:bCs/>
          <w:color w:val="000000"/>
          <w:sz w:val="26"/>
          <w:szCs w:val="26"/>
        </w:rPr>
        <w:t xml:space="preserve">2.	Research objectives / Mục tiêu của đề tài</w:t>
      </w:r>
    </w:p>
    <w:p>
      <w:pPr>
        <w:pStyle w:val="ListParagraph"/>
        <w:numPr>
          <w:ilvl w:val="0"/>
          <w:numId w:val="4"/>
        </w:numPr>
        <w:spacing w:after="50" w:line="264"/>
        <w:jc w:val="both"/>
      </w:pPr>
      <w:r>
        <w:rPr>
          <w:rFonts w:ascii="Times New Roman" w:cs="Times New Roman" w:eastAsia="Times New Roman" w:hAnsi="Times New Roman"/>
          <w:b/>
          <w:bCs/>
        </w:rPr>
        <w:t xml:space="preserve">O1 (RQ1).</w:t>
      </w:r>
      <w:r>
        <w:rPr>
          <w:rFonts w:ascii="Times New Roman" w:cs="Times New Roman" w:eastAsia="Times New Roman" w:hAnsi="Times New Roman"/>
        </w:rPr>
        <w:t xml:space="preserve"> Build a reproducible benchmark of YOLO11-OBB and YOLO26-OBB on AI-TOD-R, scored by the official evaluator, with AP per size bin and per class and measured speed, anchored by an in-house reproduction of one published baseline.</w:t>
      </w:r>
    </w:p>
    <w:p>
      <w:pPr>
        <w:pStyle w:val="ListParagraph"/>
        <w:numPr>
          <w:ilvl w:val="0"/>
          <w:numId w:val="4"/>
        </w:numPr>
        <w:spacing w:after="50" w:line="264"/>
        <w:jc w:val="both"/>
      </w:pPr>
      <w:r>
        <w:rPr>
          <w:rFonts w:ascii="Times New Roman" w:cs="Times New Roman" w:eastAsia="Times New Roman" w:hAnsi="Times New Roman"/>
          <w:b/>
          <w:bCs/>
        </w:rPr>
        <w:t xml:space="preserve">O2 (RQ2).</w:t>
      </w:r>
      <w:r>
        <w:rPr>
          <w:rFonts w:ascii="Times New Roman" w:cs="Times New Roman" w:eastAsia="Times New Roman" w:hAnsi="Times New Roman"/>
        </w:rPr>
        <w:t xml:space="preserve"> Measure, for each candidate rule, the zero-candidate rate, candidates and positives per object, conflicts between neighbouring objects and candidate placement, by size, aspect ratio and local density; relate these to per-object recall.</w:t>
      </w:r>
    </w:p>
    <w:p>
      <w:pPr>
        <w:pStyle w:val="ListParagraph"/>
        <w:numPr>
          <w:ilvl w:val="0"/>
          <w:numId w:val="4"/>
        </w:numPr>
        <w:spacing w:after="50" w:line="264"/>
        <w:jc w:val="both"/>
      </w:pPr>
      <w:r>
        <w:rPr>
          <w:rFonts w:ascii="Times New Roman" w:cs="Times New Roman" w:eastAsia="Times New Roman" w:hAnsi="Times New Roman"/>
          <w:b/>
          <w:bCs/>
        </w:rPr>
        <w:t xml:space="preserve">O3 (RQ3).</w:t>
      </w:r>
      <w:r>
        <w:rPr>
          <w:rFonts w:ascii="Times New Roman" w:cs="Times New Roman" w:eastAsia="Times New Roman" w:hAnsi="Times New Roman"/>
        </w:rPr>
        <w:t xml:space="preserve"> Design and test OA-STAL v2 and two conflict rules against STAL-16, with predictions registered before training; report effects with 3 seeds and 95% confidence intervals.</w:t>
      </w:r>
    </w:p>
    <w:p>
      <w:pPr>
        <w:pStyle w:val="ListParagraph"/>
        <w:numPr>
          <w:ilvl w:val="0"/>
          <w:numId w:val="4"/>
        </w:numPr>
        <w:spacing w:after="50" w:line="264"/>
        <w:jc w:val="both"/>
      </w:pPr>
      <w:r>
        <w:rPr>
          <w:rFonts w:ascii="Times New Roman" w:cs="Times New Roman" w:eastAsia="Times New Roman" w:hAnsi="Times New Roman"/>
          <w:b/>
          <w:bCs/>
        </w:rPr>
        <w:t xml:space="preserve">O4 (RQ4).</w:t>
      </w:r>
      <w:r>
        <w:rPr>
          <w:rFonts w:ascii="Times New Roman" w:cs="Times New Roman" w:eastAsia="Times New Roman" w:hAnsi="Times New Roman"/>
        </w:rPr>
        <w:t xml:space="preserve"> Check whether the findings transfer to a second dataset in proportion to the share of objects affected by the rules.</w:t>
      </w:r>
    </w:p>
    <w:p>
      <w:pPr>
        <w:pStyle w:val="ListParagraph"/>
        <w:numPr>
          <w:ilvl w:val="0"/>
          <w:numId w:val="4"/>
        </w:numPr>
        <w:spacing w:after="50" w:line="264"/>
        <w:jc w:val="both"/>
      </w:pPr>
      <w:r>
        <w:rPr>
          <w:rFonts w:ascii="Times New Roman" w:cs="Times New Roman" w:eastAsia="Times New Roman" w:hAnsi="Times New Roman"/>
          <w:b/>
          <w:bCs/>
        </w:rPr>
        <w:t xml:space="preserve">O5.</w:t>
      </w:r>
      <w:r>
        <w:rPr>
          <w:rFonts w:ascii="Times New Roman" w:cs="Times New Roman" w:eastAsia="Times New Roman" w:hAnsi="Times New Roman"/>
        </w:rPr>
        <w:t xml:space="preserve"> Release code, configurations, prediction files and a written protocol so that the results can be reproduced.</w:t>
      </w:r>
    </w:p>
    <w:p>
      <w:pPr>
        <w:keepNext/>
        <w:spacing w:after="110" w:before="220"/>
      </w:pPr>
      <w:r>
        <w:rPr>
          <w:rFonts w:ascii="Times New Roman" w:cs="Times New Roman" w:eastAsia="Times New Roman" w:hAnsi="Times New Roman"/>
          <w:b/>
          <w:bCs/>
          <w:color w:val="000000"/>
          <w:sz w:val="26"/>
          <w:szCs w:val="26"/>
        </w:rPr>
        <w:t xml:space="preserve">3.	Research scope / Phạm vi nghiên cứu</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9"/>
                <w:szCs w:val="19"/>
              </w:rPr>
              <w:t xml:space="preserve">In scope</w:t>
            </w:r>
          </w:p>
        </w:tc>
        <w:tc>
          <w:tcPr>
            <w:tcW w:type="dxa" w:w="4677"/>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9"/>
                <w:szCs w:val="19"/>
              </w:rPr>
              <w:t xml:space="preserve">Out of scope</w:t>
            </w:r>
          </w:p>
        </w:tc>
      </w:tr>
      <w:tr>
        <w:trPr>
          <w:cantSplit/>
        </w:trPr>
        <w:tc>
          <w:tcPr>
            <w:tcW w:type="dxa" w:w="46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Oriented (rotated-box) detection of tiny objects in optical aerial images</w:t>
            </w:r>
          </w:p>
        </w:tc>
        <w:tc>
          <w:tcPr>
            <w:tcW w:type="dxa" w:w="46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Horizontal-box detection, segmentation, video tracking, SAR/infrared images</w:t>
            </w:r>
          </w:p>
        </w:tc>
      </w:tr>
      <w:tr>
        <w:trPr>
          <w:cantSplit/>
        </w:trPr>
        <w:tc>
          <w:tcPr>
            <w:tcW w:type="dxa" w:w="46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AI-TOD-R (main); SODA-A or DOTA-v2.0 train→val (second dataset)</w:t>
            </w:r>
          </w:p>
        </w:tc>
        <w:tc>
          <w:tcPr>
            <w:tcW w:type="dxa" w:w="46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Collecting or labelling new images</w:t>
            </w:r>
          </w:p>
        </w:tc>
      </w:tr>
      <w:tr>
        <w:trPr>
          <w:cantSplit/>
        </w:trPr>
        <w:tc>
          <w:tcPr>
            <w:tcW w:type="dxa" w:w="46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YOLO11-OBB and YOLO26-OBB (sizes n and s), one pinned Ultralytics code base; one reproduced MMRotate baseline</w:t>
            </w:r>
          </w:p>
        </w:tc>
        <w:tc>
          <w:tcPr>
            <w:tcW w:type="dxa" w:w="46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New backbones, attention modules or architectures; large models (l, x)</w:t>
            </w:r>
          </w:p>
        </w:tc>
      </w:tr>
      <w:tr>
        <w:trPr>
          <w:cantSplit/>
        </w:trPr>
        <w:tc>
          <w:tcPr>
            <w:tcW w:type="dxa" w:w="46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Training-time label-assignment rules: candidate region and conflict resolution</w:t>
            </w:r>
          </w:p>
        </w:tc>
        <w:tc>
          <w:tcPr>
            <w:tcW w:type="dxa" w:w="46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Changes to inference, loss functions or data augmentation research</w:t>
            </w:r>
          </w:p>
        </w:tc>
      </w:tr>
      <w:tr>
        <w:trPr>
          <w:cantSplit/>
        </w:trPr>
        <w:tc>
          <w:tcPr>
            <w:tcW w:type="dxa" w:w="46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Metrics: AP, AP50, AP75, AP per size bin and class (official AITODReval); latency, parameters, FLOPs</w:t>
            </w:r>
          </w:p>
        </w:tc>
        <w:tc>
          <w:tcPr>
            <w:tcW w:type="dxa" w:w="46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Claims of state-of-the-art accuracy or general claims about all YOLO models</w:t>
            </w:r>
          </w:p>
        </w:tc>
      </w:tr>
    </w:tbl>
    <w:p>
      <w:pPr>
        <w:keepNext/>
        <w:spacing w:after="110" w:before="220"/>
      </w:pPr>
      <w:r>
        <w:rPr>
          <w:rFonts w:ascii="Times New Roman" w:cs="Times New Roman" w:eastAsia="Times New Roman" w:hAnsi="Times New Roman"/>
          <w:b/>
          <w:bCs/>
          <w:color w:val="000000"/>
          <w:sz w:val="26"/>
          <w:szCs w:val="26"/>
        </w:rPr>
        <w:t xml:space="preserve">4.	Feasibility of research / Tính khả thi của đề tài</w:t>
      </w:r>
    </w:p>
    <w:p>
      <w:pPr>
        <w:pStyle w:val="ListParagraph"/>
        <w:numPr>
          <w:ilvl w:val="0"/>
          <w:numId w:val="3"/>
        </w:numPr>
        <w:spacing w:after="50" w:line="264"/>
        <w:jc w:val="both"/>
      </w:pPr>
      <w:r>
        <w:rPr>
          <w:rFonts w:ascii="Times New Roman" w:cs="Times New Roman" w:eastAsia="Times New Roman" w:hAnsi="Times New Roman"/>
          <w:b/>
          <w:bCs/>
        </w:rPr>
        <w:t xml:space="preserve">Data.</w:t>
      </w:r>
      <w:r>
        <w:rPr>
          <w:rFonts w:ascii="Times New Roman" w:cs="Times New Roman" w:eastAsia="Times New Roman" w:hAnsi="Times New Roman"/>
        </w:rPr>
        <w:t xml:space="preserve"> AI-TOD-R labels are public (</w:t>
      </w:r>
      <w:r>
        <w:rPr>
          <w:rFonts w:ascii="Consolas" w:cs="Consolas" w:eastAsia="Consolas" w:hAnsi="Consolas"/>
          <w:sz w:val="21"/>
          <w:szCs w:val="21"/>
        </w:rPr>
        <w:t xml:space="preserve">labels.zip</w:t>
      </w:r>
      <w:r>
        <w:rPr>
          <w:rFonts w:ascii="Times New Roman" w:cs="Times New Roman" w:eastAsia="Times New Roman" w:hAnsi="Times New Roman"/>
        </w:rPr>
        <w:t xml:space="preserve">); images are rebuilt with the AI-TOD script after registering for the xView dataset [15, 16]. This is the first task of week 1 (Table 5).</w:t>
      </w:r>
    </w:p>
    <w:p>
      <w:pPr>
        <w:pStyle w:val="ListParagraph"/>
        <w:numPr>
          <w:ilvl w:val="0"/>
          <w:numId w:val="3"/>
        </w:numPr>
        <w:spacing w:after="50" w:line="264"/>
        <w:jc w:val="both"/>
      </w:pPr>
      <w:r>
        <w:rPr>
          <w:rFonts w:ascii="Times New Roman" w:cs="Times New Roman" w:eastAsia="Times New Roman" w:hAnsi="Times New Roman"/>
          <w:b/>
          <w:bCs/>
        </w:rPr>
        <w:t xml:space="preserve">Tools.</w:t>
      </w:r>
      <w:r>
        <w:rPr>
          <w:rFonts w:ascii="Times New Roman" w:cs="Times New Roman" w:eastAsia="Times New Roman" w:hAnsi="Times New Roman"/>
        </w:rPr>
        <w:t xml:space="preserve"> Everything is open source: Ultralytics (YOLO11/26-OBB) [2], the official AI-TOD-R code and evaluator </w:t>
      </w:r>
      <w:r>
        <w:rPr>
          <w:rFonts w:ascii="Consolas" w:cs="Consolas" w:eastAsia="Consolas" w:hAnsi="Consolas"/>
          <w:sz w:val="21"/>
          <w:szCs w:val="21"/>
        </w:rPr>
        <w:t xml:space="preserve">AITODReval</w:t>
      </w:r>
      <w:r>
        <w:rPr>
          <w:rFonts w:ascii="Times New Roman" w:cs="Times New Roman" w:eastAsia="Times New Roman" w:hAnsi="Times New Roman"/>
        </w:rPr>
        <w:t xml:space="preserve"> [15], MMRotate for the baseline. The team works in Python/PyTorch, which the DPL302m course already uses.</w:t>
      </w:r>
    </w:p>
    <w:p>
      <w:pPr>
        <w:pStyle w:val="ListParagraph"/>
        <w:numPr>
          <w:ilvl w:val="0"/>
          <w:numId w:val="3"/>
        </w:numPr>
        <w:spacing w:after="50" w:line="264"/>
        <w:jc w:val="both"/>
      </w:pPr>
      <w:r>
        <w:rPr>
          <w:rFonts w:ascii="Times New Roman" w:cs="Times New Roman" w:eastAsia="Times New Roman" w:hAnsi="Times New Roman"/>
          <w:b/>
          <w:bCs/>
        </w:rPr>
        <w:t xml:space="preserve">Compute.</w:t>
      </w:r>
      <w:r>
        <w:rPr>
          <w:rFonts w:ascii="Times New Roman" w:cs="Times New Roman" w:eastAsia="Times New Roman" w:hAnsi="Times New Roman"/>
        </w:rPr>
        <w:t xml:space="preserve"> Kaggle Notebooks give a free P100 or 2×T4 GPU, about 30 GPU-hours per week and 12-hour sessions [18]; training saves a checkpoint every epoch and resumes across sessions. Modal (≤ US$100) is the overflow. The time per run is estimated in Section 6 and replaced by a measured value in week 2.</w:t>
      </w:r>
    </w:p>
    <w:p>
      <w:pPr>
        <w:pStyle w:val="ListParagraph"/>
        <w:numPr>
          <w:ilvl w:val="0"/>
          <w:numId w:val="3"/>
        </w:numPr>
        <w:spacing w:after="50" w:line="264"/>
        <w:jc w:val="both"/>
      </w:pPr>
      <w:r>
        <w:rPr>
          <w:rFonts w:ascii="Times New Roman" w:cs="Times New Roman" w:eastAsia="Times New Roman" w:hAnsi="Times New Roman"/>
          <w:b/>
          <w:bCs/>
        </w:rPr>
        <w:t xml:space="preserve">Baselines.</w:t>
      </w:r>
      <w:r>
        <w:rPr>
          <w:rFonts w:ascii="Times New Roman" w:cs="Times New Roman" w:eastAsia="Times New Roman" w:hAnsi="Times New Roman"/>
        </w:rPr>
        <w:t xml:space="preserve"> The published AI-TOD-R table gives reference numbers [3]; we reproduce one row (RetinaNet-O, 7.3 AP) to check our evaluation pipeline (target: within ±1.0 AP).</w:t>
      </w:r>
    </w:p>
    <w:p>
      <w:pPr>
        <w:pStyle w:val="ListParagraph"/>
        <w:numPr>
          <w:ilvl w:val="0"/>
          <w:numId w:val="3"/>
        </w:numPr>
        <w:spacing w:after="50" w:line="264"/>
        <w:jc w:val="both"/>
      </w:pPr>
      <w:r>
        <w:rPr>
          <w:rFonts w:ascii="Times New Roman" w:cs="Times New Roman" w:eastAsia="Times New Roman" w:hAnsi="Times New Roman"/>
          <w:b/>
          <w:bCs/>
        </w:rPr>
        <w:t xml:space="preserve">Risks and fallbacks.</w:t>
      </w:r>
      <w:r>
        <w:rPr>
          <w:rFonts w:ascii="Times New Roman" w:cs="Times New Roman" w:eastAsia="Times New Roman" w:hAnsi="Times New Roman"/>
        </w:rPr>
        <w:t xml:space="preserve"> If xView access fails within two weeks, we use DOTA-v2.0 train→val (as in DCFL's own ablations [3]) and narrow the claims. If compute is short, we cut arms in a fixed order (Section 6). If OA-STAL v2 does not help, the benchmark and the diagnosis remain useful results, provided the diagnosis shows a clear mechanism (Section 7).</w:t>
      </w:r>
    </w:p>
    <w:p>
      <w:pPr>
        <w:keepNext/>
        <w:spacing w:after="140"/>
        <w:jc w:val="center"/>
      </w:pPr>
      <w:r>
        <w:rPr>
          <w:rFonts w:ascii="Times New Roman" w:cs="Times New Roman" w:eastAsia="Times New Roman" w:hAnsi="Times New Roman"/>
          <w:i/>
          <w:iCs/>
          <w:sz w:val="20"/>
          <w:szCs w:val="20"/>
        </w:rPr>
        <w:t xml:space="preserve">Table 3. Main risks, our judgement of their likelihood, and the planned response.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54"/>
      </w:tblGrid>
      <w:tr>
        <w:trPr>
          <w:tblHeader/>
        </w:trPr>
        <w:tc>
          <w:tcPr>
            <w:tcW w:type="dxa" w:w="30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8"/>
                <w:szCs w:val="18"/>
              </w:rPr>
              <w:t xml:space="preserve">Risk</w:t>
            </w:r>
          </w:p>
        </w:tc>
        <w:tc>
          <w:tcPr>
            <w:tcW w:type="dxa" w:w="27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8"/>
                <w:szCs w:val="18"/>
              </w:rPr>
              <w:t xml:space="preserve">Likelihood (judgement)</w:t>
            </w:r>
          </w:p>
        </w:tc>
        <w:tc>
          <w:tcPr>
            <w:tcW w:type="dxa" w:w="3654"/>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8"/>
                <w:szCs w:val="18"/>
              </w:rPr>
              <w:t xml:space="preserve">Planned response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xView access or image rebuilding is delayed</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unknown</w:t>
            </w:r>
          </w:p>
        </w:tc>
        <w:tc>
          <w:tcPr>
            <w:tcW w:type="dxa" w:w="36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Use DOTA-v2.0 train→val as a pre-declared fallback and narrow the claims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OA-STAL v2 gives no gain over STAL-16</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medium–high: Proposition 1 shows shape changes only placement; one-stage assignment gains in the literature are ≤ 1.6 AP [5, 6]</w:t>
            </w:r>
          </w:p>
        </w:tc>
        <w:tc>
          <w:tcPr>
            <w:tcW w:type="dxa" w:w="36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Report the benchmark and the diagnosis; a null result is reported as a result, not hidden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Differences are within seed noise</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medium</w:t>
            </w:r>
          </w:p>
        </w:tc>
        <w:tc>
          <w:tcPr>
            <w:tcW w:type="dxa" w:w="36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Three seeds, bootstrap confidence intervals, minimal effect fixed from measured seed variance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Our evaluation pipeline differs from the official one</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medium</w:t>
            </w:r>
          </w:p>
        </w:tc>
        <w:tc>
          <w:tcPr>
            <w:tcW w:type="dxa" w:w="36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Reproduce a published baseline row before any comparison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The Ultralytics rule changes again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certain (already happened, Table 2)</w:t>
            </w:r>
          </w:p>
        </w:tc>
        <w:tc>
          <w:tcPr>
            <w:tcW w:type="dxa" w:w="36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One frozen code copy; all rules as explicit parameters; commit recorded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Closer prior work appears (e.g. [13])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unknown</w:t>
            </w:r>
          </w:p>
        </w:tc>
        <w:tc>
          <w:tcPr>
            <w:tcW w:type="dxa" w:w="36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Literature re-check in week 13; no "first" claims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GPU quota is not enough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medium</w:t>
            </w:r>
          </w:p>
        </w:tc>
        <w:tc>
          <w:tcPr>
            <w:tcW w:type="dxa" w:w="36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Fixed cutting order (Section 6); Modal overflow up to US$100</w:t>
            </w:r>
          </w:p>
        </w:tc>
      </w:tr>
    </w:tbl>
    <w:p>
      <w:pPr>
        <w:spacing w:after="120" w:before="0" w:line="300"/>
        <w:jc w:val="both"/>
      </w:pPr>
      <w:r>
        <w:rPr>
          <w:rFonts w:ascii="Times New Roman" w:cs="Times New Roman" w:eastAsia="Times New Roman" w:hAnsi="Times New Roman"/>
          <w:b/>
          <w:bCs/>
        </w:rPr>
        <w:t xml:space="preserve">Status:</w:t>
      </w:r>
      <w:r>
        <w:rPr>
          <w:rFonts w:ascii="Times New Roman" w:cs="Times New Roman" w:eastAsia="Times New Roman" w:hAnsi="Times New Roman"/>
        </w:rPr>
        <w:t xml:space="preserve"> no experiment has been run yet. The plan becomes fully runnable after the week-2 checkpoint (data rebuilt, evaluator validated, speed measured).</w:t>
      </w:r>
    </w:p>
    <w:p>
      <w:pPr>
        <w:keepNext/>
        <w:spacing w:after="110" w:before="220"/>
      </w:pPr>
      <w:r>
        <w:rPr>
          <w:rFonts w:ascii="Times New Roman" w:cs="Times New Roman" w:eastAsia="Times New Roman" w:hAnsi="Times New Roman"/>
          <w:b/>
          <w:bCs/>
          <w:color w:val="000000"/>
          <w:sz w:val="26"/>
          <w:szCs w:val="26"/>
        </w:rPr>
        <w:t xml:space="preserve">5.	Approach and Method / Cách tiếp cận và phương pháp nghiên cứu</w:t>
      </w:r>
    </w:p>
    <w:p>
      <w:pPr>
        <w:keepNext/>
        <w:spacing w:after="80" w:before="140"/>
      </w:pPr>
      <w:r>
        <w:rPr>
          <w:rFonts w:ascii="Times New Roman" w:cs="Times New Roman" w:eastAsia="Times New Roman" w:hAnsi="Times New Roman"/>
          <w:b/>
          <w:bCs/>
          <w:sz w:val="24"/>
          <w:szCs w:val="24"/>
        </w:rPr>
        <w:t xml:space="preserve">5.1. Overall framework</w:t>
      </w:r>
    </w:p>
    <w:p>
      <w:pPr>
        <w:spacing w:after="120" w:before="0" w:line="300"/>
        <w:jc w:val="both"/>
      </w:pPr>
      <w:r>
        <w:rPr>
          <w:rFonts w:ascii="Times New Roman" w:cs="Times New Roman" w:eastAsia="Times New Roman" w:hAnsi="Times New Roman"/>
        </w:rPr>
        <w:t xml:space="preserve">Figure 1 shows the system. Data are prepared once; every experiment trains the same YOLO-OBB model in one frozen copy of the Ultralytics code and changes </w:t>
      </w:r>
      <w:r>
        <w:rPr>
          <w:rFonts w:ascii="Times New Roman" w:cs="Times New Roman" w:eastAsia="Times New Roman" w:hAnsi="Times New Roman"/>
          <w:b/>
          <w:bCs/>
        </w:rPr>
        <w:t xml:space="preserve">only</w:t>
      </w:r>
      <w:r>
        <w:rPr>
          <w:rFonts w:ascii="Times New Roman" w:cs="Times New Roman" w:eastAsia="Times New Roman" w:hAnsi="Times New Roman"/>
        </w:rPr>
        <w:t xml:space="preserve"> the label assigner (red block). Predictions are always scored by the official evaluator. The diagnosis (green block) runs first on the labels alone and fixes the predictions that the training experiments must confirm or reject.</w:t>
      </w:r>
    </w:p>
    <w:p>
      <w:pPr>
        <w:keepNext/>
        <w:spacing w:after="40" w:before="80"/>
        <w:jc w:val="center"/>
      </w:pPr>
      <w:r>
        <w:drawing>
          <wp:inline distT="0" distB="0" distL="0" distR="0">
            <wp:extent cx="58102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314700"/>
                    </a:xfrm>
                    <a:prstGeom prst="rect">
                      <a:avLst/>
                    </a:prstGeom>
                  </pic:spPr>
                </pic:pic>
              </a:graphicData>
            </a:graphic>
          </wp:inline>
        </w:drawing>
      </w:r>
    </w:p>
    <w:p>
      <w:pPr>
        <w:keepNext/>
        <w:spacing w:after="140"/>
        <w:jc w:val="center"/>
      </w:pPr>
      <w:r>
        <w:rPr>
          <w:rFonts w:ascii="Times New Roman" w:cs="Times New Roman" w:eastAsia="Times New Roman" w:hAnsi="Times New Roman"/>
          <w:i/>
          <w:iCs/>
          <w:sz w:val="20"/>
          <w:szCs w:val="20"/>
        </w:rPr>
        <w:t xml:space="preserve">Figure 1. Research framework. Only the label assigner changes between experiments; inference is identical.</w:t>
      </w:r>
    </w:p>
    <w:p>
      <w:pPr>
        <w:keepNext/>
        <w:spacing w:after="80" w:before="140"/>
      </w:pPr>
      <w:r>
        <w:rPr>
          <w:rFonts w:ascii="Times New Roman" w:cs="Times New Roman" w:eastAsia="Times New Roman" w:hAnsi="Times New Roman"/>
          <w:b/>
          <w:bCs/>
          <w:sz w:val="24"/>
          <w:szCs w:val="24"/>
        </w:rPr>
        <w:t xml:space="preserve">5.2. How YOLO chooses training samples</w:t>
      </w:r>
    </w:p>
    <w:p>
      <w:pPr>
        <w:spacing w:after="120" w:before="0" w:line="300"/>
        <w:jc w:val="both"/>
      </w:pPr>
      <w:r>
        <w:rPr>
          <w:rFonts w:ascii="Times New Roman" w:cs="Times New Roman" w:eastAsia="Times New Roman" w:hAnsi="Times New Roman"/>
        </w:rPr>
        <w:t xml:space="preserve">For each ground-truth (GT) box, YOLO's task-aligned assigner [14, 2] works in three steps: (1) </w:t>
      </w:r>
      <w:r>
        <w:rPr>
          <w:rFonts w:ascii="Times New Roman" w:cs="Times New Roman" w:eastAsia="Times New Roman" w:hAnsi="Times New Roman"/>
          <w:b/>
          <w:bCs/>
        </w:rPr>
        <w:t xml:space="preserve">candidate selection</w:t>
      </w:r>
      <w:r>
        <w:rPr>
          <w:rFonts w:ascii="Times New Roman" w:cs="Times New Roman" w:eastAsia="Times New Roman" w:hAnsi="Times New Roman"/>
        </w:rPr>
        <w:t xml:space="preserve"> — keep the anchor points whose centres fall inside a candidate region around the GT; (2) </w:t>
      </w:r>
      <w:r>
        <w:rPr>
          <w:rFonts w:ascii="Times New Roman" w:cs="Times New Roman" w:eastAsia="Times New Roman" w:hAnsi="Times New Roman"/>
          <w:b/>
          <w:bCs/>
        </w:rPr>
        <w:t xml:space="preserve">ranking</w:t>
      </w:r>
      <w:r>
        <w:rPr>
          <w:rFonts w:ascii="Times New Roman" w:cs="Times New Roman" w:eastAsia="Times New Roman" w:hAnsi="Times New Roman"/>
        </w:rPr>
        <w:t xml:space="preserve"> — score each candidate by classification confidence and predicted-box overlap and keep the best ones as </w:t>
      </w:r>
      <w:r>
        <w:rPr>
          <w:rFonts w:ascii="Times New Roman" w:cs="Times New Roman" w:eastAsia="Times New Roman" w:hAnsi="Times New Roman"/>
          <w:i/>
          <w:iCs/>
        </w:rPr>
        <w:t xml:space="preserve">positives</w:t>
      </w:r>
      <w:r>
        <w:rPr>
          <w:rFonts w:ascii="Times New Roman" w:cs="Times New Roman" w:eastAsia="Times New Roman" w:hAnsi="Times New Roman"/>
        </w:rPr>
        <w:t xml:space="preserve">; (3) </w:t>
      </w:r>
      <w:r>
        <w:rPr>
          <w:rFonts w:ascii="Times New Roman" w:cs="Times New Roman" w:eastAsia="Times New Roman" w:hAnsi="Times New Roman"/>
          <w:b/>
          <w:bCs/>
        </w:rPr>
        <w:t xml:space="preserve">conflict resolution</w:t>
      </w:r>
      <w:r>
        <w:rPr>
          <w:rFonts w:ascii="Times New Roman" w:cs="Times New Roman" w:eastAsia="Times New Roman" w:hAnsi="Times New Roman"/>
        </w:rPr>
        <w:t xml:space="preserve"> — if one anchor point is a positive for several GTs, give it to the GT with the highest overlap. Anchor points lie on grids with spacing (stride) 8, 16 and 32 px. A 4×12 px object can therefore fall between grid points and receive no candidate at all. STAL enlarges the candidate region in step 1 only. This project studies step 1 and step 3.</w:t>
      </w:r>
    </w:p>
    <w:p>
      <w:pPr>
        <w:keepNext/>
        <w:spacing w:after="80" w:before="140"/>
      </w:pPr>
      <w:r>
        <w:rPr>
          <w:rFonts w:ascii="Times New Roman" w:cs="Times New Roman" w:eastAsia="Times New Roman" w:hAnsi="Times New Roman"/>
          <w:b/>
          <w:bCs/>
          <w:sz w:val="24"/>
          <w:szCs w:val="24"/>
        </w:rPr>
        <w:t xml:space="preserve">5.3. Candidate-region rules and a geometric analysis</w:t>
      </w:r>
    </w:p>
    <w:p>
      <w:pPr>
        <w:spacing w:after="120" w:before="0" w:line="300"/>
        <w:jc w:val="both"/>
      </w:pPr>
      <w:r>
        <w:rPr>
          <w:rFonts w:ascii="Times New Roman" w:cs="Times New Roman" w:eastAsia="Times New Roman" w:hAnsi="Times New Roman"/>
        </w:rPr>
        <w:t xml:space="preserve">Figure 2 compares the four rules on the same rotated 4×12 px object. TAL uses the object itself; STAL-8 enlarges only the 4-px side, which turns the region by 90° relative to the object; STAL-16 turns it into a 16×16 square; our OA-STAL v2 enlarges the object </w:t>
      </w:r>
      <w:r>
        <w:rPr>
          <w:rFonts w:ascii="Times New Roman" w:cs="Times New Roman" w:eastAsia="Times New Roman" w:hAnsi="Times New Roman"/>
          <w:i/>
          <w:iCs/>
        </w:rPr>
        <w:t xml:space="preserve">similarly</w:t>
      </w:r>
      <w:r>
        <w:rPr>
          <w:rFonts w:ascii="Times New Roman" w:cs="Times New Roman" w:eastAsia="Times New Roman" w:hAnsi="Times New Roman"/>
        </w:rPr>
        <w:t xml:space="preserve"> (same centre, angle and shape) until it has the same area as STAL-16.</w:t>
      </w:r>
    </w:p>
    <w:p>
      <w:pPr>
        <w:keepNext/>
        <w:spacing w:after="40" w:before="80"/>
        <w:jc w:val="center"/>
      </w:pPr>
      <w:r>
        <w:drawing>
          <wp:inline distT="0" distB="0" distL="0" distR="0">
            <wp:extent cx="6096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438275"/>
                    </a:xfrm>
                    <a:prstGeom prst="rect">
                      <a:avLst/>
                    </a:prstGeom>
                  </pic:spPr>
                </pic:pic>
              </a:graphicData>
            </a:graphic>
          </wp:inline>
        </w:drawing>
      </w:r>
    </w:p>
    <w:p>
      <w:pPr>
        <w:keepNext/>
        <w:spacing w:after="140"/>
        <w:jc w:val="center"/>
      </w:pPr>
      <w:r>
        <w:rPr>
          <w:rFonts w:ascii="Times New Roman" w:cs="Times New Roman" w:eastAsia="Times New Roman" w:hAnsi="Times New Roman"/>
          <w:i/>
          <w:iCs/>
          <w:sz w:val="20"/>
          <w:szCs w:val="20"/>
        </w:rPr>
        <w:t xml:space="preserve">Figure 2. Candidate regions of the four rules for one rotated 4×12 px object (computed for one placement on the anchor grid).</w:t>
      </w:r>
    </w:p>
    <w:p>
      <w:pPr>
        <w:spacing w:after="120" w:before="0" w:line="300"/>
        <w:jc w:val="both"/>
      </w:pPr>
      <w:r>
        <w:rPr>
          <w:rFonts w:ascii="Times New Roman" w:cs="Times New Roman" w:eastAsia="Times New Roman" w:hAnsi="Times New Roman"/>
          <w:b/>
          <w:bCs/>
        </w:rPr>
        <w:t xml:space="preserve">Proposition 1 (expected number of candidates).</w:t>
      </w:r>
      <w:r>
        <w:rPr>
          <w:rFonts w:ascii="Times New Roman" w:cs="Times New Roman" w:eastAsia="Times New Roman" w:hAnsi="Times New Roman"/>
        </w:rPr>
        <w:t xml:space="preserve"> If a candidate region R is placed at a random position on the anchor grids, the expected number of anchor centres inside it is</w:t>
      </w:r>
    </w:p>
    <w:p>
      <w:pPr>
        <w:spacing w:after="100" w:before="60"/>
        <w:jc w:val="center"/>
      </w:pPr>
      <w:r>
        <w:rPr>
          <w:rFonts w:ascii="Times New Roman" w:cs="Times New Roman" w:eastAsia="Times New Roman" w:hAnsi="Times New Roman"/>
          <w:i w:val="false"/>
          <w:iCs w:val="false"/>
        </w:rPr>
        <w:t xml:space="preserve">E[N] = area(R) × (1/8² + 1/16² + 1/32²) = (21/1024) × area(R) ≈ 0.0205 × area(R).</w:t>
      </w:r>
    </w:p>
    <w:p>
      <w:pPr>
        <w:spacing w:after="120" w:before="0" w:line="300"/>
        <w:jc w:val="both"/>
      </w:pPr>
      <w:r>
        <w:rPr>
          <w:rFonts w:ascii="Times New Roman" w:cs="Times New Roman" w:eastAsia="Times New Roman" w:hAnsi="Times New Roman"/>
          <w:i/>
          <w:iCs/>
        </w:rPr>
        <w:t xml:space="preserve">Why:</w:t>
      </w:r>
      <w:r>
        <w:rPr>
          <w:rFonts w:ascii="Times New Roman" w:cs="Times New Roman" w:eastAsia="Times New Roman" w:hAnsi="Times New Roman"/>
        </w:rPr>
        <w:t xml:space="preserve"> on a grid with spacing s, a randomly placed region of area A contains on average A/s² grid points; rotation does not change area, and the three grids are added because the assigner pools them. </w:t>
      </w:r>
      <w:r>
        <w:rPr>
          <w:rFonts w:ascii="Times New Roman" w:cs="Times New Roman" w:eastAsia="Times New Roman" w:hAnsi="Times New Roman"/>
          <w:i/>
          <w:iCs/>
        </w:rPr>
        <w:t xml:space="preserve">Check:</w:t>
      </w:r>
      <w:r>
        <w:rPr>
          <w:rFonts w:ascii="Times New Roman" w:cs="Times New Roman" w:eastAsia="Times New Roman" w:hAnsi="Times New Roman"/>
        </w:rPr>
        <w:t xml:space="preserve"> an independent simulation of the code's rotated test gives 5.2–5.3 candidates for a 16×16 region (predicted 5.25) and 2.05 for a 10×10 box (predicted 2.05). Three consequences guide the whole study:</w:t>
      </w:r>
    </w:p>
    <w:p>
      <w:pPr>
        <w:pStyle w:val="ListParagraph"/>
        <w:numPr>
          <w:ilvl w:val="0"/>
          <w:numId w:val="3"/>
        </w:numPr>
        <w:spacing w:after="50" w:line="264"/>
        <w:jc w:val="both"/>
      </w:pPr>
      <w:r>
        <w:rPr>
          <w:rFonts w:ascii="Times New Roman" w:cs="Times New Roman" w:eastAsia="Times New Roman" w:hAnsi="Times New Roman"/>
          <w:b/>
          <w:bCs/>
        </w:rPr>
        <w:t xml:space="preserve">Tiny boxes can be missed.</w:t>
      </w:r>
      <w:r>
        <w:rPr>
          <w:rFonts w:ascii="Times New Roman" w:cs="Times New Roman" w:eastAsia="Times New Roman" w:hAnsi="Times New Roman"/>
        </w:rPr>
        <w:t xml:space="preserve"> Since N is a whole number, P(N = 0) ≥ 1 − 0.0205 × area: a 4×4 px box has at least a 67% chance of receiving no candidate under plain TAL (simulation: 67.1%). This is the failure STAL fixes.</w:t>
      </w:r>
    </w:p>
    <w:p>
      <w:pPr>
        <w:pStyle w:val="ListParagraph"/>
        <w:numPr>
          <w:ilvl w:val="0"/>
          <w:numId w:val="3"/>
        </w:numPr>
        <w:spacing w:after="50" w:line="264"/>
        <w:jc w:val="both"/>
      </w:pPr>
      <w:r>
        <w:rPr>
          <w:rFonts w:ascii="Times New Roman" w:cs="Times New Roman" w:eastAsia="Times New Roman" w:hAnsi="Times New Roman"/>
          <w:b/>
          <w:bCs/>
        </w:rPr>
        <w:t xml:space="preserve">Same area means same count.</w:t>
      </w:r>
      <w:r>
        <w:rPr>
          <w:rFonts w:ascii="Times New Roman" w:cs="Times New Roman" w:eastAsia="Times New Roman" w:hAnsi="Times New Roman"/>
        </w:rPr>
        <w:t xml:space="preserve"> Two rules with equal region area give the same expected number of candidates. So a shape-preserving rule cannot add candidates compared with STAL-16; it can only change </w:t>
      </w:r>
      <w:r>
        <w:rPr>
          <w:rFonts w:ascii="Times New Roman" w:cs="Times New Roman" w:eastAsia="Times New Roman" w:hAnsi="Times New Roman"/>
          <w:i/>
          <w:iCs/>
        </w:rPr>
        <w:t xml:space="preserve">where</w:t>
      </w:r>
      <w:r>
        <w:rPr>
          <w:rFonts w:ascii="Times New Roman" w:cs="Times New Roman" w:eastAsia="Times New Roman" w:hAnsi="Times New Roman"/>
        </w:rPr>
        <w:t xml:space="preserve"> they fall and </w:t>
      </w:r>
      <w:r>
        <w:rPr>
          <w:rFonts w:ascii="Times New Roman" w:cs="Times New Roman" w:eastAsia="Times New Roman" w:hAnsi="Times New Roman"/>
          <w:i/>
          <w:iCs/>
        </w:rPr>
        <w:t xml:space="preserve">how often neighbours compete</w:t>
      </w:r>
      <w:r>
        <w:rPr>
          <w:rFonts w:ascii="Times New Roman" w:cs="Times New Roman" w:eastAsia="Times New Roman" w:hAnsi="Times New Roman"/>
        </w:rPr>
        <w:t xml:space="preserve">. Our hypothesis is therefore about placement and conflicts, not coverage.</w:t>
      </w:r>
    </w:p>
    <w:p>
      <w:pPr>
        <w:pStyle w:val="ListParagraph"/>
        <w:numPr>
          <w:ilvl w:val="0"/>
          <w:numId w:val="3"/>
        </w:numPr>
        <w:spacing w:after="50" w:line="264"/>
        <w:jc w:val="both"/>
      </w:pPr>
      <w:r>
        <w:rPr>
          <w:rFonts w:ascii="Times New Roman" w:cs="Times New Roman" w:eastAsia="Times New Roman" w:hAnsi="Times New Roman"/>
          <w:b/>
          <w:bCs/>
        </w:rPr>
        <w:t xml:space="preserve">The threshold matters more than the shape.</w:t>
      </w:r>
      <w:r>
        <w:rPr>
          <w:rFonts w:ascii="Times New Roman" w:cs="Times New Roman" w:eastAsia="Times New Roman" w:hAnsi="Times New Roman"/>
        </w:rPr>
        <w:t xml:space="preserve"> For a 10×10 px object, STAL-8 changes nothing (2.05 expected candidates) while STAL-16 gives 5.25, about 2.5 times more. In AI-TOD-v2, 73.4% of objects are in the 8–16 px bin [5], so the 8-vs-16 choice is a first-order factor that must be controlled.</w:t>
      </w:r>
    </w:p>
    <w:p>
      <w:pPr>
        <w:spacing w:after="120" w:before="0" w:line="300"/>
        <w:jc w:val="both"/>
      </w:pPr>
      <w:r>
        <w:rPr>
          <w:rFonts w:ascii="Times New Roman" w:cs="Times New Roman" w:eastAsia="Times New Roman" w:hAnsi="Times New Roman"/>
        </w:rPr>
        <w:t xml:space="preserve">The same simulation shows the trade-off that the experiments will test: for two parallel 4×12 px objects lying side by side, the share of candidates claimed by both falls from 0.63 (STAL-16) to 0.34 (similar enlargement); for objects lying end to end it rises from 0.12 to 0.49. Which layout dominates in AI-TOD-R can be counted from the labels before training, so the expected sign of the effect is fixed in advance.</w:t>
      </w:r>
    </w:p>
    <w:p>
      <w:pPr>
        <w:keepNext/>
        <w:spacing w:after="80" w:before="140"/>
      </w:pPr>
      <w:r>
        <w:rPr>
          <w:rFonts w:ascii="Times New Roman" w:cs="Times New Roman" w:eastAsia="Times New Roman" w:hAnsi="Times New Roman"/>
          <w:b/>
          <w:bCs/>
          <w:sz w:val="24"/>
          <w:szCs w:val="24"/>
        </w:rPr>
        <w:t xml:space="preserve">5.4. Proposed method: OA-STAL v2 and conflict rules</w:t>
      </w:r>
    </w:p>
    <w:p>
      <w:pPr>
        <w:keepNext/>
        <w:spacing w:after="120" w:before="0" w:line="300"/>
        <w:jc w:val="both"/>
      </w:pPr>
      <w:r>
        <w:rPr>
          <w:rFonts w:ascii="Times New Roman" w:cs="Times New Roman" w:eastAsia="Times New Roman" w:hAnsi="Times New Roman"/>
        </w:rPr>
        <w:t xml:space="preserve">Let a GT be (x, y, w, h, θ) with long side w ≥ h. OA-STAL v2 is applied only if √(wh) &lt; 16 px; then</w:t>
      </w:r>
    </w:p>
    <w:p>
      <w:pPr>
        <w:spacing w:after="100" w:before="60"/>
        <w:jc w:val="center"/>
      </w:pPr>
      <w:r>
        <w:rPr>
          <w:rFonts w:ascii="Times New Roman" w:cs="Times New Roman" w:eastAsia="Times New Roman" w:hAnsi="Times New Roman"/>
          <w:i w:val="false"/>
          <w:iCs w:val="false"/>
        </w:rPr>
        <w:t xml:space="preserve">k = 16 / √(wh),   h' = max(k·h, 8, h),   w' = max( min(k·w, max(w, 2·16)), w ).</w:t>
      </w:r>
    </w:p>
    <w:p>
      <w:pPr>
        <w:spacing w:after="120" w:before="0" w:line="300"/>
        <w:jc w:val="both"/>
      </w:pPr>
      <w:r>
        <w:rPr>
          <w:rFonts w:ascii="Times New Roman" w:cs="Times New Roman" w:eastAsia="Times New Roman" w:hAnsi="Times New Roman"/>
        </w:rPr>
        <w:t xml:space="preserve">The candidate region is (x, y, w', h', θ); scoring, targets and regression still use the true box, exactly as in STAL [1]. In words: enlarge the box with the same shape to an area of 16×16; never make the short side thinner than 8 px (protects very thin objects); cap the long side at 32 px unless the object is already longer; never shrink anything. Its properties can be checked by substitution: the region always contains the true box, so it never gives fewer candidates than plain TAL; square boxes give exactly the STAL-16 region; the shape is kept exactly for aspect ratios up to 4; inference cost is unchanged. Two conflict rules are tested against the default (highest overlap): </w:t>
      </w:r>
      <w:r>
        <w:rPr>
          <w:rFonts w:ascii="Times New Roman" w:cs="Times New Roman" w:eastAsia="Times New Roman" w:hAnsi="Times New Roman"/>
          <w:b/>
          <w:bCs/>
        </w:rPr>
        <w:t xml:space="preserve">inside-box</w:t>
      </w:r>
      <w:r>
        <w:rPr>
          <w:rFonts w:ascii="Times New Roman" w:cs="Times New Roman" w:eastAsia="Times New Roman" w:hAnsi="Times New Roman"/>
        </w:rPr>
        <w:t xml:space="preserve"> (an anchor inside exactly one true box goes to that box) and </w:t>
      </w:r>
      <w:r>
        <w:rPr>
          <w:rFonts w:ascii="Times New Roman" w:cs="Times New Roman" w:eastAsia="Times New Roman" w:hAnsi="Times New Roman"/>
          <w:b/>
          <w:bCs/>
        </w:rPr>
        <w:t xml:space="preserve">smaller-GT</w:t>
      </w:r>
      <w:r>
        <w:rPr>
          <w:rFonts w:ascii="Times New Roman" w:cs="Times New Roman" w:eastAsia="Times New Roman" w:hAnsi="Times New Roman"/>
        </w:rPr>
        <w:t xml:space="preserve"> (the smaller object wins, as in RFLA [6]). A minimal implementation sketch (to be unit-tested before any training):</w:t>
      </w:r>
    </w:p>
    <w:p>
      <w:pPr>
        <w:keepLines/>
        <w:shd w:fill="F2F3F6" w:val="clear"/>
        <w:spacing w:after="0" w:line="220"/>
        <w:ind w:left="200"/>
      </w:pPr>
      <w:r>
        <w:rPr>
          <w:rFonts w:ascii="Consolas" w:cs="Consolas" w:eastAsia="Consolas" w:hAnsi="Consolas"/>
          <w:sz w:val="17"/>
          <w:szCs w:val="17"/>
        </w:rPr>
        <w:t xml:space="preserve">def candidate_region(gt, mode):            # gt = (x, y, w, h, theta), w &gt;= h</w:t>
      </w:r>
    </w:p>
    <w:p>
      <w:pPr>
        <w:keepLines/>
        <w:shd w:fill="F2F3F6" w:val="clear"/>
        <w:spacing w:after="0" w:line="220"/>
        <w:ind w:left="200"/>
      </w:pPr>
      <w:r>
        <w:rPr>
          <w:rFonts w:ascii="Consolas" w:cs="Consolas" w:eastAsia="Consolas" w:hAnsi="Consolas"/>
          <w:sz w:val="17"/>
          <w:szCs w:val="17"/>
        </w:rPr>
        <w:t xml:space="preserve">    x, y, w, h, t = gt</w:t>
      </w:r>
    </w:p>
    <w:p>
      <w:pPr>
        <w:keepLines/>
        <w:shd w:fill="F2F3F6" w:val="clear"/>
        <w:spacing w:after="0" w:line="220"/>
        <w:ind w:left="200"/>
      </w:pPr>
      <w:r>
        <w:rPr>
          <w:rFonts w:ascii="Consolas" w:cs="Consolas" w:eastAsia="Consolas" w:hAnsi="Consolas"/>
          <w:sz w:val="17"/>
          <w:szCs w:val="17"/>
        </w:rPr>
        <w:t xml:space="preserve">    if mode == 'TAL':     return gt</w:t>
      </w:r>
    </w:p>
    <w:p>
      <w:pPr>
        <w:keepLines/>
        <w:shd w:fill="F2F3F6" w:val="clear"/>
        <w:spacing w:after="0" w:line="220"/>
        <w:ind w:left="200"/>
      </w:pPr>
      <w:r>
        <w:rPr>
          <w:rFonts w:ascii="Consolas" w:cs="Consolas" w:eastAsia="Consolas" w:hAnsi="Consolas"/>
          <w:sz w:val="17"/>
          <w:szCs w:val="17"/>
        </w:rPr>
        <w:t xml:space="preserve">    if mode == 'STAL-8':  return (x, y, 16 if w &lt; 8 else w, 16 if h &lt; 8 else h, t)</w:t>
      </w:r>
    </w:p>
    <w:p>
      <w:pPr>
        <w:keepLines/>
        <w:shd w:fill="F2F3F6" w:val="clear"/>
        <w:spacing w:after="0" w:line="220"/>
        <w:ind w:left="200"/>
      </w:pPr>
      <w:r>
        <w:rPr>
          <w:rFonts w:ascii="Consolas" w:cs="Consolas" w:eastAsia="Consolas" w:hAnsi="Consolas"/>
          <w:sz w:val="17"/>
          <w:szCs w:val="17"/>
        </w:rPr>
        <w:t xml:space="preserve">    if mode == 'STAL-16': return (x, y, max(w, 16), max(h, 16), t)</w:t>
      </w:r>
    </w:p>
    <w:p>
      <w:pPr>
        <w:keepLines/>
        <w:shd w:fill="F2F3F6" w:val="clear"/>
        <w:spacing w:after="0" w:line="220"/>
        <w:ind w:left="200"/>
      </w:pPr>
      <w:r>
        <w:rPr>
          <w:rFonts w:ascii="Consolas" w:cs="Consolas" w:eastAsia="Consolas" w:hAnsi="Consolas"/>
          <w:sz w:val="17"/>
          <w:szCs w:val="17"/>
        </w:rPr>
        <w:t xml:space="preserve">    if mode == 'OA-STAL': </w:t>
      </w:r>
    </w:p>
    <w:p>
      <w:pPr>
        <w:keepLines/>
        <w:shd w:fill="F2F3F6" w:val="clear"/>
        <w:spacing w:after="0" w:line="220"/>
        <w:ind w:left="200"/>
      </w:pPr>
      <w:r>
        <w:rPr>
          <w:rFonts w:ascii="Consolas" w:cs="Consolas" w:eastAsia="Consolas" w:hAnsi="Consolas"/>
          <w:sz w:val="17"/>
          <w:szCs w:val="17"/>
        </w:rPr>
        <w:t xml:space="preserve">        if (w * h) ** 0.5 &gt;= 16: return gt                 # not tiny: unchanged</w:t>
      </w:r>
    </w:p>
    <w:p>
      <w:pPr>
        <w:keepLines/>
        <w:shd w:fill="F2F3F6" w:val="clear"/>
        <w:spacing w:after="0" w:line="220"/>
        <w:ind w:left="200"/>
      </w:pPr>
      <w:r>
        <w:rPr>
          <w:rFonts w:ascii="Consolas" w:cs="Consolas" w:eastAsia="Consolas" w:hAnsi="Consolas"/>
          <w:sz w:val="17"/>
          <w:szCs w:val="17"/>
        </w:rPr>
        <w:t xml:space="preserve">        k = 16 / (w * h) ** 0.5</w:t>
      </w:r>
    </w:p>
    <w:p>
      <w:pPr>
        <w:keepLines/>
        <w:shd w:fill="F2F3F6" w:val="clear"/>
        <w:spacing w:after="0" w:line="220"/>
        <w:ind w:left="200"/>
      </w:pPr>
      <w:r>
        <w:rPr>
          <w:rFonts w:ascii="Consolas" w:cs="Consolas" w:eastAsia="Consolas" w:hAnsi="Consolas"/>
          <w:sz w:val="17"/>
          <w:szCs w:val="17"/>
        </w:rPr>
        <w:t xml:space="preserve">        h2 = max(k * h, 8, h)                              # short-side floor</w:t>
      </w:r>
    </w:p>
    <w:p>
      <w:pPr>
        <w:keepLines/>
        <w:shd w:fill="F2F3F6" w:val="clear"/>
        <w:spacing w:after="0" w:line="220"/>
        <w:ind w:left="200"/>
      </w:pPr>
      <w:r>
        <w:rPr>
          <w:rFonts w:ascii="Consolas" w:cs="Consolas" w:eastAsia="Consolas" w:hAnsi="Consolas"/>
          <w:sz w:val="17"/>
          <w:szCs w:val="17"/>
        </w:rPr>
        <w:t xml:space="preserve">        w2 = max(min(k * w, max(w, 32)), w)                # conditional long-side cap</w:t>
      </w:r>
    </w:p>
    <w:p>
      <w:pPr>
        <w:keepLines/>
        <w:shd w:fill="F2F3F6" w:val="clear"/>
        <w:spacing w:after="0" w:line="220"/>
        <w:ind w:left="200"/>
      </w:pPr>
      <w:r>
        <w:rPr>
          <w:rFonts w:ascii="Consolas" w:cs="Consolas" w:eastAsia="Consolas" w:hAnsi="Consolas"/>
          <w:sz w:val="17"/>
          <w:szCs w:val="17"/>
        </w:rPr>
        <w:t xml:space="preserve">        return (x, y, w2, h2, t)</w:t>
      </w:r>
    </w:p>
    <w:p>
      <w:pPr>
        <w:keepNext/>
        <w:spacing w:after="80" w:before="140"/>
      </w:pPr>
      <w:r>
        <w:rPr>
          <w:rFonts w:ascii="Times New Roman" w:cs="Times New Roman" w:eastAsia="Times New Roman" w:hAnsi="Times New Roman"/>
          <w:b/>
          <w:bCs/>
          <w:sz w:val="24"/>
          <w:szCs w:val="24"/>
        </w:rPr>
        <w:t xml:space="preserve">5.5. Experimental design</w:t>
      </w:r>
    </w:p>
    <w:p>
      <w:pPr>
        <w:spacing w:after="120" w:before="0" w:line="300"/>
        <w:jc w:val="both"/>
      </w:pPr>
      <w:r>
        <w:rPr>
          <w:rFonts w:ascii="Times New Roman" w:cs="Times New Roman" w:eastAsia="Times New Roman" w:hAnsi="Times New Roman"/>
          <w:b/>
          <w:bCs/>
        </w:rPr>
        <w:t xml:space="preserve">Evaluation.</w:t>
      </w:r>
      <w:r>
        <w:rPr>
          <w:rFonts w:ascii="Times New Roman" w:cs="Times New Roman" w:eastAsia="Times New Roman" w:hAnsi="Times New Roman"/>
        </w:rPr>
        <w:t xml:space="preserve"> Predictions are exported to DOTA text format and scored only by the official </w:t>
      </w:r>
      <w:r>
        <w:rPr>
          <w:rFonts w:ascii="Consolas" w:cs="Consolas" w:eastAsia="Consolas" w:hAnsi="Consolas"/>
          <w:sz w:val="21"/>
          <w:szCs w:val="21"/>
        </w:rPr>
        <w:t xml:space="preserve">AITODReval</w:t>
      </w:r>
      <w:r>
        <w:rPr>
          <w:rFonts w:ascii="Times New Roman" w:cs="Times New Roman" w:eastAsia="Times New Roman" w:hAnsi="Times New Roman"/>
        </w:rPr>
        <w:t xml:space="preserve"> (IoU 0.50:0.05:0.95, 1,500 detections per image, size bins as in [5]); Ultralytics' detection cap is raised to ≥ 1,500. Hyper-parameters are tuned on a fixed validation split cut from the training set (10% of images), because the official configuration uses the test set for validation [15]; the test set is used once per final model. All YOLO models start from COCO weights, because AI-TOD is partly built from DOTA images [5] and the released YOLO26-OBB weights were trained on DOTA [2].</w:t>
      </w:r>
    </w:p>
    <w:p>
      <w:pPr>
        <w:spacing w:after="120" w:before="0" w:line="300"/>
        <w:jc w:val="both"/>
      </w:pPr>
      <w:r>
        <w:rPr>
          <w:rFonts w:ascii="Times New Roman" w:cs="Times New Roman" w:eastAsia="Times New Roman" w:hAnsi="Times New Roman"/>
          <w:b/>
          <w:bCs/>
        </w:rPr>
        <w:t xml:space="preserve">RQ1.</w:t>
      </w:r>
      <w:r>
        <w:rPr>
          <w:rFonts w:ascii="Times New Roman" w:cs="Times New Roman" w:eastAsia="Times New Roman" w:hAnsi="Times New Roman"/>
        </w:rPr>
        <w:t xml:space="preserve"> YOLO11s-OBB, YOLO26n-OBB and YOLO26s-OBB at 800×800 input, with two clearly separated recipes: a short flip-only recipe close to the published benchmark and the standard Ultralytics recipe; three seeds for YOLO26n. </w:t>
      </w:r>
      <w:r>
        <w:rPr>
          <w:rFonts w:ascii="Times New Roman" w:cs="Times New Roman" w:eastAsia="Times New Roman" w:hAnsi="Times New Roman"/>
          <w:b/>
          <w:bCs/>
        </w:rPr>
        <w:t xml:space="preserve">RQ2.</w:t>
      </w:r>
      <w:r>
        <w:rPr>
          <w:rFonts w:ascii="Times New Roman" w:cs="Times New Roman" w:eastAsia="Times New Roman" w:hAnsi="Times New Roman"/>
        </w:rPr>
        <w:t xml:space="preserve"> Offline, from labels only: for every object and every rule, the number of candidates, zero-candidate cases, candidates shared with neighbours, the neighbour layout and the share of candidates outside the object. Online, during training: positives per object for both YOLO26 output branches, and per-object recall on the validation set. </w:t>
      </w:r>
      <w:r>
        <w:rPr>
          <w:rFonts w:ascii="Times New Roman" w:cs="Times New Roman" w:eastAsia="Times New Roman" w:hAnsi="Times New Roman"/>
          <w:b/>
          <w:bCs/>
        </w:rPr>
        <w:t xml:space="preserve">RQ3.</w:t>
      </w:r>
      <w:r>
        <w:rPr>
          <w:rFonts w:ascii="Times New Roman" w:cs="Times New Roman" w:eastAsia="Times New Roman" w:hAnsi="Times New Roman"/>
        </w:rPr>
        <w:t xml:space="preserve"> The arms in Table 4, each with three seeds on YOLO26n. </w:t>
      </w:r>
      <w:r>
        <w:rPr>
          <w:rFonts w:ascii="Times New Roman" w:cs="Times New Roman" w:eastAsia="Times New Roman" w:hAnsi="Times New Roman"/>
          <w:b/>
          <w:bCs/>
        </w:rPr>
        <w:t xml:space="preserve">RQ4.</w:t>
      </w:r>
      <w:r>
        <w:rPr>
          <w:rFonts w:ascii="Times New Roman" w:cs="Times New Roman" w:eastAsia="Times New Roman" w:hAnsi="Times New Roman"/>
        </w:rPr>
        <w:t xml:space="preserve"> Arms A0, A2 and A4 on the second dataset, reported against the share of objects whose rule differs.</w:t>
      </w:r>
    </w:p>
    <w:p>
      <w:pPr>
        <w:keepNext/>
        <w:spacing w:after="140"/>
        <w:jc w:val="center"/>
      </w:pPr>
      <w:r>
        <w:rPr>
          <w:rFonts w:ascii="Times New Roman" w:cs="Times New Roman" w:eastAsia="Times New Roman" w:hAnsi="Times New Roman"/>
          <w:i/>
          <w:iCs/>
          <w:sz w:val="20"/>
          <w:szCs w:val="20"/>
        </w:rPr>
        <w:t xml:space="preserve">Table 4. Experimental arms (all in one pinned code base; only the assigner changes).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500"/>
        <w:gridCol w:w="4454"/>
      </w:tblGrid>
      <w:tr>
        <w:trPr>
          <w:tblHeader/>
        </w:trPr>
        <w:tc>
          <w:tcPr>
            <w:tcW w:type="dxa" w:w="7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9"/>
                <w:szCs w:val="19"/>
              </w:rPr>
              <w:t xml:space="preserve">Arm</w:t>
            </w:r>
          </w:p>
        </w:tc>
        <w:tc>
          <w:tcPr>
            <w:tcW w:type="dxa" w:w="27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9"/>
                <w:szCs w:val="19"/>
              </w:rPr>
              <w:t xml:space="preserve">Candidate rule</w:t>
            </w:r>
          </w:p>
        </w:tc>
        <w:tc>
          <w:tcPr>
            <w:tcW w:type="dxa" w:w="15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9"/>
                <w:szCs w:val="19"/>
              </w:rPr>
              <w:t xml:space="preserve">Conflict rule</w:t>
            </w:r>
          </w:p>
        </w:tc>
        <w:tc>
          <w:tcPr>
            <w:tcW w:type="dxa" w:w="4454"/>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9"/>
                <w:szCs w:val="19"/>
              </w:rPr>
              <w:t xml:space="preserve">Purpose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A0</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TAL (no floor)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default</w:t>
            </w:r>
          </w:p>
        </w:tc>
        <w:tc>
          <w:tcPr>
            <w:tcW w:type="dxa" w:w="4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Lower bound; shows the zero-candidate failure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A1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STAL-8 (published rule)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default</w:t>
            </w:r>
          </w:p>
        </w:tc>
        <w:tc>
          <w:tcPr>
            <w:tcW w:type="dxa" w:w="4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Published version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A2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STAL-16 (current code)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default</w:t>
            </w:r>
          </w:p>
        </w:tc>
        <w:tc>
          <w:tcPr>
            <w:tcW w:type="dxa" w:w="4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Main comparator</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A3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TAL + nearest-anchor fallback</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default</w:t>
            </w:r>
          </w:p>
        </w:tc>
        <w:tc>
          <w:tcPr>
            <w:tcW w:type="dxa" w:w="4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Cheap control used by EARL / RDCNet [8, 10]</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A4</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OA-STAL v2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default</w:t>
            </w:r>
          </w:p>
        </w:tc>
        <w:tc>
          <w:tcPr>
            <w:tcW w:type="dxa" w:w="4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Main proposal</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A5</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Similar enlargement, side trigger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default</w:t>
            </w:r>
          </w:p>
        </w:tc>
        <w:tc>
          <w:tcPr>
            <w:tcW w:type="dxa" w:w="4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Separates threshold from shape (vs A2)</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A6</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OA-STAL v2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inside-box</w:t>
            </w:r>
          </w:p>
        </w:tc>
        <w:tc>
          <w:tcPr>
            <w:tcW w:type="dxa" w:w="4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Effect of the conflict rule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A7</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STAL-16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inside-box</w:t>
            </w:r>
          </w:p>
        </w:tc>
        <w:tc>
          <w:tcPr>
            <w:tcW w:type="dxa" w:w="4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9"/>
                <w:szCs w:val="19"/>
              </w:rPr>
              <w:t xml:space="preserve">Conflict rule without shape change</w:t>
            </w:r>
          </w:p>
        </w:tc>
      </w:tr>
    </w:tbl>
    <w:p>
      <w:pPr>
        <w:spacing w:after="120" w:before="0" w:line="300"/>
        <w:jc w:val="both"/>
      </w:pPr>
      <w:r>
        <w:rPr>
          <w:rFonts w:ascii="Times New Roman" w:cs="Times New Roman" w:eastAsia="Times New Roman" w:hAnsi="Times New Roman"/>
          <w:b/>
          <w:bCs/>
        </w:rPr>
        <w:t xml:space="preserve">Statistics and pre-registration.</w:t>
      </w:r>
      <w:r>
        <w:rPr>
          <w:rFonts w:ascii="Times New Roman" w:cs="Times New Roman" w:eastAsia="Times New Roman" w:hAnsi="Times New Roman"/>
        </w:rPr>
        <w:t xml:space="preserve"> The main comparison (A4 vs A2 on AP</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and AP</w:t>
      </w:r>
      <w:r>
        <w:rPr>
          <w:rFonts w:ascii="Times New Roman" w:cs="Times New Roman" w:eastAsia="Times New Roman" w:hAnsi="Times New Roman"/>
          <w:vertAlign w:val="subscript"/>
        </w:rPr>
        <w:t xml:space="preserve">vt</w:t>
      </w:r>
      <w:r>
        <w:rPr>
          <w:rFonts w:ascii="Times New Roman" w:cs="Times New Roman" w:eastAsia="Times New Roman" w:hAnsi="Times New Roman"/>
        </w:rPr>
        <w:t xml:space="preserve">) is fixed in advance. Each arm is run with three seeds; we report mean ± standard deviation and a paired, image-level bootstrap 95% confidence interval (10,000 resamples). A change is called an improvement only if the interval excludes zero </w:t>
      </w:r>
      <w:r>
        <w:rPr>
          <w:rFonts w:ascii="Times New Roman" w:cs="Times New Roman" w:eastAsia="Times New Roman" w:hAnsi="Times New Roman"/>
          <w:b/>
          <w:bCs/>
        </w:rPr>
        <w:t xml:space="preserve">and</w:t>
      </w:r>
      <w:r>
        <w:rPr>
          <w:rFonts w:ascii="Times New Roman" w:cs="Times New Roman" w:eastAsia="Times New Roman" w:hAnsi="Times New Roman"/>
        </w:rPr>
        <w:t xml:space="preserve"> the gain appears where the label statistics predicted (elongated classes such as ship and bridge, and the dominant neighbour layout). Before any RQ3 run, a dated pre-registration file records these predictions and the analysis code; any later deviation is logged with its reason.</w:t>
      </w:r>
    </w:p>
    <w:p>
      <w:pPr>
        <w:keepNext/>
        <w:spacing w:after="80" w:before="140"/>
      </w:pPr>
      <w:r>
        <w:rPr>
          <w:rFonts w:ascii="Times New Roman" w:cs="Times New Roman" w:eastAsia="Times New Roman" w:hAnsi="Times New Roman"/>
          <w:b/>
          <w:bCs/>
          <w:sz w:val="24"/>
          <w:szCs w:val="24"/>
        </w:rPr>
        <w:t xml:space="preserve">5.6. Threats to validity and how the design handles them</w:t>
      </w:r>
    </w:p>
    <w:p>
      <w:pPr>
        <w:pStyle w:val="ListParagraph"/>
        <w:numPr>
          <w:ilvl w:val="0"/>
          <w:numId w:val="3"/>
        </w:numPr>
        <w:spacing w:after="50" w:line="264"/>
        <w:jc w:val="both"/>
      </w:pPr>
      <w:r>
        <w:rPr>
          <w:rFonts w:ascii="Times New Roman" w:cs="Times New Roman" w:eastAsia="Times New Roman" w:hAnsi="Times New Roman"/>
          <w:b/>
          <w:bCs/>
        </w:rPr>
        <w:t xml:space="preserve">Internal validity (is the change really caused by the rule?).</w:t>
      </w:r>
      <w:r>
        <w:rPr>
          <w:rFonts w:ascii="Times New Roman" w:cs="Times New Roman" w:eastAsia="Times New Roman" w:hAnsi="Times New Roman"/>
        </w:rPr>
        <w:t xml:space="preserve"> All arms share one frozen code copy, one data split, one schedule and the same seeds; only the assigner differs. The threshold and the shape are separated by arm A5, so a gain cannot be credited to shape when it comes from the threshold.</w:t>
      </w:r>
    </w:p>
    <w:p>
      <w:pPr>
        <w:pStyle w:val="ListParagraph"/>
        <w:numPr>
          <w:ilvl w:val="0"/>
          <w:numId w:val="3"/>
        </w:numPr>
        <w:spacing w:after="50" w:line="264"/>
        <w:jc w:val="both"/>
      </w:pPr>
      <w:r>
        <w:rPr>
          <w:rFonts w:ascii="Times New Roman" w:cs="Times New Roman" w:eastAsia="Times New Roman" w:hAnsi="Times New Roman"/>
          <w:b/>
          <w:bCs/>
        </w:rPr>
        <w:t xml:space="preserve">Construct validity (do we measure the right thing?).</w:t>
      </w:r>
      <w:r>
        <w:rPr>
          <w:rFonts w:ascii="Times New Roman" w:cs="Times New Roman" w:eastAsia="Times New Roman" w:hAnsi="Times New Roman"/>
        </w:rPr>
        <w:t xml:space="preserve"> AP per size bin from the official evaluator is the outcome; candidate counts alone are not treated as success, because more positives can also mean more conflicts or more false positives. Per-object recall links the diagnosis to the outcome.</w:t>
      </w:r>
    </w:p>
    <w:p>
      <w:pPr>
        <w:pStyle w:val="ListParagraph"/>
        <w:numPr>
          <w:ilvl w:val="0"/>
          <w:numId w:val="3"/>
        </w:numPr>
        <w:spacing w:after="50" w:line="264"/>
        <w:jc w:val="both"/>
      </w:pPr>
      <w:r>
        <w:rPr>
          <w:rFonts w:ascii="Times New Roman" w:cs="Times New Roman" w:eastAsia="Times New Roman" w:hAnsi="Times New Roman"/>
          <w:b/>
          <w:bCs/>
        </w:rPr>
        <w:t xml:space="preserve">Statistical validity.</w:t>
      </w:r>
      <w:r>
        <w:rPr>
          <w:rFonts w:ascii="Times New Roman" w:cs="Times New Roman" w:eastAsia="Times New Roman" w:hAnsi="Times New Roman"/>
        </w:rPr>
        <w:t xml:space="preserve"> Three seeds, paired bootstrap intervals and one pre-declared main comparison limit false discoveries; secondary comparisons are reported without significance claims.</w:t>
      </w:r>
    </w:p>
    <w:p>
      <w:pPr>
        <w:pStyle w:val="ListParagraph"/>
        <w:numPr>
          <w:ilvl w:val="0"/>
          <w:numId w:val="3"/>
        </w:numPr>
        <w:spacing w:after="50" w:line="264"/>
        <w:jc w:val="both"/>
      </w:pPr>
      <w:r>
        <w:rPr>
          <w:rFonts w:ascii="Times New Roman" w:cs="Times New Roman" w:eastAsia="Times New Roman" w:hAnsi="Times New Roman"/>
          <w:b/>
          <w:bCs/>
        </w:rPr>
        <w:t xml:space="preserve">External validity (does it generalise?).</w:t>
      </w:r>
      <w:r>
        <w:rPr>
          <w:rFonts w:ascii="Times New Roman" w:cs="Times New Roman" w:eastAsia="Times New Roman" w:hAnsi="Times New Roman"/>
        </w:rPr>
        <w:t xml:space="preserve"> AI-TOD-R is dominated by vehicles (662,929 of 752,460 objects [3]); results are therefore also reported per class, and RQ4 checks a second dataset. We will not claim that findings hold for other detector families or for horizontal boxes.</w:t>
      </w:r>
    </w:p>
    <w:p>
      <w:pPr>
        <w:pStyle w:val="ListParagraph"/>
        <w:numPr>
          <w:ilvl w:val="0"/>
          <w:numId w:val="3"/>
        </w:numPr>
        <w:spacing w:after="50" w:line="264"/>
        <w:jc w:val="both"/>
      </w:pPr>
      <w:r>
        <w:rPr>
          <w:rFonts w:ascii="Times New Roman" w:cs="Times New Roman" w:eastAsia="Times New Roman" w:hAnsi="Times New Roman"/>
          <w:b/>
          <w:bCs/>
        </w:rPr>
        <w:t xml:space="preserve">Reproducibility.</w:t>
      </w:r>
      <w:r>
        <w:rPr>
          <w:rFonts w:ascii="Times New Roman" w:cs="Times New Roman" w:eastAsia="Times New Roman" w:hAnsi="Times New Roman"/>
        </w:rPr>
        <w:t xml:space="preserve"> Code version, configurations, seeds, the pre-registration and prediction files are released, so that every table can be regenerated.</w:t>
      </w:r>
    </w:p>
    <w:p>
      <w:pPr>
        <w:keepNext/>
        <w:spacing w:after="110" w:before="220"/>
      </w:pPr>
      <w:r>
        <w:rPr>
          <w:rFonts w:ascii="Times New Roman" w:cs="Times New Roman" w:eastAsia="Times New Roman" w:hAnsi="Times New Roman"/>
          <w:b/>
          <w:bCs/>
          <w:color w:val="000000"/>
          <w:sz w:val="26"/>
          <w:szCs w:val="26"/>
        </w:rPr>
        <w:t xml:space="preserve">6.	Research plan / Kế hoạch thực hiện nghiên cứu</w:t>
      </w:r>
    </w:p>
    <w:p>
      <w:pPr>
        <w:spacing w:after="120" w:before="0" w:line="300"/>
        <w:jc w:val="both"/>
      </w:pPr>
      <w:r>
        <w:rPr>
          <w:rFonts w:ascii="Times New Roman" w:cs="Times New Roman" w:eastAsia="Times New Roman" w:hAnsi="Times New Roman"/>
        </w:rPr>
        <w:t xml:space="preserve">The plan covers 14 weeks (12/10/2026 – 17/01/2027). Members are listed as M1–M4 and will be assigned by the team.</w:t>
      </w:r>
    </w:p>
    <w:p>
      <w:pPr>
        <w:keepNext/>
        <w:spacing w:after="140"/>
        <w:jc w:val="center"/>
      </w:pPr>
      <w:r>
        <w:rPr>
          <w:rFonts w:ascii="Times New Roman" w:cs="Times New Roman" w:eastAsia="Times New Roman" w:hAnsi="Times New Roman"/>
          <w:i/>
          <w:iCs/>
          <w:sz w:val="20"/>
          <w:szCs w:val="20"/>
        </w:rPr>
        <w:t xml:space="preserve">Table 5. Research plan (M1–M4 = team members).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200"/>
        <w:gridCol w:w="2454"/>
        <w:gridCol w:w="1700"/>
      </w:tblGrid>
      <w:tr>
        <w:trPr>
          <w:tblHeader/>
        </w:trPr>
        <w:tc>
          <w:tcPr>
            <w:tcW w:type="dxa" w:w="5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8"/>
                <w:szCs w:val="18"/>
              </w:rPr>
              <w:t xml:space="preserve">No.</w:t>
            </w:r>
          </w:p>
        </w:tc>
        <w:tc>
          <w:tcPr>
            <w:tcW w:type="dxa" w:w="15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8"/>
                <w:szCs w:val="18"/>
              </w:rPr>
              <w:t xml:space="preserve">Date</w:t>
            </w:r>
          </w:p>
        </w:tc>
        <w:tc>
          <w:tcPr>
            <w:tcW w:type="dxa" w:w="32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8"/>
                <w:szCs w:val="18"/>
              </w:rPr>
              <w:t xml:space="preserve">Task</w:t>
            </w:r>
          </w:p>
        </w:tc>
        <w:tc>
          <w:tcPr>
            <w:tcW w:type="dxa" w:w="2454"/>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8"/>
                <w:szCs w:val="18"/>
              </w:rPr>
              <w:t xml:space="preserve">Output</w:t>
            </w:r>
          </w:p>
        </w:tc>
        <w:tc>
          <w:tcPr>
            <w:tcW w:type="dxa" w:w="17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8"/>
                <w:szCs w:val="18"/>
              </w:rPr>
              <w:t xml:space="preserve">Person in charge</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12/10/2026 – 18/10/2026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Register xView, rebuild AI-TOD-R images, pin the Ultralytics fork, write unit tests for the four rules</w:t>
            </w:r>
          </w:p>
        </w:tc>
        <w:tc>
          <w:tcPr>
            <w:tcW w:type="dxa" w:w="2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Dataset ready; tests passing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M1, M2</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19/10/2026 – 25/10/2026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Pilot runs on Kaggle (P100, 2×T4); prediction converter + AITODReval; reproduce RetinaNet-O baseline</w:t>
            </w:r>
          </w:p>
        </w:tc>
        <w:tc>
          <w:tcPr>
            <w:tcW w:type="dxa" w:w="2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Measured speed; evaluator within ±1.0 AP; </w:t>
            </w:r>
            <w:r>
              <w:rPr>
                <w:rFonts w:ascii="Times New Roman" w:cs="Times New Roman" w:eastAsia="Times New Roman" w:hAnsi="Times New Roman"/>
                <w:sz w:val="18"/>
                <w:szCs w:val="18"/>
              </w:rPr>
              <w:t xml:space="preserve">go/no-go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M2, M3</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26/10/2026 – 01/11/2026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Offline label analysis (RQ2): candidates, conflicts, neighbour layout; write pre-registration</w:t>
            </w:r>
          </w:p>
        </w:tc>
        <w:tc>
          <w:tcPr>
            <w:tcW w:type="dxa" w:w="2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Statistics report; dated pre-registration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M1, M4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02/11/2026 – 22/11/2026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RQ1 benchmark: YOLO11s/26n/26s-OBB, two recipes, seeds</w:t>
            </w:r>
          </w:p>
        </w:tc>
        <w:tc>
          <w:tcPr>
            <w:tcW w:type="dxa" w:w="2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Benchmark table per size bin and class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M2, M3</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16/11/2026 – 13/12/2026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RQ3 arms A0–A7 × 3 seeds with online diagnostics</w:t>
            </w:r>
          </w:p>
        </w:tc>
        <w:tc>
          <w:tcPr>
            <w:tcW w:type="dxa" w:w="2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Ablation table with confidence intervals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All</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14/12/2026 – 27/12/2026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RQ4 on the second dataset (SODA-A or DOTA-v2.0)</w:t>
            </w:r>
          </w:p>
        </w:tc>
        <w:tc>
          <w:tcPr>
            <w:tcW w:type="dxa" w:w="2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Transfer table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M3, M4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28/12/2026 – 03/01/2027</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Analysis: link diagnosis to accuracy; error analysis by class and layout</w:t>
            </w:r>
          </w:p>
        </w:tc>
        <w:tc>
          <w:tcPr>
            <w:tcW w:type="dxa" w:w="2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Figures and findings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M1, M4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04/01/2027 – 10/01/2027</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Re-check new literature; write the report / paper draft</w:t>
            </w:r>
          </w:p>
        </w:tc>
        <w:tc>
          <w:tcPr>
            <w:tcW w:type="dxa" w:w="2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Draft manuscript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All</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11/01/2027 – 17/01/2027</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Internal review with mentor; release code, configs and predictions</w:t>
            </w:r>
          </w:p>
        </w:tc>
        <w:tc>
          <w:tcPr>
            <w:tcW w:type="dxa" w:w="24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Final report + public repository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All</w:t>
            </w:r>
          </w:p>
        </w:tc>
      </w:tr>
    </w:tbl>
    <w:p>
      <w:pPr>
        <w:keepNext/>
        <w:spacing w:after="80" w:before="140"/>
      </w:pPr>
      <w:r>
        <w:rPr>
          <w:rFonts w:ascii="Times New Roman" w:cs="Times New Roman" w:eastAsia="Times New Roman" w:hAnsi="Times New Roman"/>
          <w:b/>
          <w:bCs/>
          <w:sz w:val="24"/>
          <w:szCs w:val="24"/>
        </w:rPr>
        <w:t xml:space="preserve">Computational Resource Requirements</w:t>
      </w:r>
    </w:p>
    <w:p>
      <w:pPr>
        <w:pStyle w:val="ListParagraph"/>
        <w:numPr>
          <w:ilvl w:val="0"/>
          <w:numId w:val="3"/>
        </w:numPr>
        <w:spacing w:after="50" w:line="264"/>
        <w:jc w:val="both"/>
      </w:pPr>
      <w:r>
        <w:rPr>
          <w:rFonts w:ascii="Times New Roman" w:cs="Times New Roman" w:eastAsia="Times New Roman" w:hAnsi="Times New Roman"/>
          <w:b/>
          <w:bCs/>
        </w:rPr>
        <w:t xml:space="preserve">GPU:</w:t>
      </w:r>
      <w:r>
        <w:rPr>
          <w:rFonts w:ascii="Times New Roman" w:cs="Times New Roman" w:eastAsia="Times New Roman" w:hAnsi="Times New Roman"/>
        </w:rPr>
        <w:t xml:space="preserve"> Kaggle free tier (P100 or 2×T4, ~30 GPU-hours/week, 12-hour sessions, 20 GB saved output, 4 CPU cores, 29 GB RAM) [18]; Modal pay-as-you-go up to US$100 as overflow.</w:t>
      </w:r>
    </w:p>
    <w:p>
      <w:pPr>
        <w:pStyle w:val="ListParagraph"/>
        <w:numPr>
          <w:ilvl w:val="0"/>
          <w:numId w:val="3"/>
        </w:numPr>
        <w:spacing w:after="50" w:line="264"/>
        <w:jc w:val="both"/>
      </w:pPr>
      <w:r>
        <w:rPr>
          <w:rFonts w:ascii="Times New Roman" w:cs="Times New Roman" w:eastAsia="Times New Roman" w:hAnsi="Times New Roman"/>
          <w:b/>
          <w:bCs/>
        </w:rPr>
        <w:t xml:space="preserve">Estimated cost per run</w:t>
      </w:r>
      <w:r>
        <w:rPr>
          <w:rFonts w:ascii="Times New Roman" w:cs="Times New Roman" w:eastAsia="Times New Roman" w:hAnsi="Times New Roman"/>
        </w:rPr>
        <w:t xml:space="preserve"> = images × epochs / (images per second × 3,600). With about 14,000 training images (estimate, to be replaced after download) and 100 epochs: 3.9 GPU-hours at 100 img/s, 7.8 at 50 img/s, 15.6 at 25 img/s. Ablations use the small YOLO26n model and shorter schedules.</w:t>
      </w:r>
    </w:p>
    <w:p>
      <w:pPr>
        <w:pStyle w:val="ListParagraph"/>
        <w:numPr>
          <w:ilvl w:val="0"/>
          <w:numId w:val="3"/>
        </w:numPr>
        <w:spacing w:after="50" w:line="264"/>
        <w:jc w:val="both"/>
      </w:pPr>
      <w:r>
        <w:rPr>
          <w:rFonts w:ascii="Times New Roman" w:cs="Times New Roman" w:eastAsia="Times New Roman" w:hAnsi="Times New Roman"/>
          <w:b/>
          <w:bCs/>
        </w:rPr>
        <w:t xml:space="preserve">Total plan:</w:t>
      </w:r>
      <w:r>
        <w:rPr>
          <w:rFonts w:ascii="Times New Roman" w:cs="Times New Roman" w:eastAsia="Times New Roman" w:hAnsi="Times New Roman"/>
        </w:rPr>
        <w:t xml:space="preserve"> about 9 runs (RQ1) + 24 (RQ3) + 9 (RQ4) + pilots. If the measured speed implies more than 10 weeks of quota, we cut in this order: RQ4 to two arms, A5, then A6/A7.</w:t>
      </w:r>
    </w:p>
    <w:p>
      <w:pPr>
        <w:pStyle w:val="ListParagraph"/>
        <w:numPr>
          <w:ilvl w:val="0"/>
          <w:numId w:val="3"/>
        </w:numPr>
        <w:spacing w:after="50" w:line="264"/>
        <w:jc w:val="both"/>
      </w:pPr>
      <w:r>
        <w:rPr>
          <w:rFonts w:ascii="Times New Roman" w:cs="Times New Roman" w:eastAsia="Times New Roman" w:hAnsi="Times New Roman"/>
          <w:b/>
          <w:bCs/>
        </w:rPr>
        <w:t xml:space="preserve">Storage and software:</w:t>
      </w:r>
      <w:r>
        <w:rPr>
          <w:rFonts w:ascii="Times New Roman" w:cs="Times New Roman" w:eastAsia="Times New Roman" w:hAnsi="Times New Roman"/>
        </w:rPr>
        <w:t xml:space="preserve"> about 30–50 GB for images, labels and checkpoints (private Kaggle dataset); Python 3, PyTorch, Ultralytics 8.4.x (pinned), MMRotate/AITODReval.</w:t>
      </w:r>
    </w:p>
    <w:p>
      <w:pPr>
        <w:keepNext/>
        <w:spacing w:after="110" w:before="220"/>
      </w:pPr>
      <w:r>
        <w:rPr>
          <w:rFonts w:ascii="Times New Roman" w:cs="Times New Roman" w:eastAsia="Times New Roman" w:hAnsi="Times New Roman"/>
          <w:b/>
          <w:bCs/>
          <w:color w:val="000000"/>
          <w:sz w:val="26"/>
          <w:szCs w:val="26"/>
        </w:rPr>
        <w:t xml:space="preserve">7.	Expected results / Dự kiến kết quả đề tài</w:t>
      </w:r>
    </w:p>
    <w:p>
      <w:pPr>
        <w:pStyle w:val="ListParagraph"/>
        <w:numPr>
          <w:ilvl w:val="0"/>
          <w:numId w:val="3"/>
        </w:numPr>
        <w:spacing w:after="50" w:line="264"/>
        <w:jc w:val="both"/>
      </w:pPr>
      <w:r>
        <w:rPr>
          <w:rFonts w:ascii="Times New Roman" w:cs="Times New Roman" w:eastAsia="Times New Roman" w:hAnsi="Times New Roman"/>
          <w:b/>
          <w:bCs/>
        </w:rPr>
        <w:t xml:space="preserve">Theoretical:</w:t>
      </w:r>
      <w:r>
        <w:rPr>
          <w:rFonts w:ascii="Times New Roman" w:cs="Times New Roman" w:eastAsia="Times New Roman" w:hAnsi="Times New Roman"/>
        </w:rPr>
        <w:t xml:space="preserve"> a simple geometric account (Proposition 1) of what candidate-region rules can and cannot change for tiny objects, tested against real label statistics.</w:t>
      </w:r>
    </w:p>
    <w:p>
      <w:pPr>
        <w:pStyle w:val="ListParagraph"/>
        <w:numPr>
          <w:ilvl w:val="0"/>
          <w:numId w:val="3"/>
        </w:numPr>
        <w:spacing w:after="50" w:line="264"/>
        <w:jc w:val="both"/>
      </w:pPr>
      <w:r>
        <w:rPr>
          <w:rFonts w:ascii="Times New Roman" w:cs="Times New Roman" w:eastAsia="Times New Roman" w:hAnsi="Times New Roman"/>
          <w:b/>
          <w:bCs/>
        </w:rPr>
        <w:t xml:space="preserve">Methodological:</w:t>
      </w:r>
      <w:r>
        <w:rPr>
          <w:rFonts w:ascii="Times New Roman" w:cs="Times New Roman" w:eastAsia="Times New Roman" w:hAnsi="Times New Roman"/>
        </w:rPr>
        <w:t xml:space="preserve"> the first evaluation, to our knowledge within the sources we searched, of all STAL versions on oriented tiny objects; a fair, size-binned YOLO-OBB benchmark on AI-TOD-R with released prediction files; a training-only rule (OA-STAL v2 + conflict rule) tested against pre-registered predictions. Null results will be reported as results.</w:t>
      </w:r>
    </w:p>
    <w:p>
      <w:pPr>
        <w:pStyle w:val="ListParagraph"/>
        <w:numPr>
          <w:ilvl w:val="0"/>
          <w:numId w:val="3"/>
        </w:numPr>
        <w:spacing w:after="50" w:line="264"/>
        <w:jc w:val="both"/>
      </w:pPr>
      <w:r>
        <w:rPr>
          <w:rFonts w:ascii="Times New Roman" w:cs="Times New Roman" w:eastAsia="Times New Roman" w:hAnsi="Times New Roman"/>
          <w:b/>
          <w:bCs/>
        </w:rPr>
        <w:t xml:space="preserve">Practical:</w:t>
      </w:r>
      <w:r>
        <w:rPr>
          <w:rFonts w:ascii="Times New Roman" w:cs="Times New Roman" w:eastAsia="Times New Roman" w:hAnsi="Times New Roman"/>
        </w:rPr>
        <w:t xml:space="preserve"> because the change is training-only, any gain carries over to existing YOLO deployment pipelines (TensorRT/ONNX on edge devices [1]) without extra cost; the benchmark helps practitioners choose a real-time detector for traffic monitoring, maritime search and similar drone or satellite tasks [3, 5].</w:t>
      </w:r>
    </w:p>
    <w:p>
      <w:pPr>
        <w:keepNext/>
        <w:spacing w:after="140"/>
        <w:jc w:val="center"/>
      </w:pPr>
      <w:r>
        <w:rPr>
          <w:rFonts w:ascii="Times New Roman" w:cs="Times New Roman" w:eastAsia="Times New Roman" w:hAnsi="Times New Roman"/>
          <w:i/>
          <w:iCs/>
          <w:sz w:val="20"/>
          <w:szCs w:val="20"/>
        </w:rPr>
        <w:t xml:space="preserve">Table 6. Deliverables per objective and how success is judged.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54"/>
      </w:tblGrid>
      <w:tr>
        <w:trPr>
          <w:tblHeader/>
        </w:trPr>
        <w:tc>
          <w:tcPr>
            <w:tcW w:type="dxa" w:w="17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8"/>
                <w:szCs w:val="18"/>
              </w:rPr>
              <w:t xml:space="preserve">Objective</w:t>
            </w:r>
          </w:p>
        </w:tc>
        <w:tc>
          <w:tcPr>
            <w:tcW w:type="dxa" w:w="3900"/>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8"/>
                <w:szCs w:val="18"/>
              </w:rPr>
              <w:t xml:space="preserve">Deliverable</w:t>
            </w:r>
          </w:p>
        </w:tc>
        <w:tc>
          <w:tcPr>
            <w:tcW w:type="dxa" w:w="3754"/>
            <w:tcBorders>
              <w:top w:val="single" w:color="808080" w:sz="4"/>
              <w:left w:val="single" w:color="808080" w:sz="4"/>
              <w:bottom w:val="single" w:color="808080" w:sz="4"/>
              <w:right w:val="single" w:color="808080" w:sz="4"/>
            </w:tcBorders>
            <w:shd w:fill="1A2B47" w:val="clear"/>
            <w:tcMar>
              <w:top w:type="dxa" w:w="50"/>
              <w:left w:type="dxa" w:w="90"/>
              <w:bottom w:type="dxa" w:w="50"/>
              <w:right w:type="dxa" w:w="90"/>
            </w:tcMar>
            <w:vAlign w:val="top"/>
          </w:tcPr>
          <w:p>
            <w:pPr>
              <w:spacing w:after="20" w:line="240"/>
              <w:jc w:val="left"/>
            </w:pPr>
            <w:r>
              <w:rPr>
                <w:rFonts w:ascii="Times New Roman" w:cs="Times New Roman" w:eastAsia="Times New Roman" w:hAnsi="Times New Roman"/>
                <w:b/>
                <w:bCs/>
                <w:color w:val="FFFFFF"/>
                <w:sz w:val="18"/>
                <w:szCs w:val="18"/>
              </w:rPr>
              <w:t xml:space="preserve">Success criterion (decided in advance)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O1 Benchmark</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Table of YOLO11/26-OBB on AI-TOD-R (AP per size bin and class, speed); prediction files</w:t>
            </w:r>
          </w:p>
        </w:tc>
        <w:tc>
          <w:tcPr>
            <w:tcW w:type="dxa" w:w="37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Evaluator reproduces the RetinaNet-O row within ±1.0 AP; 3 seeds for YOLO26n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O2 Diagnosis</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Label-geometry report; training logs of positives per object; recall analysis</w:t>
            </w:r>
          </w:p>
        </w:tc>
        <w:tc>
          <w:tcPr>
            <w:tcW w:type="dxa" w:w="37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Measured candidate counts match Proposition 1; a clear link (or a documented absence of link) to recall</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O3 Intervention</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OA-STAL v2 and conflict rules in the pinned code; ablation table A0–A7</w:t>
            </w:r>
          </w:p>
        </w:tc>
        <w:tc>
          <w:tcPr>
            <w:tcW w:type="dxa" w:w="37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Main comparison A4 vs A2 judged by 95% bootstrap CI and the pre-registered pattern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O4 Transfer</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Results on the second dataset</w:t>
            </w:r>
          </w:p>
        </w:tc>
        <w:tc>
          <w:tcPr>
            <w:tcW w:type="dxa" w:w="37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Effect compared with the share of objects whose rule differs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O5 Reproducibility</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Public repository: code, configs, seeds, pre-registration, predictions</w:t>
            </w:r>
          </w:p>
        </w:tc>
        <w:tc>
          <w:tcPr>
            <w:tcW w:type="dxa" w:w="37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jc w:val="left"/>
            </w:pPr>
            <w:r>
              <w:rPr>
                <w:rFonts w:ascii="Times New Roman" w:cs="Times New Roman" w:eastAsia="Times New Roman" w:hAnsi="Times New Roman"/>
                <w:sz w:val="18"/>
                <w:szCs w:val="18"/>
              </w:rPr>
              <w:t xml:space="preserve">Another team member can re-run one arm from the instructions</w:t>
            </w:r>
          </w:p>
        </w:tc>
      </w:tr>
    </w:tbl>
    <w:p>
      <w:pPr>
        <w:pStyle w:val="ListParagraph"/>
        <w:numPr>
          <w:ilvl w:val="0"/>
          <w:numId w:val="3"/>
        </w:numPr>
        <w:spacing w:after="50" w:line="264"/>
        <w:jc w:val="both"/>
      </w:pPr>
      <w:r>
        <w:rPr>
          <w:rFonts w:ascii="Times New Roman" w:cs="Times New Roman" w:eastAsia="Times New Roman" w:hAnsi="Times New Roman"/>
          <w:b/>
          <w:bCs/>
        </w:rPr>
        <w:t xml:space="preserve">Publication target:</w:t>
      </w:r>
      <w:r>
        <w:rPr>
          <w:rFonts w:ascii="Times New Roman" w:cs="Times New Roman" w:eastAsia="Times New Roman" w:hAnsi="Times New Roman"/>
        </w:rPr>
        <w:t xml:space="preserve"> a Scopus-indexed conference or Q4 journal, conditional on a clean evaluator-matched benchmark, a clear diagnosis finding and confidence intervals on the main comparison; this is an assignment-level contribution, so we do not target top-tier venues.</w:t>
      </w:r>
    </w:p>
    <w:p>
      <w:pPr>
        <w:keepNext/>
        <w:spacing w:after="110" w:before="220"/>
      </w:pPr>
      <w:r>
        <w:rPr>
          <w:rFonts w:ascii="Times New Roman" w:cs="Times New Roman" w:eastAsia="Times New Roman" w:hAnsi="Times New Roman"/>
          <w:b/>
          <w:bCs/>
          <w:color w:val="000000"/>
          <w:sz w:val="26"/>
          <w:szCs w:val="26"/>
        </w:rPr>
        <w:t xml:space="preserve">References</w:t>
      </w:r>
    </w:p>
    <w:p>
      <w:pPr>
        <w:spacing w:after="50" w:line="240"/>
        <w:ind w:left="400" w:hanging="40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G. Jocher et al., "Ultralytics YOLO26: Unified Real-Time End-to-End Vision Models," arXiv:2606.03748, 2026.</w:t>
      </w:r>
      <w:r>
        <w:rPr>
          <w:rFonts w:ascii="Times New Roman" w:cs="Times New Roman" w:eastAsia="Times New Roman" w:hAnsi="Times New Roman"/>
          <w:sz w:val="20"/>
          <w:szCs w:val="20"/>
        </w:rPr>
        <w:t xml:space="preserve"> </w:t>
      </w:r>
      <w:hyperlink w:history="1" r:id="rIdtzhgl1xepaiflvxourf1h">
        <w:r>
          <w:rPr>
            <w:rStyle w:val="Hyperlink"/>
            <w:rFonts w:ascii="Times New Roman" w:cs="Times New Roman" w:eastAsia="Times New Roman" w:hAnsi="Times New Roman"/>
            <w:sz w:val="20"/>
            <w:szCs w:val="20"/>
          </w:rPr>
          <w:t xml:space="preserve">https://arxiv.org/abs/2606.03748</w:t>
        </w:r>
      </w:hyperlink>
    </w:p>
    <w:p>
      <w:pPr>
        <w:spacing w:after="50" w:line="240"/>
        <w:ind w:left="400" w:hanging="400"/>
        <w:jc w:val="left"/>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Ultralytics, ultralytics package, release 8.4.174 (06/10/2026), file ultralytics/utils/tal.py.</w:t>
      </w:r>
      <w:r>
        <w:rPr>
          <w:rFonts w:ascii="Times New Roman" w:cs="Times New Roman" w:eastAsia="Times New Roman" w:hAnsi="Times New Roman"/>
          <w:sz w:val="20"/>
          <w:szCs w:val="20"/>
        </w:rPr>
        <w:t xml:space="preserve"> </w:t>
      </w:r>
      <w:hyperlink w:history="1" r:id="rIdbcteyzkhmza6f8eznsopf">
        <w:r>
          <w:rPr>
            <w:rStyle w:val="Hyperlink"/>
            <w:rFonts w:ascii="Times New Roman" w:cs="Times New Roman" w:eastAsia="Times New Roman" w:hAnsi="Times New Roman"/>
            <w:sz w:val="20"/>
            <w:szCs w:val="20"/>
          </w:rPr>
          <w:t xml:space="preserve">https://github.com/ultralytics/ultralytics</w:t>
        </w:r>
      </w:hyperlink>
    </w:p>
    <w:p>
      <w:pPr>
        <w:spacing w:after="50" w:line="240"/>
        <w:ind w:left="400" w:hanging="40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C. Xu et al., "Oriented Tiny Object Detection: A Dataset, Benchmark, and Dynamic Unbiased Learning," IEEE TPAMI, 2025.</w:t>
      </w:r>
      <w:r>
        <w:rPr>
          <w:rFonts w:ascii="Times New Roman" w:cs="Times New Roman" w:eastAsia="Times New Roman" w:hAnsi="Times New Roman"/>
          <w:sz w:val="20"/>
          <w:szCs w:val="20"/>
        </w:rPr>
        <w:t xml:space="preserve"> </w:t>
      </w:r>
      <w:hyperlink w:history="1" r:id="rIdda8kmyfxq6bew_e9cimym">
        <w:r>
          <w:rPr>
            <w:rStyle w:val="Hyperlink"/>
            <w:rFonts w:ascii="Times New Roman" w:cs="Times New Roman" w:eastAsia="Times New Roman" w:hAnsi="Times New Roman"/>
            <w:sz w:val="20"/>
            <w:szCs w:val="20"/>
          </w:rPr>
          <w:t xml:space="preserve">https://doi.org/10.1109/tpami.2025.3634161</w:t>
        </w:r>
      </w:hyperlink>
    </w:p>
    <w:p>
      <w:pPr>
        <w:spacing w:after="50" w:line="240"/>
        <w:ind w:left="400" w:hanging="40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Kim and Park, "DIA-YOLO: Diffusion-Based Involution Attention YOLO for Overhead Imagery," IEEE Access, vol. 13, 2025.</w:t>
      </w:r>
      <w:r>
        <w:rPr>
          <w:rFonts w:ascii="Times New Roman" w:cs="Times New Roman" w:eastAsia="Times New Roman" w:hAnsi="Times New Roman"/>
          <w:sz w:val="20"/>
          <w:szCs w:val="20"/>
        </w:rPr>
        <w:t xml:space="preserve"> </w:t>
      </w:r>
      <w:hyperlink w:history="1" r:id="rId89jn2jboqayqcbogulzev">
        <w:r>
          <w:rPr>
            <w:rStyle w:val="Hyperlink"/>
            <w:rFonts w:ascii="Times New Roman" w:cs="Times New Roman" w:eastAsia="Times New Roman" w:hAnsi="Times New Roman"/>
            <w:sz w:val="20"/>
            <w:szCs w:val="20"/>
          </w:rPr>
          <w:t xml:space="preserve">https://doi.org/10.1109/ACCESS.2025.3603214</w:t>
        </w:r>
      </w:hyperlink>
    </w:p>
    <w:p>
      <w:pPr>
        <w:spacing w:after="50" w:line="240"/>
        <w:ind w:left="400" w:hanging="40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C. Xu et al., "Detecting tiny objects in aerial images: A normalized Wasserstein distance and a new benchmark," ISPRS J. Photogramm. Remote Sens., vol. 190, pp. 79–93, 2022.</w:t>
      </w:r>
      <w:r>
        <w:rPr>
          <w:rFonts w:ascii="Times New Roman" w:cs="Times New Roman" w:eastAsia="Times New Roman" w:hAnsi="Times New Roman"/>
          <w:sz w:val="20"/>
          <w:szCs w:val="20"/>
        </w:rPr>
        <w:t xml:space="preserve"> </w:t>
      </w:r>
      <w:hyperlink w:history="1" r:id="rIduidjliqgud8qlxatagv8v">
        <w:r>
          <w:rPr>
            <w:rStyle w:val="Hyperlink"/>
            <w:rFonts w:ascii="Times New Roman" w:cs="Times New Roman" w:eastAsia="Times New Roman" w:hAnsi="Times New Roman"/>
            <w:sz w:val="20"/>
            <w:szCs w:val="20"/>
          </w:rPr>
          <w:t xml:space="preserve">https://doi.org/10.1016/j.isprsjprs.2022.06.002</w:t>
        </w:r>
      </w:hyperlink>
    </w:p>
    <w:p>
      <w:pPr>
        <w:spacing w:after="50" w:line="240"/>
        <w:ind w:left="400" w:hanging="40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C. Xu et al., "RFLA: Gaussian Receptive Field Based Label Assignment for Tiny Object Detection," ECCV, 2022.</w:t>
      </w:r>
      <w:r>
        <w:rPr>
          <w:rFonts w:ascii="Times New Roman" w:cs="Times New Roman" w:eastAsia="Times New Roman" w:hAnsi="Times New Roman"/>
          <w:sz w:val="20"/>
          <w:szCs w:val="20"/>
        </w:rPr>
        <w:t xml:space="preserve"> </w:t>
      </w:r>
      <w:hyperlink w:history="1" r:id="rIdldbq5rzkea2pp5bg1pcdt">
        <w:r>
          <w:rPr>
            <w:rStyle w:val="Hyperlink"/>
            <w:rFonts w:ascii="Times New Roman" w:cs="Times New Roman" w:eastAsia="Times New Roman" w:hAnsi="Times New Roman"/>
            <w:sz w:val="20"/>
            <w:szCs w:val="20"/>
          </w:rPr>
          <w:t xml:space="preserve">https://doi.org/10.1007/978-3-031-20077-9_31</w:t>
        </w:r>
      </w:hyperlink>
    </w:p>
    <w:p>
      <w:pPr>
        <w:spacing w:after="50" w:line="240"/>
        <w:ind w:left="400" w:hanging="40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Guan et al., "Gaussian Combined Distance: A Generic Metric for Object Detection," IEEE GRSL, 2025.</w:t>
      </w:r>
      <w:r>
        <w:rPr>
          <w:rFonts w:ascii="Times New Roman" w:cs="Times New Roman" w:eastAsia="Times New Roman" w:hAnsi="Times New Roman"/>
          <w:sz w:val="20"/>
          <w:szCs w:val="20"/>
        </w:rPr>
        <w:t xml:space="preserve"> </w:t>
      </w:r>
      <w:hyperlink w:history="1" r:id="rIdugvrr8kydju_frdr2gzut">
        <w:r>
          <w:rPr>
            <w:rStyle w:val="Hyperlink"/>
            <w:rFonts w:ascii="Times New Roman" w:cs="Times New Roman" w:eastAsia="Times New Roman" w:hAnsi="Times New Roman"/>
            <w:sz w:val="20"/>
            <w:szCs w:val="20"/>
          </w:rPr>
          <w:t xml:space="preserve">https://doi.org/10.1109/lgrs.2025.3531970</w:t>
        </w:r>
      </w:hyperlink>
    </w:p>
    <w:p>
      <w:pPr>
        <w:spacing w:after="50" w:line="240"/>
        <w:ind w:left="400" w:hanging="40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"EARL: Elliptical Distribution aided Adaptive Rotation Label Assignment," IEEE TGRS, vol. 61, 2023, arXiv:2301.05856.</w:t>
      </w:r>
      <w:r>
        <w:rPr>
          <w:rFonts w:ascii="Times New Roman" w:cs="Times New Roman" w:eastAsia="Times New Roman" w:hAnsi="Times New Roman"/>
          <w:sz w:val="20"/>
          <w:szCs w:val="20"/>
        </w:rPr>
        <w:t xml:space="preserve"> </w:t>
      </w:r>
      <w:hyperlink w:history="1" r:id="rIdupx48udkekbogzzhlxde3">
        <w:r>
          <w:rPr>
            <w:rStyle w:val="Hyperlink"/>
            <w:rFonts w:ascii="Times New Roman" w:cs="Times New Roman" w:eastAsia="Times New Roman" w:hAnsi="Times New Roman"/>
            <w:sz w:val="20"/>
            <w:szCs w:val="20"/>
          </w:rPr>
          <w:t xml:space="preserve">https://arxiv.org/abs/2301.05856</w:t>
        </w:r>
      </w:hyperlink>
    </w:p>
    <w:p>
      <w:pPr>
        <w:spacing w:after="50" w:line="240"/>
        <w:ind w:left="400" w:hanging="400"/>
        <w:jc w:val="left"/>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"SARFA-Net: Shape-Aware Label Assignment and Refined Feature Alignment for Arbitrary-Oriented Object Detection," IEEE JSTARS, vol. 18, 2025.</w:t>
      </w:r>
      <w:r>
        <w:rPr>
          <w:rFonts w:ascii="Times New Roman" w:cs="Times New Roman" w:eastAsia="Times New Roman" w:hAnsi="Times New Roman"/>
          <w:sz w:val="20"/>
          <w:szCs w:val="20"/>
        </w:rPr>
        <w:t xml:space="preserve"> </w:t>
      </w:r>
      <w:hyperlink w:history="1" r:id="rId5plealb1ltkr5xptd8shq">
        <w:r>
          <w:rPr>
            <w:rStyle w:val="Hyperlink"/>
            <w:rFonts w:ascii="Times New Roman" w:cs="Times New Roman" w:eastAsia="Times New Roman" w:hAnsi="Times New Roman"/>
            <w:sz w:val="20"/>
            <w:szCs w:val="20"/>
          </w:rPr>
          <w:t xml:space="preserve">https://doi.org/10.1109/JSTARS.2025.3532039</w:t>
        </w:r>
      </w:hyperlink>
    </w:p>
    <w:p>
      <w:pPr>
        <w:spacing w:after="50" w:line="240"/>
        <w:ind w:left="400" w:hanging="400"/>
        <w:jc w:val="left"/>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"RDCNet: Rotation-Aware Feature Representation and Aspect-Adaptive Label Assignment," IEEE JSTARS, vol. 19, 2026.</w:t>
      </w:r>
      <w:r>
        <w:rPr>
          <w:rFonts w:ascii="Times New Roman" w:cs="Times New Roman" w:eastAsia="Times New Roman" w:hAnsi="Times New Roman"/>
          <w:sz w:val="20"/>
          <w:szCs w:val="20"/>
        </w:rPr>
        <w:t xml:space="preserve"> </w:t>
      </w:r>
      <w:hyperlink w:history="1" r:id="rId6oyduvpzzpat4f-9dx_0k">
        <w:r>
          <w:rPr>
            <w:rStyle w:val="Hyperlink"/>
            <w:rFonts w:ascii="Times New Roman" w:cs="Times New Roman" w:eastAsia="Times New Roman" w:hAnsi="Times New Roman"/>
            <w:sz w:val="20"/>
            <w:szCs w:val="20"/>
          </w:rPr>
          <w:t xml:space="preserve">https://doi.org/10.1109/JSTARS.2026.3687230</w:t>
        </w:r>
      </w:hyperlink>
    </w:p>
    <w:p>
      <w:pPr>
        <w:spacing w:after="50" w:line="240"/>
        <w:ind w:left="400" w:hanging="400"/>
        <w:jc w:val="left"/>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"MFN-Net: multi-scale adaptive fusion and flexible label assignment for small object detection in RS images," Remote Sensing Letters, 17, 2026 (abstract read only).</w:t>
      </w:r>
      <w:r>
        <w:rPr>
          <w:rFonts w:ascii="Times New Roman" w:cs="Times New Roman" w:eastAsia="Times New Roman" w:hAnsi="Times New Roman"/>
          <w:sz w:val="20"/>
          <w:szCs w:val="20"/>
        </w:rPr>
        <w:t xml:space="preserve"> </w:t>
      </w:r>
      <w:hyperlink w:history="1" r:id="rIdnlb3trsy5gber5r30lrcr">
        <w:r>
          <w:rPr>
            <w:rStyle w:val="Hyperlink"/>
            <w:rFonts w:ascii="Times New Roman" w:cs="Times New Roman" w:eastAsia="Times New Roman" w:hAnsi="Times New Roman"/>
            <w:sz w:val="20"/>
            <w:szCs w:val="20"/>
          </w:rPr>
          <w:t xml:space="preserve">https://doi.org/10.1080/2150704X.2026.2667240</w:t>
        </w:r>
      </w:hyperlink>
    </w:p>
    <w:p>
      <w:pPr>
        <w:spacing w:after="50" w:line="240"/>
        <w:ind w:left="400" w:hanging="400"/>
        <w:jc w:val="left"/>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"Aspect-Ratio Aware Dynamic Label Assignment for Oriented Object Detection," IEEE GRSL, 21, 2024 (abstract read only).</w:t>
      </w:r>
      <w:r>
        <w:rPr>
          <w:rFonts w:ascii="Times New Roman" w:cs="Times New Roman" w:eastAsia="Times New Roman" w:hAnsi="Times New Roman"/>
          <w:sz w:val="20"/>
          <w:szCs w:val="20"/>
        </w:rPr>
        <w:t xml:space="preserve"> </w:t>
      </w:r>
      <w:hyperlink w:history="1" r:id="rIdzlxn_v72jys0zgrz_lrxb">
        <w:r>
          <w:rPr>
            <w:rStyle w:val="Hyperlink"/>
            <w:rFonts w:ascii="Times New Roman" w:cs="Times New Roman" w:eastAsia="Times New Roman" w:hAnsi="Times New Roman"/>
            <w:sz w:val="20"/>
            <w:szCs w:val="20"/>
          </w:rPr>
          <w:t xml:space="preserve">https://doi.org/10.1109/LGRS.2024.3432810</w:t>
        </w:r>
      </w:hyperlink>
    </w:p>
    <w:p>
      <w:pPr>
        <w:spacing w:after="50" w:line="240"/>
        <w:ind w:left="400" w:hanging="400"/>
        <w:jc w:val="left"/>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"Cross-Domain Collaborative Enhancement for Tiny Object Detection in Remote Sensing Images," J. Electronics &amp; Information Technology, 2026 (content not yet verified).</w:t>
      </w:r>
      <w:r>
        <w:rPr>
          <w:rFonts w:ascii="Times New Roman" w:cs="Times New Roman" w:eastAsia="Times New Roman" w:hAnsi="Times New Roman"/>
          <w:sz w:val="20"/>
          <w:szCs w:val="20"/>
        </w:rPr>
        <w:t xml:space="preserve"> </w:t>
      </w:r>
      <w:hyperlink w:history="1" r:id="rIdmcepj7mifp2logrfo5utj">
        <w:r>
          <w:rPr>
            <w:rStyle w:val="Hyperlink"/>
            <w:rFonts w:ascii="Times New Roman" w:cs="Times New Roman" w:eastAsia="Times New Roman" w:hAnsi="Times New Roman"/>
            <w:sz w:val="20"/>
            <w:szCs w:val="20"/>
          </w:rPr>
          <w:t xml:space="preserve">https://doi.org/10.11999/JEIT260317</w:t>
        </w:r>
      </w:hyperlink>
    </w:p>
    <w:p>
      <w:pPr>
        <w:spacing w:after="50" w:line="240"/>
        <w:ind w:left="400" w:hanging="400"/>
        <w:jc w:val="left"/>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C. Feng et al., "TOOD: Task-aligned One-stage Object Detection," ICCV, 2021.</w:t>
      </w:r>
      <w:r>
        <w:rPr>
          <w:rFonts w:ascii="Times New Roman" w:cs="Times New Roman" w:eastAsia="Times New Roman" w:hAnsi="Times New Roman"/>
          <w:sz w:val="20"/>
          <w:szCs w:val="20"/>
        </w:rPr>
        <w:t xml:space="preserve"> </w:t>
      </w:r>
      <w:hyperlink w:history="1" r:id="rIdahh0kpcez_7-olocxt5br">
        <w:r>
          <w:rPr>
            <w:rStyle w:val="Hyperlink"/>
            <w:rFonts w:ascii="Times New Roman" w:cs="Times New Roman" w:eastAsia="Times New Roman" w:hAnsi="Times New Roman"/>
            <w:sz w:val="20"/>
            <w:szCs w:val="20"/>
          </w:rPr>
          <w:t xml:space="preserve">https://doi.org/10.1109/iccv48922.2021.00349</w:t>
        </w:r>
      </w:hyperlink>
    </w:p>
    <w:p>
      <w:pPr>
        <w:spacing w:after="50" w:line="240"/>
        <w:ind w:left="400" w:hanging="400"/>
        <w:jc w:val="left"/>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AI-TOD-R project page and code (AITODReval evaluator), accessed 08/10/2026.</w:t>
      </w:r>
      <w:r>
        <w:rPr>
          <w:rFonts w:ascii="Times New Roman" w:cs="Times New Roman" w:eastAsia="Times New Roman" w:hAnsi="Times New Roman"/>
          <w:sz w:val="20"/>
          <w:szCs w:val="20"/>
        </w:rPr>
        <w:t xml:space="preserve"> </w:t>
      </w:r>
      <w:hyperlink w:history="1" r:id="rIdr_udc35ypjjtm4jxkt8cu">
        <w:r>
          <w:rPr>
            <w:rStyle w:val="Hyperlink"/>
            <w:rFonts w:ascii="Times New Roman" w:cs="Times New Roman" w:eastAsia="Times New Roman" w:hAnsi="Times New Roman"/>
            <w:sz w:val="20"/>
            <w:szCs w:val="20"/>
          </w:rPr>
          <w:t xml:space="preserve">https://github.com/Chasel-Tsui/AI-TOD-R</w:t>
        </w:r>
      </w:hyperlink>
    </w:p>
    <w:p>
      <w:pPr>
        <w:spacing w:after="50" w:line="240"/>
        <w:ind w:left="400" w:hanging="400"/>
        <w:jc w:val="left"/>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J. Wang et al., "Tiny Object Detection in Aerial Images," ICPR, 2020 (published 2021).</w:t>
      </w:r>
      <w:r>
        <w:rPr>
          <w:rFonts w:ascii="Times New Roman" w:cs="Times New Roman" w:eastAsia="Times New Roman" w:hAnsi="Times New Roman"/>
          <w:sz w:val="20"/>
          <w:szCs w:val="20"/>
        </w:rPr>
        <w:t xml:space="preserve"> </w:t>
      </w:r>
      <w:hyperlink w:history="1" r:id="rIdhgdmhtqsaeamy-mwyywnd">
        <w:r>
          <w:rPr>
            <w:rStyle w:val="Hyperlink"/>
            <w:rFonts w:ascii="Times New Roman" w:cs="Times New Roman" w:eastAsia="Times New Roman" w:hAnsi="Times New Roman"/>
            <w:sz w:val="20"/>
            <w:szCs w:val="20"/>
          </w:rPr>
          <w:t xml:space="preserve">https://doi.org/10.1109/ICPR48806.2021.9413340</w:t>
        </w:r>
      </w:hyperlink>
    </w:p>
    <w:p>
      <w:pPr>
        <w:spacing w:after="50" w:line="240"/>
        <w:ind w:left="400" w:hanging="400"/>
        <w:jc w:val="left"/>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G. Cheng et al., "Towards Large-Scale Small Object Detection: Survey and Benchmarks," IEEE TPAMI, 2023.</w:t>
      </w:r>
      <w:r>
        <w:rPr>
          <w:rFonts w:ascii="Times New Roman" w:cs="Times New Roman" w:eastAsia="Times New Roman" w:hAnsi="Times New Roman"/>
          <w:sz w:val="20"/>
          <w:szCs w:val="20"/>
        </w:rPr>
        <w:t xml:space="preserve"> </w:t>
      </w:r>
      <w:hyperlink w:history="1" r:id="rIdkocmb5wvytx2pnsutjv_n">
        <w:r>
          <w:rPr>
            <w:rStyle w:val="Hyperlink"/>
            <w:rFonts w:ascii="Times New Roman" w:cs="Times New Roman" w:eastAsia="Times New Roman" w:hAnsi="Times New Roman"/>
            <w:sz w:val="20"/>
            <w:szCs w:val="20"/>
          </w:rPr>
          <w:t xml:space="preserve">https://doi.org/10.1109/tpami.2023.3290594</w:t>
        </w:r>
      </w:hyperlink>
    </w:p>
    <w:p>
      <w:pPr>
        <w:spacing w:after="50" w:line="240"/>
        <w:ind w:left="400" w:hanging="400"/>
        <w:jc w:val="left"/>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Kaggle documentation: Notebooks and Efficient GPU Usage, accessed 08/10/2026.</w:t>
      </w:r>
      <w:r>
        <w:rPr>
          <w:rFonts w:ascii="Times New Roman" w:cs="Times New Roman" w:eastAsia="Times New Roman" w:hAnsi="Times New Roman"/>
          <w:sz w:val="20"/>
          <w:szCs w:val="20"/>
        </w:rPr>
        <w:t xml:space="preserve"> </w:t>
      </w:r>
      <w:hyperlink w:history="1" r:id="rId7rrremchw08_dpboywauc">
        <w:r>
          <w:rPr>
            <w:rStyle w:val="Hyperlink"/>
            <w:rFonts w:ascii="Times New Roman" w:cs="Times New Roman" w:eastAsia="Times New Roman" w:hAnsi="Times New Roman"/>
            <w:sz w:val="20"/>
            <w:szCs w:val="20"/>
          </w:rPr>
          <w:t xml:space="preserve">https://www.kaggle.com/docs/notebooks</w:t>
        </w:r>
      </w:hyperlink>
    </w:p>
    <w:p>
      <w:pPr>
        <w:spacing w:after="50" w:line="240"/>
        <w:ind w:left="400" w:hanging="400"/>
        <w:jc w:val="left"/>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J. Ding et al., "Object Detection in Aerial Images: A Large-Scale Benchmark and Challenges," IEEE TPAMI, 2022.</w:t>
      </w:r>
      <w:r>
        <w:rPr>
          <w:rFonts w:ascii="Times New Roman" w:cs="Times New Roman" w:eastAsia="Times New Roman" w:hAnsi="Times New Roman"/>
          <w:sz w:val="20"/>
          <w:szCs w:val="20"/>
        </w:rPr>
        <w:t xml:space="preserve"> </w:t>
      </w:r>
      <w:hyperlink w:history="1" r:id="rIdhqyswac9ibmh39hviwhc-">
        <w:r>
          <w:rPr>
            <w:rStyle w:val="Hyperlink"/>
            <w:rFonts w:ascii="Times New Roman" w:cs="Times New Roman" w:eastAsia="Times New Roman" w:hAnsi="Times New Roman"/>
            <w:sz w:val="20"/>
            <w:szCs w:val="20"/>
          </w:rPr>
          <w:t xml:space="preserve">https://doi.org/10.1109/tpami.2021.3117983</w:t>
        </w:r>
      </w:hyperlink>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zhgl1xepaiflvxourf1h" Type="http://schemas.openxmlformats.org/officeDocument/2006/relationships/hyperlink" Target="https://arxiv.org/abs/2606.03748" TargetMode="External"/><Relationship Id="rIdbcteyzkhmza6f8eznsopf" Type="http://schemas.openxmlformats.org/officeDocument/2006/relationships/hyperlink" Target="https://github.com/ultralytics/ultralytics" TargetMode="External"/><Relationship Id="rIdda8kmyfxq6bew_e9cimym" Type="http://schemas.openxmlformats.org/officeDocument/2006/relationships/hyperlink" Target="https://doi.org/10.1109/tpami.2025.3634161" TargetMode="External"/><Relationship Id="rId89jn2jboqayqcbogulzev" Type="http://schemas.openxmlformats.org/officeDocument/2006/relationships/hyperlink" Target="https://doi.org/10.1109/ACCESS.2025.3603214" TargetMode="External"/><Relationship Id="rIduidjliqgud8qlxatagv8v" Type="http://schemas.openxmlformats.org/officeDocument/2006/relationships/hyperlink" Target="https://doi.org/10.1016/j.isprsjprs.2022.06.002" TargetMode="External"/><Relationship Id="rIdldbq5rzkea2pp5bg1pcdt" Type="http://schemas.openxmlformats.org/officeDocument/2006/relationships/hyperlink" Target="https://doi.org/10.1007/978-3-031-20077-9_31" TargetMode="External"/><Relationship Id="rIdugvrr8kydju_frdr2gzut" Type="http://schemas.openxmlformats.org/officeDocument/2006/relationships/hyperlink" Target="https://doi.org/10.1109/lgrs.2025.3531970" TargetMode="External"/><Relationship Id="rIdupx48udkekbogzzhlxde3" Type="http://schemas.openxmlformats.org/officeDocument/2006/relationships/hyperlink" Target="https://arxiv.org/abs/2301.05856" TargetMode="External"/><Relationship Id="rId5plealb1ltkr5xptd8shq" Type="http://schemas.openxmlformats.org/officeDocument/2006/relationships/hyperlink" Target="https://doi.org/10.1109/JSTARS.2025.3532039" TargetMode="External"/><Relationship Id="rId6oyduvpzzpat4f-9dx_0k" Type="http://schemas.openxmlformats.org/officeDocument/2006/relationships/hyperlink" Target="https://doi.org/10.1109/JSTARS.2026.3687230" TargetMode="External"/><Relationship Id="rIdnlb3trsy5gber5r30lrcr" Type="http://schemas.openxmlformats.org/officeDocument/2006/relationships/hyperlink" Target="https://doi.org/10.1080/2150704X.2026.2667240" TargetMode="External"/><Relationship Id="rIdzlxn_v72jys0zgrz_lrxb" Type="http://schemas.openxmlformats.org/officeDocument/2006/relationships/hyperlink" Target="https://doi.org/10.1109/LGRS.2024.3432810" TargetMode="External"/><Relationship Id="rIdmcepj7mifp2logrfo5utj" Type="http://schemas.openxmlformats.org/officeDocument/2006/relationships/hyperlink" Target="https://doi.org/10.11999/JEIT260317" TargetMode="External"/><Relationship Id="rIdahh0kpcez_7-olocxt5br" Type="http://schemas.openxmlformats.org/officeDocument/2006/relationships/hyperlink" Target="https://doi.org/10.1109/iccv48922.2021.00349" TargetMode="External"/><Relationship Id="rIdr_udc35ypjjtm4jxkt8cu" Type="http://schemas.openxmlformats.org/officeDocument/2006/relationships/hyperlink" Target="https://github.com/Chasel-Tsui/AI-TOD-R" TargetMode="External"/><Relationship Id="rIdhgdmhtqsaeamy-mwyywnd" Type="http://schemas.openxmlformats.org/officeDocument/2006/relationships/hyperlink" Target="https://doi.org/10.1109/ICPR48806.2021.9413340" TargetMode="External"/><Relationship Id="rIdkocmb5wvytx2pnsutjv_n" Type="http://schemas.openxmlformats.org/officeDocument/2006/relationships/hyperlink" Target="https://doi.org/10.1109/tpami.2023.3290594" TargetMode="External"/><Relationship Id="rId7rrremchw08_dpboywauc" Type="http://schemas.openxmlformats.org/officeDocument/2006/relationships/hyperlink" Target="https://www.kaggle.com/docs/notebooks" TargetMode="External"/><Relationship Id="rIdhqyswac9ibmh39hviwhc-" Type="http://schemas.openxmlformats.org/officeDocument/2006/relationships/hyperlink" Target="https://doi.org/10.1109/tpami.2021.3117983" TargetMode="External"/><Relationship Id="rId8" Type="http://schemas.openxmlformats.org/officeDocument/2006/relationships/image" Target="media/7f41a11c25850154018d3100c45bbd4e2ab20803.png"/><Relationship Id="rId9" Type="http://schemas.openxmlformats.org/officeDocument/2006/relationships/image" Target="media/b3a592d62075e769d866cef4991f6bb8b8a59d58.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2026-10-08T11:57:10.548Z</dcterms:created>
  <dcterms:modified xsi:type="dcterms:W3CDTF">2026-10-08T11:57:10.549Z</dcterms:modified>
</cp:coreProperties>
</file>

<file path=docProps/custom.xml><?xml version="1.0" encoding="utf-8"?>
<Properties xmlns="http://schemas.openxmlformats.org/officeDocument/2006/custom-properties" xmlns:vt="http://schemas.openxmlformats.org/officeDocument/2006/docPropsVTypes"/>
</file>