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F8" w:rsidRPr="00B05ABA" w:rsidRDefault="00BE3AF8" w:rsidP="00FA482B">
      <w:pPr>
        <w:spacing w:before="0"/>
        <w:rPr>
          <w:rFonts w:cs="Arial"/>
          <w:b/>
          <w:bCs/>
        </w:rPr>
      </w:pPr>
      <w:bookmarkStart w:id="0" w:name="_GoBack"/>
      <w:bookmarkEnd w:id="0"/>
      <w:r w:rsidRPr="00B05ABA">
        <w:rPr>
          <w:rFonts w:cs="Arial"/>
          <w:b/>
          <w:bCs/>
        </w:rPr>
        <w:t xml:space="preserve">Brazil (country code +55) </w:t>
      </w:r>
    </w:p>
    <w:p w:rsidR="00BE3AF8" w:rsidRPr="00B05ABA" w:rsidRDefault="00BE3AF8" w:rsidP="00BE3AF8">
      <w:pPr>
        <w:spacing w:before="0"/>
        <w:rPr>
          <w:rFonts w:cs="Arial"/>
          <w:b/>
        </w:rPr>
      </w:pPr>
      <w:r w:rsidRPr="00B05ABA">
        <w:rPr>
          <w:rFonts w:cs="Arial"/>
        </w:rPr>
        <w:t>Communication of 10.XII.2015:</w:t>
      </w:r>
    </w:p>
    <w:p w:rsidR="00BE3AF8" w:rsidRPr="00B05ABA" w:rsidRDefault="00BE3AF8" w:rsidP="00BE3AF8">
      <w:pPr>
        <w:rPr>
          <w:rFonts w:cs="Arial"/>
        </w:rPr>
      </w:pPr>
      <w:r w:rsidRPr="00B05ABA">
        <w:rPr>
          <w:rFonts w:cs="Arial"/>
        </w:rPr>
        <w:t>The</w:t>
      </w:r>
      <w:r w:rsidRPr="00B05ABA">
        <w:rPr>
          <w:rFonts w:cs="Arial"/>
          <w:i/>
          <w:iCs/>
        </w:rPr>
        <w:t xml:space="preserve"> </w:t>
      </w:r>
      <w:r w:rsidRPr="00B05ABA">
        <w:rPr>
          <w:rFonts w:cs="Arial"/>
          <w:i/>
          <w:iCs/>
          <w:lang w:val="pt-BR"/>
        </w:rPr>
        <w:t>Agência Nacional de Telecomunicações</w:t>
      </w:r>
      <w:r w:rsidRPr="00B05ABA">
        <w:rPr>
          <w:rFonts w:cs="Arial"/>
        </w:rPr>
        <w:t xml:space="preserve"> </w:t>
      </w:r>
      <w:r w:rsidRPr="00B05ABA">
        <w:rPr>
          <w:rFonts w:cs="Arial"/>
          <w:i/>
          <w:iCs/>
        </w:rPr>
        <w:t>(ANATEL)</w:t>
      </w:r>
      <w:r w:rsidRPr="00B05ABA">
        <w:rPr>
          <w:rFonts w:cs="Arial"/>
        </w:rPr>
        <w:t>, Brasilia, announces that the Numbering Plan of mobile services in Brazil will be modified.</w:t>
      </w:r>
    </w:p>
    <w:p w:rsidR="00BE3AF8" w:rsidRPr="00B05ABA" w:rsidRDefault="00BE3AF8" w:rsidP="00BE3AF8">
      <w:pPr>
        <w:spacing w:after="120"/>
        <w:rPr>
          <w:rFonts w:cs="Arial"/>
        </w:rPr>
      </w:pPr>
      <w:r w:rsidRPr="00B05ABA">
        <w:rPr>
          <w:rFonts w:cs="Arial"/>
        </w:rPr>
        <w:t>The current format of mobile numbers is N</w:t>
      </w:r>
      <w:r w:rsidRPr="00B05ABA">
        <w:rPr>
          <w:rFonts w:cs="Arial"/>
          <w:vertAlign w:val="subscript"/>
        </w:rPr>
        <w:t>8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7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6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5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4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3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2</w:t>
      </w:r>
      <w:r w:rsidRPr="00B05ABA">
        <w:rPr>
          <w:rFonts w:cs="Arial"/>
        </w:rPr>
        <w:t>N</w:t>
      </w:r>
      <w:r w:rsidRPr="00B05ABA">
        <w:rPr>
          <w:rFonts w:cs="Arial"/>
          <w:vertAlign w:val="subscript"/>
        </w:rPr>
        <w:t>1</w:t>
      </w:r>
      <w:r w:rsidRPr="00B05ABA">
        <w:rPr>
          <w:rFonts w:cs="Arial"/>
        </w:rPr>
        <w:t xml:space="preserve"> and the first digit which identifies this service is 9, 8, 7 or 6. However, in accordance with Resolution No. 553, issued by the </w:t>
      </w:r>
      <w:r w:rsidRPr="00B05ABA">
        <w:rPr>
          <w:rFonts w:cs="Arial"/>
          <w:i/>
          <w:iCs/>
          <w:lang w:val="pt-BR"/>
        </w:rPr>
        <w:t>Agência Nacional de Telecomunicações</w:t>
      </w:r>
      <w:r w:rsidRPr="00B05ABA">
        <w:rPr>
          <w:rFonts w:cs="Arial"/>
        </w:rPr>
        <w:t xml:space="preserve"> </w:t>
      </w:r>
      <w:r w:rsidRPr="00B05ABA">
        <w:rPr>
          <w:rFonts w:cs="Arial"/>
          <w:i/>
          <w:iCs/>
        </w:rPr>
        <w:t>(ANATEL)</w:t>
      </w:r>
      <w:r w:rsidRPr="00B05ABA">
        <w:rPr>
          <w:rFonts w:cs="Arial"/>
        </w:rPr>
        <w:t xml:space="preserve"> on 14 December 2010, there will be the inclusion of a ninth digit in mobile number length and all subscriber numbers will initiate with the digit “9”.</w:t>
      </w:r>
    </w:p>
    <w:p w:rsidR="00BE3AF8" w:rsidRPr="00B05ABA" w:rsidRDefault="00BE3AF8" w:rsidP="00BE3AF8">
      <w:pPr>
        <w:jc w:val="left"/>
        <w:rPr>
          <w:rFonts w:cs="Arial"/>
        </w:rPr>
      </w:pPr>
      <w:r w:rsidRPr="00B05ABA">
        <w:rPr>
          <w:rFonts w:cs="Arial"/>
        </w:rPr>
        <w:t xml:space="preserve">Therefore, mobile numbers will have the following format: </w:t>
      </w:r>
      <w:r w:rsidRPr="00B05ABA">
        <w:rPr>
          <w:rFonts w:cs="Arial"/>
        </w:rPr>
        <w:br/>
        <w:t xml:space="preserve">+55 XX </w:t>
      </w:r>
      <w:r w:rsidRPr="00B05ABA">
        <w:rPr>
          <w:rFonts w:cs="Arial"/>
          <w:b/>
          <w:bCs/>
          <w:u w:val="single"/>
        </w:rPr>
        <w:t>9</w:t>
      </w:r>
      <w:r w:rsidRPr="00B05ABA">
        <w:rPr>
          <w:rFonts w:cs="Arial"/>
        </w:rPr>
        <w:t>XXXX XXXX (country code, area code and subscriber number).</w:t>
      </w:r>
    </w:p>
    <w:p w:rsidR="00BE3AF8" w:rsidRPr="00B05ABA" w:rsidRDefault="00BE3AF8" w:rsidP="00BE3AF8">
      <w:pPr>
        <w:rPr>
          <w:rFonts w:cs="Arial"/>
        </w:rPr>
      </w:pPr>
      <w:r w:rsidRPr="00B05ABA">
        <w:rPr>
          <w:rFonts w:cs="Arial"/>
        </w:rPr>
        <w:t>This change was already implemented in several Area Codes.</w:t>
      </w:r>
    </w:p>
    <w:p w:rsidR="00BE3AF8" w:rsidRPr="00B05ABA" w:rsidRDefault="00BE3AF8" w:rsidP="00BE3AF8">
      <w:pPr>
        <w:rPr>
          <w:rFonts w:cs="Arial"/>
        </w:rPr>
      </w:pPr>
      <w:r w:rsidRPr="00B05ABA">
        <w:rPr>
          <w:rFonts w:cs="Arial"/>
        </w:rPr>
        <w:t>In 2016, the Numbering Plan modifications on mobile services in Brazil will be finished by changing the format in</w:t>
      </w:r>
      <w:r w:rsidRPr="00B05ABA">
        <w:rPr>
          <w:rFonts w:cs="Arial"/>
          <w:b/>
          <w:bCs/>
        </w:rPr>
        <w:t xml:space="preserve"> Area Codes 61, 62, 63, 64, 65, 66, 67, 68 and 69</w:t>
      </w:r>
      <w:r w:rsidRPr="00B05ABA">
        <w:rPr>
          <w:rFonts w:cs="Arial"/>
        </w:rPr>
        <w:t xml:space="preserve"> (States of </w:t>
      </w:r>
      <w:proofErr w:type="spellStart"/>
      <w:r w:rsidRPr="00B05ABA">
        <w:rPr>
          <w:rFonts w:cs="Arial"/>
        </w:rPr>
        <w:t>Goiás</w:t>
      </w:r>
      <w:proofErr w:type="spellEnd"/>
      <w:r w:rsidRPr="00B05ABA">
        <w:rPr>
          <w:rFonts w:cs="Arial"/>
        </w:rPr>
        <w:t xml:space="preserve">, Tocantins, </w:t>
      </w:r>
      <w:proofErr w:type="spellStart"/>
      <w:r w:rsidRPr="00B05ABA">
        <w:rPr>
          <w:rFonts w:cs="Arial"/>
        </w:rPr>
        <w:t>Mato</w:t>
      </w:r>
      <w:proofErr w:type="spellEnd"/>
      <w:r w:rsidRPr="00B05ABA">
        <w:rPr>
          <w:rFonts w:cs="Arial"/>
        </w:rPr>
        <w:t xml:space="preserve"> Grosso, </w:t>
      </w:r>
      <w:proofErr w:type="spellStart"/>
      <w:r w:rsidRPr="00B05ABA">
        <w:rPr>
          <w:rFonts w:cs="Arial"/>
        </w:rPr>
        <w:t>Mato</w:t>
      </w:r>
      <w:proofErr w:type="spellEnd"/>
      <w:r w:rsidRPr="00B05ABA">
        <w:rPr>
          <w:rFonts w:cs="Arial"/>
        </w:rPr>
        <w:t xml:space="preserve"> Grosso do </w:t>
      </w:r>
      <w:proofErr w:type="spellStart"/>
      <w:r w:rsidRPr="00B05ABA">
        <w:rPr>
          <w:rFonts w:cs="Arial"/>
        </w:rPr>
        <w:t>Sul</w:t>
      </w:r>
      <w:proofErr w:type="spellEnd"/>
      <w:r w:rsidRPr="00B05ABA">
        <w:rPr>
          <w:rFonts w:cs="Arial"/>
        </w:rPr>
        <w:t xml:space="preserve">, Acre e </w:t>
      </w:r>
      <w:proofErr w:type="spellStart"/>
      <w:r w:rsidRPr="00B05ABA">
        <w:rPr>
          <w:rFonts w:cs="Arial"/>
        </w:rPr>
        <w:t>Rondônia</w:t>
      </w:r>
      <w:proofErr w:type="spellEnd"/>
      <w:r w:rsidRPr="00B05ABA">
        <w:rPr>
          <w:rFonts w:cs="Arial"/>
        </w:rPr>
        <w:t xml:space="preserve"> and Brasília), on </w:t>
      </w:r>
      <w:r w:rsidRPr="00B05ABA">
        <w:rPr>
          <w:rFonts w:cs="Arial"/>
          <w:b/>
          <w:bCs/>
        </w:rPr>
        <w:t>May 29</w:t>
      </w:r>
      <w:r w:rsidRPr="00B05ABA">
        <w:rPr>
          <w:rFonts w:cs="Arial"/>
          <w:b/>
          <w:bCs/>
          <w:vertAlign w:val="superscript"/>
        </w:rPr>
        <w:t>th</w:t>
      </w:r>
      <w:r w:rsidRPr="00B05ABA">
        <w:rPr>
          <w:rFonts w:cs="Arial"/>
        </w:rPr>
        <w:t xml:space="preserve">, and </w:t>
      </w:r>
      <w:r w:rsidRPr="00B05ABA">
        <w:rPr>
          <w:rFonts w:cs="Arial"/>
          <w:b/>
          <w:bCs/>
        </w:rPr>
        <w:t>Area Codes 41, 42, 43, 44, 45, 46, 47, 48 and 49</w:t>
      </w:r>
      <w:r w:rsidRPr="00B05ABA">
        <w:rPr>
          <w:rFonts w:cs="Arial"/>
        </w:rPr>
        <w:t xml:space="preserve"> (States of Paraná and Santa Catarina) and </w:t>
      </w:r>
      <w:r w:rsidRPr="00B05ABA">
        <w:rPr>
          <w:rFonts w:cs="Arial"/>
          <w:b/>
          <w:bCs/>
        </w:rPr>
        <w:t>Area Codes 51, 53, 54 and 55</w:t>
      </w:r>
      <w:r w:rsidRPr="00B05ABA">
        <w:rPr>
          <w:rFonts w:cs="Arial"/>
        </w:rPr>
        <w:t xml:space="preserve"> (State of Rio Grande do </w:t>
      </w:r>
      <w:proofErr w:type="spellStart"/>
      <w:r w:rsidRPr="00B05ABA">
        <w:rPr>
          <w:rFonts w:cs="Arial"/>
        </w:rPr>
        <w:t>Sul</w:t>
      </w:r>
      <w:proofErr w:type="spellEnd"/>
      <w:r w:rsidRPr="00B05ABA">
        <w:rPr>
          <w:rFonts w:cs="Arial"/>
        </w:rPr>
        <w:t xml:space="preserve">), on </w:t>
      </w:r>
      <w:r w:rsidRPr="00B05ABA">
        <w:rPr>
          <w:rFonts w:cs="Arial"/>
          <w:b/>
          <w:bCs/>
        </w:rPr>
        <w:t>November 6</w:t>
      </w:r>
      <w:r w:rsidRPr="00B05ABA">
        <w:rPr>
          <w:rFonts w:cs="Arial"/>
          <w:b/>
          <w:bCs/>
          <w:vertAlign w:val="superscript"/>
        </w:rPr>
        <w:t>th</w:t>
      </w:r>
      <w:r w:rsidRPr="00B05ABA">
        <w:rPr>
          <w:rFonts w:cs="Arial"/>
        </w:rPr>
        <w:t>.</w:t>
      </w:r>
    </w:p>
    <w:p w:rsidR="00BE3AF8" w:rsidRPr="00B05ABA" w:rsidRDefault="00BE3AF8" w:rsidP="00BE3AF8">
      <w:pPr>
        <w:rPr>
          <w:rFonts w:cs="Arial"/>
        </w:rPr>
      </w:pPr>
      <w:r w:rsidRPr="00B05ABA">
        <w:rPr>
          <w:rFonts w:cs="Arial"/>
        </w:rPr>
        <w:t xml:space="preserve">In addition, ANATEL would like to highlight that this format change will not be applied to mobile radio service numbers nor to </w:t>
      </w:r>
      <w:proofErr w:type="gramStart"/>
      <w:r w:rsidRPr="00B05ABA">
        <w:rPr>
          <w:rFonts w:cs="Arial"/>
        </w:rPr>
        <w:t>fixed</w:t>
      </w:r>
      <w:proofErr w:type="gramEnd"/>
      <w:r w:rsidRPr="00B05ABA">
        <w:rPr>
          <w:rFonts w:cs="Arial"/>
        </w:rPr>
        <w:t xml:space="preserve"> switched telephone numbers. Consequently, subscriber numbers for these services will remain eight-digit long.</w:t>
      </w:r>
    </w:p>
    <w:p w:rsidR="00BE3AF8" w:rsidRPr="00B05ABA" w:rsidRDefault="00BE3AF8" w:rsidP="00BE3AF8">
      <w:pPr>
        <w:rPr>
          <w:rFonts w:cs="Arial"/>
        </w:rPr>
      </w:pPr>
      <w:r w:rsidRPr="00B05ABA">
        <w:rPr>
          <w:rFonts w:cs="Arial"/>
        </w:rPr>
        <w:t>Brazil’s Area Codes and Numbering Plan for mobile and fixed services:</w:t>
      </w:r>
    </w:p>
    <w:p w:rsidR="00BE3AF8" w:rsidRPr="00B05ABA" w:rsidRDefault="00BE3AF8" w:rsidP="00BE3AF8">
      <w:pPr>
        <w:spacing w:after="240"/>
        <w:jc w:val="center"/>
        <w:rPr>
          <w:rFonts w:cs="Arial"/>
        </w:rPr>
      </w:pPr>
      <w:r w:rsidRPr="00B05ABA">
        <w:rPr>
          <w:rFonts w:cs="Arial"/>
        </w:rPr>
        <w:t>Table 1 – Mobile Services</w:t>
      </w:r>
    </w:p>
    <w:tbl>
      <w:tblPr>
        <w:tblW w:w="9354" w:type="dxa"/>
        <w:jc w:val="center"/>
        <w:tblLayout w:type="fixed"/>
        <w:tblLook w:val="0000" w:firstRow="0" w:lastRow="0" w:firstColumn="0" w:lastColumn="0" w:noHBand="0" w:noVBand="0"/>
      </w:tblPr>
      <w:tblGrid>
        <w:gridCol w:w="2119"/>
        <w:gridCol w:w="2408"/>
        <w:gridCol w:w="1985"/>
        <w:gridCol w:w="2842"/>
      </w:tblGrid>
      <w:tr w:rsidR="00BE3AF8" w:rsidRPr="008C7DE0" w:rsidTr="00937106">
        <w:trPr>
          <w:tblHeader/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spacing w:before="100" w:after="10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 xml:space="preserve">National Code </w:t>
            </w:r>
            <w:r w:rsidRPr="008C7DE0">
              <w:rPr>
                <w:rFonts w:cs="Arial"/>
                <w:i/>
                <w:iCs/>
                <w:sz w:val="18"/>
                <w:szCs w:val="18"/>
              </w:rPr>
              <w:br/>
              <w:t>(Area Code)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spacing w:before="100" w:after="10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>State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spacing w:before="100" w:after="10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>Migration date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spacing w:before="100" w:after="10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>Subscriber Number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pacing w:val="10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pacing w:val="1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São Paulo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67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29 July 2012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12 to 19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São Paulo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25 August 2013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21, 22, 24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Rio de Janeiro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27 October 2013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27, 28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Espirito Santo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27 October 2013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31 to 35, 37, 38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Minas Gerais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11 October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41 to 46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Paraná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 November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 xml:space="preserve">9XXXX XXXX 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47 to 49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Santa Catarina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 November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51 to 55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Rio Grande do Sul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 November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Distrito Federal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62 and 64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Goiás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Tocantins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65, 66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Mato Grosso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Mato Grosso do Sul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68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Acre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69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val="pt-BR" w:eastAsia="en-GB"/>
              </w:rPr>
              <w:t>Rondônia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b/>
                <w:bCs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b/>
                <w:bCs/>
                <w:sz w:val="18"/>
                <w:szCs w:val="18"/>
                <w:lang w:eastAsia="en-GB"/>
              </w:rPr>
              <w:t>29 May 2016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rPr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71, 73, 74, 75, 77, 79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Bahia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11 October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79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Sergipe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11 October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81, 89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Pernambuco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24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31 May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lastRenderedPageBreak/>
              <w:t>82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Alagoas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31 May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83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Paraiba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31 May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84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Rio Grande do Norte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31 May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85, 88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Ceará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31 May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86, 87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Piauí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31 May 2015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91, 93, 94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Pará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38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 November 2014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92, 97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Amazonas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48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 November 2014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95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Roraima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48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 November 2014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96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Amapá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53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 November 2014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  <w:tr w:rsidR="00BE3AF8" w:rsidRPr="008C7DE0" w:rsidTr="00937106">
        <w:trPr>
          <w:jc w:val="center"/>
        </w:trPr>
        <w:tc>
          <w:tcPr>
            <w:tcW w:w="11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98, 99</w:t>
            </w:r>
          </w:p>
        </w:tc>
        <w:tc>
          <w:tcPr>
            <w:tcW w:w="1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jc w:val="left"/>
              <w:textAlignment w:val="auto"/>
              <w:rPr>
                <w:rFonts w:cs="Arial"/>
                <w:sz w:val="18"/>
                <w:szCs w:val="18"/>
                <w:lang w:val="pt-BR" w:eastAsia="en-GB"/>
              </w:rPr>
            </w:pPr>
            <w:r w:rsidRPr="008C7DE0">
              <w:rPr>
                <w:rFonts w:cs="Arial"/>
                <w:sz w:val="18"/>
                <w:szCs w:val="18"/>
                <w:lang w:val="pt-BR" w:eastAsia="en-GB"/>
              </w:rPr>
              <w:t>Maranhão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overflowPunct/>
              <w:spacing w:before="40" w:after="40"/>
              <w:ind w:right="62"/>
              <w:jc w:val="left"/>
              <w:textAlignment w:val="auto"/>
              <w:rPr>
                <w:rFonts w:cs="Arial"/>
                <w:sz w:val="18"/>
                <w:szCs w:val="18"/>
                <w:lang w:eastAsia="en-GB"/>
              </w:rPr>
            </w:pPr>
            <w:r w:rsidRPr="008C7DE0">
              <w:rPr>
                <w:rFonts w:cs="Arial"/>
                <w:sz w:val="18"/>
                <w:szCs w:val="18"/>
                <w:lang w:eastAsia="en-GB"/>
              </w:rPr>
              <w:t>2 November 2014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40" w:after="4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9XXXX XXXX</w:t>
            </w:r>
          </w:p>
        </w:tc>
      </w:tr>
    </w:tbl>
    <w:p w:rsidR="00BE3AF8" w:rsidRPr="00B05ABA" w:rsidRDefault="00BE3AF8" w:rsidP="00BE3AF8">
      <w:pPr>
        <w:rPr>
          <w:rFonts w:cs="Arial"/>
        </w:rPr>
      </w:pPr>
    </w:p>
    <w:p w:rsidR="00BE3AF8" w:rsidRDefault="00BE3AF8" w:rsidP="00BE3AF8">
      <w:pPr>
        <w:jc w:val="center"/>
        <w:rPr>
          <w:rFonts w:cs="Arial"/>
        </w:rPr>
      </w:pPr>
      <w:r w:rsidRPr="00B05ABA">
        <w:rPr>
          <w:rFonts w:cs="Arial"/>
        </w:rPr>
        <w:t>Table 2 – Mobile Radio Services</w:t>
      </w:r>
    </w:p>
    <w:p w:rsidR="00BE3AF8" w:rsidRPr="00B05ABA" w:rsidRDefault="00BE3AF8" w:rsidP="000B2DA7">
      <w:pPr>
        <w:spacing w:before="0"/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025"/>
        <w:gridCol w:w="2119"/>
        <w:gridCol w:w="1720"/>
        <w:gridCol w:w="3208"/>
      </w:tblGrid>
      <w:tr w:rsidR="00BE3AF8" w:rsidRPr="00B05ABA" w:rsidTr="00937106">
        <w:trPr>
          <w:tblHeader/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 xml:space="preserve">National Code </w:t>
            </w:r>
            <w:r w:rsidRPr="008C7DE0">
              <w:rPr>
                <w:rFonts w:cs="Arial"/>
                <w:i/>
                <w:iCs/>
                <w:sz w:val="18"/>
                <w:szCs w:val="18"/>
              </w:rPr>
              <w:br/>
              <w:t>(Area Code)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>State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>Migration date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AF8" w:rsidRPr="008C7DE0" w:rsidRDefault="00BE3AF8" w:rsidP="00937106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8C7DE0">
              <w:rPr>
                <w:rFonts w:cs="Arial"/>
                <w:i/>
                <w:iCs/>
                <w:sz w:val="18"/>
                <w:szCs w:val="18"/>
              </w:rPr>
              <w:t>Subscriber Number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São Paulo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12 to 19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São Paulo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21, 22, 24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Rio de Janeiro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27, 28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Espirito Santo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31 to 35, 37, 38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Minas Gerais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41 to 46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Paraná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47 to 49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Santa Catarina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51 to 55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Rio Grande do Sul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61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Distrito Federal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62 and 64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Goiás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63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Tocantins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65, 66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Mato Grosso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Mato Grosso do Sul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Acre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69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Rondônia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71, 73, 74, 75, 77, 79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Bahia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Sergipe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81, 89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Pernambuco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82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Alagoas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83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Paraiba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84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Rio Grande do Norte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lastRenderedPageBreak/>
              <w:t>85, 88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Ceará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86, 87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Piauí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91, 93, 94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Pará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92, 97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Amazonas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95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Roraima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96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Amapá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  <w:tr w:rsidR="00BE3AF8" w:rsidRPr="00B05ABA" w:rsidTr="00937106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98, 99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  <w:lang w:val="pt-BR"/>
              </w:rPr>
            </w:pPr>
            <w:r w:rsidRPr="008C7DE0">
              <w:rPr>
                <w:rFonts w:cs="Arial"/>
                <w:sz w:val="18"/>
                <w:szCs w:val="18"/>
                <w:lang w:val="pt-BR"/>
              </w:rPr>
              <w:t>Maranhão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AF8" w:rsidRPr="008C7DE0" w:rsidRDefault="00BE3AF8" w:rsidP="00937106">
            <w:pPr>
              <w:widowControl w:val="0"/>
              <w:spacing w:before="60" w:after="60"/>
              <w:rPr>
                <w:rFonts w:cs="Arial"/>
                <w:sz w:val="18"/>
                <w:szCs w:val="18"/>
              </w:rPr>
            </w:pPr>
            <w:r w:rsidRPr="008C7DE0">
              <w:rPr>
                <w:rFonts w:cs="Arial"/>
                <w:sz w:val="18"/>
                <w:szCs w:val="18"/>
              </w:rPr>
              <w:t>7XXX XXXX</w:t>
            </w:r>
          </w:p>
        </w:tc>
      </w:tr>
    </w:tbl>
    <w:p w:rsidR="000B2DA7" w:rsidRDefault="000B2DA7" w:rsidP="00BE3AF8">
      <w:pPr>
        <w:spacing w:after="240"/>
        <w:jc w:val="center"/>
        <w:rPr>
          <w:rFonts w:cs="Arial"/>
        </w:rPr>
      </w:pPr>
    </w:p>
    <w:p w:rsidR="00BE3AF8" w:rsidRPr="00B05ABA" w:rsidRDefault="00BE3AF8" w:rsidP="00BE3AF8">
      <w:pPr>
        <w:spacing w:after="240"/>
        <w:jc w:val="center"/>
        <w:rPr>
          <w:rFonts w:cs="Arial"/>
        </w:rPr>
      </w:pPr>
      <w:r w:rsidRPr="00B05ABA">
        <w:rPr>
          <w:rFonts w:cs="Arial"/>
        </w:rPr>
        <w:t>Table 3 – Fixed Services</w:t>
      </w:r>
    </w:p>
    <w:tbl>
      <w:tblPr>
        <w:tblW w:w="935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2129"/>
        <w:gridCol w:w="1732"/>
        <w:gridCol w:w="3496"/>
      </w:tblGrid>
      <w:tr w:rsidR="00BE3AF8" w:rsidRPr="00B05ABA" w:rsidTr="00937106">
        <w:trPr>
          <w:tblHeader/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60" w:after="60"/>
              <w:jc w:val="center"/>
              <w:rPr>
                <w:rFonts w:cs="Arial"/>
                <w:i/>
                <w:iCs/>
              </w:rPr>
            </w:pPr>
            <w:r w:rsidRPr="00B05ABA">
              <w:rPr>
                <w:rFonts w:cs="Arial"/>
                <w:i/>
                <w:iCs/>
              </w:rPr>
              <w:t xml:space="preserve">National Code </w:t>
            </w:r>
            <w:r w:rsidRPr="00B05ABA">
              <w:rPr>
                <w:rFonts w:cs="Arial"/>
                <w:i/>
                <w:iCs/>
              </w:rPr>
              <w:br/>
              <w:t>(Area Code)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60" w:after="60"/>
              <w:jc w:val="center"/>
              <w:rPr>
                <w:rFonts w:cs="Arial"/>
                <w:i/>
                <w:iCs/>
              </w:rPr>
            </w:pPr>
            <w:r w:rsidRPr="00B05ABA">
              <w:rPr>
                <w:rFonts w:cs="Arial"/>
                <w:i/>
                <w:iCs/>
              </w:rPr>
              <w:t>State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60" w:after="60"/>
              <w:jc w:val="center"/>
              <w:rPr>
                <w:rFonts w:cs="Arial"/>
                <w:i/>
                <w:iCs/>
              </w:rPr>
            </w:pPr>
            <w:r w:rsidRPr="00B05ABA">
              <w:rPr>
                <w:rFonts w:cs="Arial"/>
                <w:i/>
                <w:iCs/>
              </w:rPr>
              <w:t>Migration date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60" w:after="60"/>
              <w:jc w:val="center"/>
              <w:rPr>
                <w:rFonts w:cs="Arial"/>
                <w:i/>
                <w:iCs/>
              </w:rPr>
            </w:pPr>
            <w:r w:rsidRPr="00B05ABA">
              <w:rPr>
                <w:rFonts w:cs="Arial"/>
                <w:i/>
                <w:iCs/>
              </w:rPr>
              <w:t>Subscriber Number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11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São Paulo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12 to 19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São Paulo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21, 22, 24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Rio de Janeiro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27, 28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Espirito Santo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31 to 35, 37, 38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Minas Gerais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41 to 46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Paraná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47 to 49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Santa Catarina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51 to</w:t>
            </w:r>
            <w:r w:rsidRPr="00B05ABA">
              <w:rPr>
                <w:rFonts w:cs="Arial"/>
                <w:b/>
                <w:bCs/>
              </w:rPr>
              <w:t xml:space="preserve"> </w:t>
            </w:r>
            <w:r w:rsidRPr="00B05ABA">
              <w:rPr>
                <w:rFonts w:cs="Arial"/>
              </w:rPr>
              <w:t>55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Rio Grande do Sul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61</w:t>
            </w:r>
          </w:p>
        </w:tc>
        <w:tc>
          <w:tcPr>
            <w:tcW w:w="2129" w:type="dxa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Distrito Federal</w:t>
            </w:r>
          </w:p>
        </w:tc>
        <w:tc>
          <w:tcPr>
            <w:tcW w:w="1732" w:type="dxa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XXXX</w:t>
            </w:r>
            <w:r w:rsidRPr="00B05ABA">
              <w:rPr>
                <w:rFonts w:cs="Arial"/>
                <w:vertAlign w:val="superscript"/>
              </w:rPr>
              <w:t xml:space="preserve">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62 and 64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Goiás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63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Tocantins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65, 66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Mato Grosso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67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Mato Grosso do Sul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68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Acre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69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Rondônia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71, 73, 74, 75, 77, 79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Bahia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79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Sergipe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81, 89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Pernambuco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82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Alagoas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83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Paraiba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84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Rio Grande do Norte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85, 88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Ceará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86, 87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Piauí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</w:t>
            </w:r>
            <w:r w:rsidRPr="00B05ABA">
              <w:rPr>
                <w:rFonts w:cs="Arial"/>
                <w:b/>
                <w:bCs/>
              </w:rPr>
              <w:t xml:space="preserve"> </w:t>
            </w:r>
            <w:r w:rsidRPr="00B05ABA">
              <w:rPr>
                <w:rFonts w:cs="Arial"/>
              </w:rPr>
              <w:t>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91, 93, 94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Pará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lastRenderedPageBreak/>
              <w:t>92, 97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Amazonas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95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Roraima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96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Amapá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  <w:tr w:rsidR="00BE3AF8" w:rsidRPr="00B05ABA" w:rsidTr="00937106">
        <w:trPr>
          <w:jc w:val="center"/>
        </w:trPr>
        <w:tc>
          <w:tcPr>
            <w:tcW w:w="1997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98, 99</w:t>
            </w:r>
          </w:p>
        </w:tc>
        <w:tc>
          <w:tcPr>
            <w:tcW w:w="2129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  <w:lang w:val="pt-BR"/>
              </w:rPr>
            </w:pPr>
            <w:r w:rsidRPr="00B05ABA">
              <w:rPr>
                <w:rFonts w:cs="Arial"/>
                <w:lang w:val="pt-BR"/>
              </w:rPr>
              <w:t>Maranhão</w:t>
            </w:r>
          </w:p>
        </w:tc>
        <w:tc>
          <w:tcPr>
            <w:tcW w:w="1732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BE3AF8" w:rsidRPr="00B05ABA" w:rsidRDefault="00BE3AF8" w:rsidP="00937106">
            <w:pPr>
              <w:spacing w:before="40" w:after="40"/>
              <w:rPr>
                <w:rFonts w:cs="Arial"/>
              </w:rPr>
            </w:pPr>
            <w:r w:rsidRPr="00B05ABA">
              <w:rPr>
                <w:rFonts w:cs="Arial"/>
              </w:rPr>
              <w:t xml:space="preserve">XXXX </w:t>
            </w:r>
            <w:proofErr w:type="spellStart"/>
            <w:r w:rsidRPr="00B05ABA">
              <w:rPr>
                <w:rFonts w:cs="Arial"/>
              </w:rPr>
              <w:t>XXXX</w:t>
            </w:r>
            <w:proofErr w:type="spellEnd"/>
            <w:r w:rsidRPr="00B05ABA">
              <w:rPr>
                <w:rFonts w:cs="Arial"/>
              </w:rPr>
              <w:t xml:space="preserve"> (first digit 2, 3 , 4 or 5)</w:t>
            </w:r>
          </w:p>
        </w:tc>
      </w:tr>
    </w:tbl>
    <w:p w:rsidR="00BD3072" w:rsidRDefault="00BD3072" w:rsidP="00BE3AF8">
      <w:pPr>
        <w:rPr>
          <w:rFonts w:cs="Arial"/>
          <w:lang w:val="es-ES"/>
        </w:rPr>
      </w:pPr>
    </w:p>
    <w:p w:rsidR="00BE3AF8" w:rsidRPr="00B05ABA" w:rsidRDefault="00BE3AF8" w:rsidP="00BE3AF8">
      <w:pPr>
        <w:rPr>
          <w:rFonts w:cs="Arial"/>
          <w:lang w:val="es-ES"/>
        </w:rPr>
      </w:pPr>
      <w:proofErr w:type="spellStart"/>
      <w:r w:rsidRPr="00B05ABA">
        <w:rPr>
          <w:rFonts w:cs="Arial"/>
          <w:lang w:val="es-ES"/>
        </w:rPr>
        <w:t>Contact</w:t>
      </w:r>
      <w:proofErr w:type="spellEnd"/>
      <w:r w:rsidRPr="00B05ABA">
        <w:rPr>
          <w:rFonts w:cs="Arial"/>
          <w:lang w:val="es-ES"/>
        </w:rPr>
        <w:t>:</w:t>
      </w:r>
    </w:p>
    <w:p w:rsidR="00BE3AF8" w:rsidRPr="00B05ABA" w:rsidRDefault="00BE3AF8" w:rsidP="00BE3AF8">
      <w:pPr>
        <w:ind w:left="567" w:hanging="567"/>
        <w:jc w:val="left"/>
        <w:rPr>
          <w:rFonts w:cs="Arial"/>
          <w:lang w:val="es-ES_tradnl"/>
        </w:rPr>
      </w:pPr>
      <w:r w:rsidRPr="00B05ABA">
        <w:rPr>
          <w:rFonts w:cs="Arial"/>
          <w:lang w:val="es-ES"/>
        </w:rPr>
        <w:tab/>
        <w:t>Mr. Marcos de Souza Oliveira</w:t>
      </w:r>
      <w:r w:rsidRPr="00B05ABA">
        <w:rPr>
          <w:rFonts w:cs="Arial"/>
          <w:lang w:val="es-ES"/>
        </w:rPr>
        <w:br/>
      </w:r>
      <w:r w:rsidRPr="00B05ABA">
        <w:rPr>
          <w:rFonts w:cs="Arial"/>
          <w:lang w:val="pt-BR"/>
        </w:rPr>
        <w:t>Agência Nacional de Telecomunicações (ANATEL)</w:t>
      </w:r>
      <w:r w:rsidRPr="00B05ABA">
        <w:rPr>
          <w:rFonts w:cs="Arial"/>
          <w:lang w:val="pt-BR"/>
        </w:rPr>
        <w:br/>
        <w:t>Gerência de Certificação e Numeração – ORCN</w:t>
      </w:r>
      <w:r w:rsidRPr="00B05ABA">
        <w:rPr>
          <w:rFonts w:cs="Arial"/>
          <w:lang w:val="pt-BR"/>
        </w:rPr>
        <w:br/>
        <w:t>SAUS Quadra 6, Bloco E, 9</w:t>
      </w:r>
      <w:r w:rsidRPr="00B05ABA">
        <w:rPr>
          <w:rFonts w:cs="Arial"/>
          <w:vertAlign w:val="superscript"/>
          <w:lang w:val="pt-BR"/>
        </w:rPr>
        <w:t xml:space="preserve">o </w:t>
      </w:r>
      <w:r w:rsidRPr="00B05ABA">
        <w:rPr>
          <w:rFonts w:cs="Arial"/>
          <w:lang w:val="pt-BR"/>
        </w:rPr>
        <w:t>andar</w:t>
      </w:r>
      <w:r w:rsidRPr="00B05ABA">
        <w:rPr>
          <w:rFonts w:cs="Arial"/>
          <w:lang w:val="pt-BR"/>
        </w:rPr>
        <w:br/>
      </w:r>
      <w:r w:rsidRPr="00B05ABA">
        <w:rPr>
          <w:rFonts w:cs="Arial"/>
          <w:lang w:val="es-ES"/>
        </w:rPr>
        <w:t>CEP 70.070-940 - BRASILIA/DF</w:t>
      </w:r>
      <w:r w:rsidRPr="00B05ABA">
        <w:rPr>
          <w:rFonts w:cs="Arial"/>
          <w:lang w:val="es-ES"/>
        </w:rPr>
        <w:br/>
      </w:r>
      <w:proofErr w:type="spellStart"/>
      <w:r w:rsidRPr="00B05ABA">
        <w:rPr>
          <w:rFonts w:cs="Arial"/>
          <w:lang w:val="es-ES"/>
        </w:rPr>
        <w:t>Brazil</w:t>
      </w:r>
      <w:proofErr w:type="spellEnd"/>
      <w:r w:rsidRPr="00B05ABA">
        <w:rPr>
          <w:rFonts w:cs="Arial"/>
          <w:lang w:val="es-ES"/>
        </w:rPr>
        <w:br/>
        <w:t>Tel:</w:t>
      </w:r>
      <w:r w:rsidRPr="00B05ABA">
        <w:rPr>
          <w:rFonts w:cs="Arial"/>
          <w:lang w:val="es-ES"/>
        </w:rPr>
        <w:tab/>
        <w:t>+55 61 2312 2026</w:t>
      </w:r>
      <w:r w:rsidRPr="00B05ABA">
        <w:rPr>
          <w:rFonts w:cs="Arial"/>
          <w:lang w:val="es-ES"/>
        </w:rPr>
        <w:br/>
      </w:r>
      <w:r w:rsidRPr="00B05ABA">
        <w:rPr>
          <w:rFonts w:cs="Arial"/>
          <w:lang w:val="es-ES_tradnl"/>
        </w:rPr>
        <w:t>URL:</w:t>
      </w:r>
      <w:r w:rsidRPr="00B05ABA">
        <w:rPr>
          <w:rFonts w:cs="Arial"/>
          <w:lang w:val="es-ES_tradnl"/>
        </w:rPr>
        <w:tab/>
      </w:r>
      <w:hyperlink r:id="rId6" w:history="1">
        <w:r w:rsidRPr="00B05ABA">
          <w:rPr>
            <w:rFonts w:cs="Arial"/>
            <w:lang w:val="es-ES_tradnl"/>
          </w:rPr>
          <w:t>www.anatel.gov.br</w:t>
        </w:r>
      </w:hyperlink>
    </w:p>
    <w:p w:rsidR="00BE3AF8" w:rsidRPr="00BE3AF8" w:rsidRDefault="00BE3AF8" w:rsidP="003522BE">
      <w:pPr>
        <w:rPr>
          <w:rFonts w:ascii="Arial" w:hAnsi="Arial" w:cs="Arial"/>
          <w:b/>
          <w:bCs/>
          <w:lang w:val="es-ES_tradnl"/>
        </w:rPr>
      </w:pPr>
    </w:p>
    <w:p w:rsidR="00BE3AF8" w:rsidRPr="00BE3AF8" w:rsidRDefault="00BE3AF8" w:rsidP="003522BE">
      <w:pPr>
        <w:rPr>
          <w:rFonts w:ascii="Arial" w:hAnsi="Arial" w:cs="Arial"/>
          <w:b/>
          <w:bCs/>
          <w:lang w:val="es-ES_tradnl"/>
        </w:rPr>
      </w:pPr>
    </w:p>
    <w:p w:rsidR="006C1E94" w:rsidRPr="00AF2D89" w:rsidRDefault="006C1E94" w:rsidP="006C1E94">
      <w:pPr>
        <w:spacing w:before="0"/>
        <w:rPr>
          <w:rFonts w:ascii="Arial" w:hAnsi="Arial" w:cs="Arial"/>
          <w:b/>
          <w:lang w:val="en-US"/>
        </w:rPr>
      </w:pPr>
      <w:r w:rsidRPr="00AF2D89">
        <w:rPr>
          <w:rFonts w:ascii="Arial" w:hAnsi="Arial" w:cs="Arial"/>
        </w:rPr>
        <w:t>Communication of 26.XI.2014</w:t>
      </w:r>
      <w:r w:rsidRPr="00AF2D89">
        <w:rPr>
          <w:rFonts w:ascii="Arial" w:hAnsi="Arial" w:cs="Arial"/>
          <w:lang w:val="en-US"/>
        </w:rPr>
        <w:t>:</w:t>
      </w:r>
    </w:p>
    <w:p w:rsidR="006C1E94" w:rsidRPr="00AF2D89" w:rsidRDefault="006C1E94" w:rsidP="003522BE">
      <w:pPr>
        <w:rPr>
          <w:rFonts w:ascii="Arial" w:hAnsi="Arial" w:cs="Arial"/>
        </w:rPr>
      </w:pPr>
      <w:r w:rsidRPr="00AF2D89">
        <w:rPr>
          <w:rFonts w:ascii="Arial" w:hAnsi="Arial" w:cs="Arial"/>
        </w:rPr>
        <w:t>The</w:t>
      </w:r>
      <w:r w:rsidRPr="00AF2D89">
        <w:rPr>
          <w:rFonts w:ascii="Arial" w:hAnsi="Arial" w:cs="Arial"/>
          <w:i/>
          <w:iCs/>
        </w:rPr>
        <w:t xml:space="preserve"> </w:t>
      </w:r>
      <w:r w:rsidRPr="00AF2D89">
        <w:rPr>
          <w:rFonts w:ascii="Arial" w:hAnsi="Arial" w:cs="Arial"/>
          <w:i/>
          <w:iCs/>
          <w:lang w:val="pt-BR"/>
        </w:rPr>
        <w:t>Agência Nacional de Telecomunicações</w:t>
      </w:r>
      <w:r w:rsidRPr="00AF2D89">
        <w:rPr>
          <w:rFonts w:ascii="Arial" w:hAnsi="Arial" w:cs="Arial"/>
        </w:rPr>
        <w:t xml:space="preserve"> </w:t>
      </w:r>
      <w:r w:rsidRPr="00AF2D89">
        <w:rPr>
          <w:rFonts w:ascii="Arial" w:hAnsi="Arial" w:cs="Arial"/>
          <w:i/>
          <w:iCs/>
        </w:rPr>
        <w:t>(ANATEL)</w:t>
      </w:r>
      <w:r w:rsidRPr="00AF2D89">
        <w:rPr>
          <w:rFonts w:ascii="Arial" w:hAnsi="Arial" w:cs="Arial"/>
        </w:rPr>
        <w:t>, Brasilia, announces that the Numbering Plan of mobile services in Brazil will be modified due to the increasing demand for new numbers.</w:t>
      </w:r>
    </w:p>
    <w:p w:rsidR="006C1E94" w:rsidRPr="00AF2D89" w:rsidRDefault="006C1E94" w:rsidP="006C1E94">
      <w:pPr>
        <w:spacing w:after="120"/>
        <w:rPr>
          <w:rFonts w:ascii="Arial" w:hAnsi="Arial" w:cs="Arial"/>
        </w:rPr>
      </w:pPr>
      <w:r w:rsidRPr="00AF2D89">
        <w:rPr>
          <w:rFonts w:ascii="Arial" w:hAnsi="Arial" w:cs="Arial"/>
        </w:rPr>
        <w:t>The current format of mobile numbers is N</w:t>
      </w:r>
      <w:r w:rsidRPr="00AF2D89">
        <w:rPr>
          <w:rFonts w:ascii="Arial" w:hAnsi="Arial" w:cs="Arial"/>
          <w:vertAlign w:val="subscript"/>
        </w:rPr>
        <w:t>8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7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6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5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4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3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2</w:t>
      </w:r>
      <w:r w:rsidRPr="00AF2D89">
        <w:rPr>
          <w:rFonts w:ascii="Arial" w:hAnsi="Arial" w:cs="Arial"/>
        </w:rPr>
        <w:t>N</w:t>
      </w:r>
      <w:r w:rsidRPr="00AF2D89">
        <w:rPr>
          <w:rFonts w:ascii="Arial" w:hAnsi="Arial" w:cs="Arial"/>
          <w:vertAlign w:val="subscript"/>
        </w:rPr>
        <w:t>1</w:t>
      </w:r>
      <w:r w:rsidRPr="00AF2D89">
        <w:rPr>
          <w:rFonts w:ascii="Arial" w:hAnsi="Arial" w:cs="Arial"/>
        </w:rPr>
        <w:t xml:space="preserve"> and the first digit which identifies this service is 9, 8, 7 or 6. However, in accordance with Resolution No. 553, issued by the </w:t>
      </w:r>
      <w:r w:rsidRPr="00AF2D89">
        <w:rPr>
          <w:rFonts w:ascii="Arial" w:hAnsi="Arial" w:cs="Arial"/>
          <w:i/>
          <w:iCs/>
          <w:lang w:val="pt-BR"/>
        </w:rPr>
        <w:t>Agência Nacional de Telecomunicações</w:t>
      </w:r>
      <w:r w:rsidRPr="00AF2D89">
        <w:rPr>
          <w:rFonts w:ascii="Arial" w:hAnsi="Arial" w:cs="Arial"/>
        </w:rPr>
        <w:t xml:space="preserve"> </w:t>
      </w:r>
      <w:r w:rsidRPr="00AF2D89">
        <w:rPr>
          <w:rFonts w:ascii="Arial" w:hAnsi="Arial" w:cs="Arial"/>
          <w:i/>
          <w:iCs/>
        </w:rPr>
        <w:t>(ANATEL)</w:t>
      </w:r>
      <w:r w:rsidRPr="00AF2D89">
        <w:rPr>
          <w:rFonts w:ascii="Arial" w:hAnsi="Arial" w:cs="Arial"/>
        </w:rPr>
        <w:t xml:space="preserve"> on 14 December 2010, there will be the inclusion of a ninth digit in mobile number length and all subscriber numbers will initiate with the digit “9”.</w:t>
      </w:r>
    </w:p>
    <w:p w:rsidR="006C1E94" w:rsidRPr="00AF2D89" w:rsidRDefault="006C1E94" w:rsidP="006C1E94">
      <w:pPr>
        <w:jc w:val="left"/>
        <w:rPr>
          <w:rFonts w:ascii="Arial" w:hAnsi="Arial" w:cs="Arial"/>
        </w:rPr>
      </w:pPr>
      <w:r w:rsidRPr="00AF2D89">
        <w:rPr>
          <w:rFonts w:ascii="Arial" w:hAnsi="Arial" w:cs="Arial"/>
        </w:rPr>
        <w:t xml:space="preserve">Therefore, mobile numbers will have the following format: </w:t>
      </w:r>
      <w:r w:rsidRPr="00AF2D89">
        <w:rPr>
          <w:rFonts w:ascii="Arial" w:hAnsi="Arial" w:cs="Arial"/>
        </w:rPr>
        <w:br/>
        <w:t xml:space="preserve">+55 XX </w:t>
      </w:r>
      <w:r w:rsidRPr="00AF2D89">
        <w:rPr>
          <w:rFonts w:ascii="Arial" w:hAnsi="Arial" w:cs="Arial"/>
          <w:b/>
          <w:bCs/>
          <w:u w:val="single"/>
        </w:rPr>
        <w:t>9</w:t>
      </w:r>
      <w:r w:rsidRPr="00AF2D89">
        <w:rPr>
          <w:rFonts w:ascii="Arial" w:hAnsi="Arial" w:cs="Arial"/>
        </w:rPr>
        <w:t>XXXX XXXX (country code, area code and subscriber number).</w:t>
      </w:r>
    </w:p>
    <w:p w:rsidR="006C1E94" w:rsidRPr="00AF2D89" w:rsidRDefault="006C1E94" w:rsidP="006C1E94">
      <w:pPr>
        <w:rPr>
          <w:rFonts w:ascii="Arial" w:hAnsi="Arial" w:cs="Arial"/>
        </w:rPr>
      </w:pPr>
      <w:r w:rsidRPr="00AF2D89">
        <w:rPr>
          <w:rFonts w:ascii="Arial" w:hAnsi="Arial" w:cs="Arial"/>
        </w:rPr>
        <w:t xml:space="preserve">This change was already implemented in the </w:t>
      </w:r>
      <w:r w:rsidRPr="00AF2D89">
        <w:rPr>
          <w:rFonts w:ascii="Arial" w:hAnsi="Arial" w:cs="Arial"/>
          <w:b/>
          <w:bCs/>
        </w:rPr>
        <w:t>Area Codes 11, 12, 13, 14, 15, 16, 17, 18 and 19</w:t>
      </w:r>
      <w:r w:rsidRPr="00AF2D89">
        <w:rPr>
          <w:rFonts w:ascii="Arial" w:hAnsi="Arial" w:cs="Arial"/>
        </w:rPr>
        <w:t xml:space="preserve"> (State of São Paulo), in the </w:t>
      </w:r>
      <w:r w:rsidRPr="00AF2D89">
        <w:rPr>
          <w:rFonts w:ascii="Arial" w:hAnsi="Arial" w:cs="Arial"/>
          <w:b/>
          <w:bCs/>
        </w:rPr>
        <w:t>Area Codes 21, 22, 24, 27 and 28</w:t>
      </w:r>
      <w:r w:rsidRPr="00AF2D89">
        <w:rPr>
          <w:rFonts w:ascii="Arial" w:hAnsi="Arial" w:cs="Arial"/>
        </w:rPr>
        <w:t xml:space="preserve"> (States of Rio de Janeiro and </w:t>
      </w:r>
      <w:r w:rsidRPr="00AF2D89">
        <w:rPr>
          <w:rFonts w:ascii="Arial" w:hAnsi="Arial" w:cs="Arial"/>
          <w:lang w:val="pt-BR"/>
        </w:rPr>
        <w:t>Espírito Santo</w:t>
      </w:r>
      <w:r w:rsidRPr="00AF2D89">
        <w:rPr>
          <w:rFonts w:ascii="Arial" w:hAnsi="Arial" w:cs="Arial"/>
        </w:rPr>
        <w:t xml:space="preserve">) and in the </w:t>
      </w:r>
      <w:r w:rsidRPr="00AF2D89">
        <w:rPr>
          <w:rFonts w:ascii="Arial" w:hAnsi="Arial" w:cs="Arial"/>
          <w:b/>
          <w:bCs/>
        </w:rPr>
        <w:t xml:space="preserve">Area Codes 91, 92, 93, 94, 95, 96, 97, 98 and 99 </w:t>
      </w:r>
      <w:r w:rsidRPr="00AF2D89">
        <w:rPr>
          <w:rFonts w:ascii="Arial" w:hAnsi="Arial" w:cs="Arial"/>
        </w:rPr>
        <w:t xml:space="preserve">(States of </w:t>
      </w:r>
      <w:r w:rsidRPr="00AF2D89">
        <w:rPr>
          <w:rFonts w:ascii="Arial" w:hAnsi="Arial" w:cs="Arial"/>
          <w:lang w:val="pt-BR"/>
        </w:rPr>
        <w:t>Amapá</w:t>
      </w:r>
      <w:r w:rsidRPr="00AF2D89">
        <w:rPr>
          <w:rFonts w:ascii="Arial" w:hAnsi="Arial" w:cs="Arial"/>
        </w:rPr>
        <w:t xml:space="preserve">, Amazonas, </w:t>
      </w:r>
      <w:r w:rsidRPr="00AF2D89">
        <w:rPr>
          <w:rFonts w:ascii="Arial" w:hAnsi="Arial" w:cs="Arial"/>
          <w:lang w:val="pt-BR"/>
        </w:rPr>
        <w:t>Maranhão</w:t>
      </w:r>
      <w:r w:rsidRPr="00AF2D89">
        <w:rPr>
          <w:rFonts w:ascii="Arial" w:hAnsi="Arial" w:cs="Arial"/>
        </w:rPr>
        <w:t xml:space="preserve">, </w:t>
      </w:r>
      <w:r w:rsidRPr="00AF2D89">
        <w:rPr>
          <w:rFonts w:ascii="Arial" w:hAnsi="Arial" w:cs="Arial"/>
          <w:lang w:val="pt-BR"/>
        </w:rPr>
        <w:t xml:space="preserve">Pará </w:t>
      </w:r>
      <w:r w:rsidRPr="00AF2D89">
        <w:rPr>
          <w:rFonts w:ascii="Arial" w:hAnsi="Arial" w:cs="Arial"/>
        </w:rPr>
        <w:t>and Roraima).</w:t>
      </w:r>
    </w:p>
    <w:p w:rsidR="006C1E94" w:rsidRPr="00AF2D89" w:rsidRDefault="006C1E94" w:rsidP="006C1E94">
      <w:pPr>
        <w:rPr>
          <w:rFonts w:ascii="Arial" w:hAnsi="Arial" w:cs="Arial"/>
          <w:b/>
          <w:bCs/>
        </w:rPr>
      </w:pPr>
      <w:r w:rsidRPr="00AF2D89">
        <w:rPr>
          <w:rFonts w:ascii="Arial" w:hAnsi="Arial" w:cs="Arial"/>
        </w:rPr>
        <w:t>Now, in this year of 2015, the changing will occur in the</w:t>
      </w:r>
      <w:r w:rsidRPr="00AF2D89">
        <w:rPr>
          <w:rFonts w:ascii="Arial" w:hAnsi="Arial" w:cs="Arial"/>
          <w:b/>
          <w:bCs/>
        </w:rPr>
        <w:t xml:space="preserve"> Area Codes 81, 82, 83, 84, 85, 86, 87, 88, and 89</w:t>
      </w:r>
      <w:r w:rsidRPr="00AF2D89">
        <w:rPr>
          <w:rFonts w:ascii="Arial" w:hAnsi="Arial" w:cs="Arial"/>
        </w:rPr>
        <w:t xml:space="preserve"> (States of </w:t>
      </w:r>
      <w:r w:rsidRPr="00AF2D89">
        <w:rPr>
          <w:rFonts w:ascii="Arial" w:hAnsi="Arial" w:cs="Arial"/>
          <w:lang w:val="pt-BR"/>
        </w:rPr>
        <w:t>Alagoas, Ceará, Paraiba, Pernambuco, Piauí, Rio Grande do Norte</w:t>
      </w:r>
      <w:r w:rsidRPr="00AF2D89">
        <w:rPr>
          <w:rFonts w:ascii="Arial" w:hAnsi="Arial" w:cs="Arial"/>
        </w:rPr>
        <w:t xml:space="preserve">), </w:t>
      </w:r>
      <w:r w:rsidRPr="00AF2D89">
        <w:rPr>
          <w:rFonts w:ascii="Arial" w:hAnsi="Arial" w:cs="Arial"/>
          <w:b/>
          <w:bCs/>
        </w:rPr>
        <w:t>on May 31</w:t>
      </w:r>
      <w:r w:rsidRPr="00AF2D89">
        <w:rPr>
          <w:rFonts w:ascii="Arial" w:hAnsi="Arial" w:cs="Arial"/>
          <w:b/>
          <w:bCs/>
          <w:vertAlign w:val="superscript"/>
        </w:rPr>
        <w:t>st</w:t>
      </w:r>
      <w:r w:rsidRPr="00AF2D89">
        <w:rPr>
          <w:rFonts w:ascii="Arial" w:hAnsi="Arial" w:cs="Arial"/>
        </w:rPr>
        <w:t xml:space="preserve">, </w:t>
      </w:r>
      <w:r w:rsidRPr="00AF2D89">
        <w:rPr>
          <w:rFonts w:ascii="Arial" w:hAnsi="Arial" w:cs="Arial"/>
          <w:vertAlign w:val="superscript"/>
        </w:rPr>
        <w:t xml:space="preserve"> </w:t>
      </w:r>
      <w:r w:rsidRPr="00AF2D89">
        <w:rPr>
          <w:rFonts w:ascii="Arial" w:hAnsi="Arial" w:cs="Arial"/>
        </w:rPr>
        <w:t xml:space="preserve">and in the </w:t>
      </w:r>
      <w:r w:rsidRPr="00AF2D89">
        <w:rPr>
          <w:rFonts w:ascii="Arial" w:hAnsi="Arial" w:cs="Arial"/>
          <w:b/>
          <w:bCs/>
        </w:rPr>
        <w:t xml:space="preserve">Area Codes 31, 32, 33, 34, 35, 37 and 38 </w:t>
      </w:r>
      <w:r w:rsidRPr="00AF2D89">
        <w:rPr>
          <w:rFonts w:ascii="Arial" w:hAnsi="Arial" w:cs="Arial"/>
        </w:rPr>
        <w:t xml:space="preserve">(State of </w:t>
      </w:r>
      <w:r w:rsidRPr="00AF2D89">
        <w:rPr>
          <w:rFonts w:ascii="Arial" w:hAnsi="Arial" w:cs="Arial"/>
          <w:lang w:val="pt-BR"/>
        </w:rPr>
        <w:t>Minas Gerais</w:t>
      </w:r>
      <w:r w:rsidRPr="00AF2D89">
        <w:rPr>
          <w:rFonts w:ascii="Arial" w:hAnsi="Arial" w:cs="Arial"/>
        </w:rPr>
        <w:t xml:space="preserve">) and </w:t>
      </w:r>
      <w:r w:rsidRPr="00AF2D89">
        <w:rPr>
          <w:rFonts w:ascii="Arial" w:hAnsi="Arial" w:cs="Arial"/>
          <w:b/>
          <w:bCs/>
        </w:rPr>
        <w:t xml:space="preserve">71, 73, 74, 75, 77 and 79 </w:t>
      </w:r>
      <w:r w:rsidRPr="00AF2D89">
        <w:rPr>
          <w:rFonts w:ascii="Arial" w:hAnsi="Arial" w:cs="Arial"/>
        </w:rPr>
        <w:t xml:space="preserve">(States of Bahia and Sergipe), </w:t>
      </w:r>
      <w:r w:rsidRPr="00AF2D89">
        <w:rPr>
          <w:rFonts w:ascii="Arial" w:hAnsi="Arial" w:cs="Arial"/>
          <w:b/>
          <w:bCs/>
        </w:rPr>
        <w:t>on October 11</w:t>
      </w:r>
      <w:r w:rsidRPr="00AF2D89">
        <w:rPr>
          <w:rFonts w:ascii="Arial" w:hAnsi="Arial" w:cs="Arial"/>
          <w:b/>
          <w:bCs/>
          <w:vertAlign w:val="superscript"/>
        </w:rPr>
        <w:t>th</w:t>
      </w:r>
      <w:r w:rsidRPr="00AF2D89">
        <w:rPr>
          <w:rFonts w:ascii="Arial" w:hAnsi="Arial" w:cs="Arial"/>
          <w:b/>
          <w:bCs/>
        </w:rPr>
        <w:t>.</w:t>
      </w:r>
    </w:p>
    <w:p w:rsidR="006C1E94" w:rsidRPr="00AF2D89" w:rsidRDefault="006C1E94" w:rsidP="006C1E94">
      <w:pPr>
        <w:rPr>
          <w:rFonts w:ascii="Arial" w:hAnsi="Arial" w:cs="Arial"/>
        </w:rPr>
      </w:pPr>
      <w:r w:rsidRPr="00AF2D89">
        <w:rPr>
          <w:rFonts w:ascii="Arial" w:hAnsi="Arial" w:cs="Arial"/>
        </w:rPr>
        <w:t>ANATEL will define in the future the date in which this change will take place in the other Area Codes of Brazil.</w:t>
      </w:r>
    </w:p>
    <w:p w:rsidR="006C1E94" w:rsidRPr="00AF2D89" w:rsidRDefault="006C1E94" w:rsidP="006C1E94">
      <w:pPr>
        <w:rPr>
          <w:rFonts w:ascii="Arial" w:hAnsi="Arial" w:cs="Arial"/>
        </w:rPr>
      </w:pPr>
      <w:r w:rsidRPr="00AF2D89">
        <w:rPr>
          <w:rFonts w:ascii="Arial" w:hAnsi="Arial" w:cs="Arial"/>
        </w:rPr>
        <w:t xml:space="preserve">In addition, ANATEL would like to highlight that this format change will not be applied to mobile radio service numbers nor to </w:t>
      </w:r>
      <w:proofErr w:type="gramStart"/>
      <w:r w:rsidRPr="00AF2D89">
        <w:rPr>
          <w:rFonts w:ascii="Arial" w:hAnsi="Arial" w:cs="Arial"/>
        </w:rPr>
        <w:t>fixed</w:t>
      </w:r>
      <w:proofErr w:type="gramEnd"/>
      <w:r w:rsidRPr="00AF2D89">
        <w:rPr>
          <w:rFonts w:ascii="Arial" w:hAnsi="Arial" w:cs="Arial"/>
        </w:rPr>
        <w:t xml:space="preserve"> switched telephone numbers. Consequently, subscriber numbers for these services will remain eight-digit long.</w:t>
      </w:r>
    </w:p>
    <w:p w:rsidR="00BE3AF8" w:rsidRDefault="00BE3AF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C1E94" w:rsidRPr="00AF2D89" w:rsidRDefault="006C1E94" w:rsidP="006C1E94">
      <w:pPr>
        <w:rPr>
          <w:rFonts w:ascii="Arial" w:hAnsi="Arial" w:cs="Arial"/>
        </w:rPr>
      </w:pPr>
      <w:r w:rsidRPr="00AF2D89">
        <w:rPr>
          <w:rFonts w:ascii="Arial" w:hAnsi="Arial" w:cs="Arial"/>
        </w:rPr>
        <w:lastRenderedPageBreak/>
        <w:t>Brazil’s Area Codes and Numbering Plan for mobile and fixed services:</w:t>
      </w:r>
    </w:p>
    <w:p w:rsidR="006C1E94" w:rsidRPr="00AF2D89" w:rsidRDefault="006C1E94" w:rsidP="006C1E94">
      <w:pPr>
        <w:jc w:val="center"/>
        <w:rPr>
          <w:rFonts w:ascii="Arial" w:hAnsi="Arial" w:cs="Arial"/>
        </w:rPr>
      </w:pPr>
      <w:r w:rsidRPr="00AF2D89">
        <w:rPr>
          <w:rFonts w:ascii="Arial" w:hAnsi="Arial" w:cs="Arial"/>
        </w:rPr>
        <w:t>Table 1 – Mobile Services</w:t>
      </w:r>
    </w:p>
    <w:p w:rsidR="006C1E94" w:rsidRPr="00AF2D89" w:rsidRDefault="006C1E94" w:rsidP="006C1E94">
      <w:pPr>
        <w:rPr>
          <w:rFonts w:ascii="Arial" w:hAnsi="Arial" w:cs="Arial"/>
        </w:rPr>
      </w:pPr>
    </w:p>
    <w:tbl>
      <w:tblPr>
        <w:tblW w:w="9354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1942"/>
        <w:gridCol w:w="1914"/>
        <w:gridCol w:w="3474"/>
      </w:tblGrid>
      <w:tr w:rsidR="006C1E94" w:rsidRPr="00AF2D89" w:rsidTr="00131301">
        <w:trPr>
          <w:tblHeader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CD568F">
            <w:pPr>
              <w:spacing w:before="100" w:after="10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National Code (Area Code)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CD568F">
            <w:pPr>
              <w:spacing w:before="100" w:after="10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State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CD568F">
            <w:pPr>
              <w:spacing w:before="100" w:after="10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Migration date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CD568F">
            <w:pPr>
              <w:spacing w:before="100" w:after="10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Subscriber Number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pStyle w:val="Style4"/>
              <w:spacing w:before="40" w:after="40"/>
              <w:rPr>
                <w:rStyle w:val="FontStyle12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2"/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São Paulo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67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29 July 2012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12 to 19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São Paulo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25 August 2013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21, 22, 24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Rio de Janeiro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27 October 2013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27, 28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Espirito Santo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27 October 2013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to 35, 37, 38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Minas Gerais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11 October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41 to 46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Paraná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47 to 49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Santa Catarina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51 to 55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Rio Grande do Sul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Distrito Federal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62 and 64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Goiás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5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Tocantins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5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65, 66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Mato Grosso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5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Mato Grosso do Sul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14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34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Acre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14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38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  <w:lang w:val="pt-BR"/>
              </w:rPr>
              <w:t>Rondônia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19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Not yet defined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43"/>
              <w:rPr>
                <w:rStyle w:val="FontStyle13"/>
                <w:rFonts w:ascii="Arial" w:hAnsi="Arial" w:cs="Arial"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XXXX </w:t>
            </w:r>
            <w:proofErr w:type="spellStart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 xml:space="preserve"> (first digit 9, 8, 7 or 6)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71, 73, 74, 75, 77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Bahia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11 October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Sergipe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11 October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81, 89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Pernambuco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24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May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Alagoas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May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Paraiba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May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Rio Grande do Norte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May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85, 88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Ceará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May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86, 87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Piauí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31 May 2015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91, 93, 94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Pará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38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 November 2014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92, 97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Amazonas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48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 November 2014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Roraima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48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 November 2014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  <w:t>Amapá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53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 November 2014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  <w:tr w:rsidR="006C1E94" w:rsidRPr="00AF2D89" w:rsidTr="00131301">
        <w:trPr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98, 99</w:t>
            </w:r>
          </w:p>
        </w:tc>
        <w:tc>
          <w:tcPr>
            <w:tcW w:w="10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AF2D89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Maranhão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pStyle w:val="Style3"/>
              <w:spacing w:before="40" w:after="40" w:line="240" w:lineRule="auto"/>
              <w:ind w:right="62"/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</w:pPr>
            <w:r w:rsidRPr="00AF2D89">
              <w:rPr>
                <w:rStyle w:val="FontStyle13"/>
                <w:rFonts w:ascii="Arial" w:hAnsi="Arial" w:cs="Arial"/>
                <w:b/>
                <w:bCs/>
                <w:sz w:val="20"/>
                <w:szCs w:val="20"/>
              </w:rPr>
              <w:t>2 November 2014</w:t>
            </w:r>
          </w:p>
        </w:tc>
        <w:tc>
          <w:tcPr>
            <w:tcW w:w="18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Style w:val="FontStyle13"/>
                <w:rFonts w:ascii="Arial" w:hAnsi="Arial" w:cs="Arial"/>
                <w:sz w:val="20"/>
                <w:szCs w:val="20"/>
              </w:rPr>
              <w:t>9XXXX XXXX</w:t>
            </w:r>
          </w:p>
        </w:tc>
      </w:tr>
    </w:tbl>
    <w:p w:rsidR="006C1E94" w:rsidRPr="00AF2D89" w:rsidRDefault="006C1E94" w:rsidP="006C1E94">
      <w:pPr>
        <w:rPr>
          <w:rFonts w:ascii="Arial" w:hAnsi="Arial" w:cs="Arial"/>
        </w:rPr>
      </w:pPr>
    </w:p>
    <w:p w:rsidR="00BE3AF8" w:rsidRDefault="00BE3AF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C1E94" w:rsidRPr="00AF2D89" w:rsidRDefault="006C1E94" w:rsidP="006C1E94">
      <w:pPr>
        <w:jc w:val="center"/>
        <w:rPr>
          <w:rFonts w:ascii="Arial" w:hAnsi="Arial" w:cs="Arial"/>
        </w:rPr>
      </w:pPr>
      <w:r w:rsidRPr="00AF2D89">
        <w:rPr>
          <w:rFonts w:ascii="Arial" w:hAnsi="Arial" w:cs="Arial"/>
        </w:rPr>
        <w:lastRenderedPageBreak/>
        <w:t>Table 2 – Mobile Radio Services</w:t>
      </w:r>
    </w:p>
    <w:p w:rsidR="006C1E94" w:rsidRPr="00AF2D89" w:rsidRDefault="006C1E94" w:rsidP="006C1E94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025"/>
        <w:gridCol w:w="2119"/>
        <w:gridCol w:w="1720"/>
        <w:gridCol w:w="3208"/>
      </w:tblGrid>
      <w:tr w:rsidR="006C1E94" w:rsidRPr="00AF2D89" w:rsidTr="00CD568F">
        <w:trPr>
          <w:tblHeader/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widowControl w:val="0"/>
              <w:spacing w:before="40" w:after="4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National Code (Area Code)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widowControl w:val="0"/>
              <w:spacing w:before="40" w:after="4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State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widowControl w:val="0"/>
              <w:spacing w:before="40" w:after="4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Migration date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1E94" w:rsidRPr="00AF2D89" w:rsidRDefault="006C1E94" w:rsidP="00131301">
            <w:pPr>
              <w:widowControl w:val="0"/>
              <w:spacing w:before="40" w:after="4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Subscriber Number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11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São Paulo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12 to 19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São Paulo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21, 22, 24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Rio de Janeiro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27, 28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Espirito Santo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31 to 35, 37, 38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Minas Gerais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41 to 46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Paraná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47 to 49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Santa Catarina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51 to 55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Rio Grande do Sul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61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Distrito Federal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62 and 64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Goiás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63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Tocantins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65, 66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Mato Grosso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Mato Grosso do Sul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Acre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Rondônia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71, 73, 74, 75, 77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Bahia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Sergipe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81, 89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Pernambuco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82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Alagoas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83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Paraiba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Rio Grande do Norte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85, 88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Ceará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86, 87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Piauí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91, 93, 94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Pará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92, 97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Amazonas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95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Roraima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96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Amapá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  <w:tr w:rsidR="006C1E94" w:rsidRPr="00AF2D89" w:rsidTr="00CD568F">
        <w:trPr>
          <w:jc w:val="center"/>
        </w:trPr>
        <w:tc>
          <w:tcPr>
            <w:tcW w:w="1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98, 99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Maranhão</w:t>
            </w:r>
          </w:p>
        </w:tc>
        <w:tc>
          <w:tcPr>
            <w:tcW w:w="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17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E94" w:rsidRPr="00AF2D89" w:rsidRDefault="006C1E94" w:rsidP="00131301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7XXX XXXX</w:t>
            </w:r>
          </w:p>
        </w:tc>
      </w:tr>
    </w:tbl>
    <w:p w:rsidR="006C1E94" w:rsidRPr="00AF2D89" w:rsidRDefault="006C1E94" w:rsidP="006C1E94">
      <w:pPr>
        <w:rPr>
          <w:rFonts w:ascii="Arial" w:hAnsi="Arial" w:cs="Arial"/>
        </w:rPr>
      </w:pPr>
    </w:p>
    <w:p w:rsidR="00BE3AF8" w:rsidRDefault="00BE3AF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C1E94" w:rsidRPr="00AF2D89" w:rsidRDefault="006C1E94" w:rsidP="006C1E94">
      <w:pPr>
        <w:jc w:val="center"/>
        <w:rPr>
          <w:rFonts w:ascii="Arial" w:hAnsi="Arial" w:cs="Arial"/>
        </w:rPr>
      </w:pPr>
      <w:r w:rsidRPr="00AF2D89">
        <w:rPr>
          <w:rFonts w:ascii="Arial" w:hAnsi="Arial" w:cs="Arial"/>
        </w:rPr>
        <w:lastRenderedPageBreak/>
        <w:t>Table 3 – Fixed Services</w:t>
      </w:r>
    </w:p>
    <w:p w:rsidR="006C1E94" w:rsidRPr="00AF2D89" w:rsidRDefault="006C1E94" w:rsidP="006C1E94">
      <w:pPr>
        <w:jc w:val="left"/>
        <w:rPr>
          <w:rFonts w:ascii="Arial" w:hAnsi="Arial" w:cs="Arial"/>
        </w:rPr>
      </w:pPr>
    </w:p>
    <w:tbl>
      <w:tblPr>
        <w:tblW w:w="935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2129"/>
        <w:gridCol w:w="1732"/>
        <w:gridCol w:w="3496"/>
      </w:tblGrid>
      <w:tr w:rsidR="006C1E94" w:rsidRPr="00AF2D89" w:rsidTr="00131301">
        <w:trPr>
          <w:tblHeader/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National Code (Area Code)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State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Migration date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AF2D89">
              <w:rPr>
                <w:rFonts w:ascii="Arial" w:hAnsi="Arial" w:cs="Arial"/>
                <w:i/>
                <w:iCs/>
              </w:rPr>
              <w:t>Subscriber Number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11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São Paulo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12 to 19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São Paulo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21, 22, 24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Rio de Janeiro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27, 28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Espirito Santo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31 to 35, 37, 38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Minas Gerais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41 to 46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Paraná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47 to 49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Santa Catarina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51 to</w:t>
            </w:r>
            <w:r w:rsidRPr="00AF2D89">
              <w:rPr>
                <w:rFonts w:ascii="Arial" w:hAnsi="Arial" w:cs="Arial"/>
                <w:b/>
                <w:bCs/>
              </w:rPr>
              <w:t xml:space="preserve"> </w:t>
            </w:r>
            <w:r w:rsidRPr="00AF2D89">
              <w:rPr>
                <w:rFonts w:ascii="Arial" w:hAnsi="Arial" w:cs="Arial"/>
              </w:rPr>
              <w:t>55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Rio Grande do Sul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61</w:t>
            </w:r>
          </w:p>
        </w:tc>
        <w:tc>
          <w:tcPr>
            <w:tcW w:w="2129" w:type="dxa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Distrito Federal</w:t>
            </w:r>
          </w:p>
        </w:tc>
        <w:tc>
          <w:tcPr>
            <w:tcW w:w="1732" w:type="dxa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XXXX</w:t>
            </w:r>
            <w:r w:rsidRPr="00AF2D89">
              <w:rPr>
                <w:rFonts w:ascii="Arial" w:hAnsi="Arial" w:cs="Arial"/>
                <w:vertAlign w:val="superscript"/>
              </w:rPr>
              <w:t xml:space="preserve">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62 and 64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Goiás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63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Tocantins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65, 66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Mato Grosso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67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Mato Grosso do Sul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68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Acre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69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Rondônia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71, 73, 74, 75, 77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Bahia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79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Sergipe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81, 89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Pernambuco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82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Alagoas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83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Paraiba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84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Rio Grande do Norte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85, 88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Ceará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86, 87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Piauí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</w:t>
            </w:r>
            <w:r w:rsidRPr="00AF2D89">
              <w:rPr>
                <w:rFonts w:ascii="Arial" w:hAnsi="Arial" w:cs="Arial"/>
                <w:b/>
                <w:bCs/>
              </w:rPr>
              <w:t xml:space="preserve"> </w:t>
            </w:r>
            <w:r w:rsidRPr="00AF2D89">
              <w:rPr>
                <w:rFonts w:ascii="Arial" w:hAnsi="Arial" w:cs="Arial"/>
              </w:rPr>
              <w:t>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91, 93, 94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Pará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92, 97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Amazonas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95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Roraima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96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Amapá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  <w:tr w:rsidR="006C1E94" w:rsidRPr="00AF2D89" w:rsidTr="00131301">
        <w:trPr>
          <w:jc w:val="center"/>
        </w:trPr>
        <w:tc>
          <w:tcPr>
            <w:tcW w:w="1997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98, 99</w:t>
            </w:r>
          </w:p>
        </w:tc>
        <w:tc>
          <w:tcPr>
            <w:tcW w:w="2129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  <w:lang w:val="pt-BR"/>
              </w:rPr>
            </w:pPr>
            <w:r w:rsidRPr="00AF2D89">
              <w:rPr>
                <w:rFonts w:ascii="Arial" w:hAnsi="Arial" w:cs="Arial"/>
                <w:lang w:val="pt-BR"/>
              </w:rPr>
              <w:t>Maranhão</w:t>
            </w:r>
          </w:p>
        </w:tc>
        <w:tc>
          <w:tcPr>
            <w:tcW w:w="1732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>Not applicable</w:t>
            </w:r>
          </w:p>
        </w:tc>
        <w:tc>
          <w:tcPr>
            <w:tcW w:w="3496" w:type="dxa"/>
            <w:vAlign w:val="center"/>
          </w:tcPr>
          <w:p w:rsidR="006C1E94" w:rsidRPr="00AF2D89" w:rsidRDefault="006C1E94" w:rsidP="00CD568F">
            <w:pPr>
              <w:spacing w:before="40" w:after="40"/>
              <w:rPr>
                <w:rFonts w:ascii="Arial" w:hAnsi="Arial" w:cs="Arial"/>
              </w:rPr>
            </w:pPr>
            <w:r w:rsidRPr="00AF2D89">
              <w:rPr>
                <w:rFonts w:ascii="Arial" w:hAnsi="Arial" w:cs="Arial"/>
              </w:rPr>
              <w:t xml:space="preserve">XXXX </w:t>
            </w:r>
            <w:proofErr w:type="spellStart"/>
            <w:r w:rsidRPr="00AF2D89">
              <w:rPr>
                <w:rFonts w:ascii="Arial" w:hAnsi="Arial" w:cs="Arial"/>
              </w:rPr>
              <w:t>XXXX</w:t>
            </w:r>
            <w:proofErr w:type="spellEnd"/>
            <w:r w:rsidRPr="00AF2D89">
              <w:rPr>
                <w:rFonts w:ascii="Arial" w:hAnsi="Arial" w:cs="Arial"/>
              </w:rPr>
              <w:t xml:space="preserve"> (first digit 2, 3 , 4 or 5)</w:t>
            </w:r>
          </w:p>
        </w:tc>
      </w:tr>
    </w:tbl>
    <w:p w:rsidR="006C1E94" w:rsidRPr="00AF2D89" w:rsidRDefault="006C1E94" w:rsidP="006C1E94">
      <w:pPr>
        <w:rPr>
          <w:rFonts w:ascii="Arial" w:hAnsi="Arial" w:cs="Arial"/>
        </w:rPr>
      </w:pPr>
    </w:p>
    <w:p w:rsidR="006C1E94" w:rsidRPr="00AF2D89" w:rsidRDefault="006C1E94" w:rsidP="006C1E94">
      <w:pPr>
        <w:rPr>
          <w:rFonts w:ascii="Arial" w:hAnsi="Arial" w:cs="Arial"/>
          <w:lang w:val="es-ES"/>
        </w:rPr>
      </w:pPr>
      <w:proofErr w:type="spellStart"/>
      <w:r w:rsidRPr="00AF2D89">
        <w:rPr>
          <w:rFonts w:ascii="Arial" w:hAnsi="Arial" w:cs="Arial"/>
          <w:lang w:val="es-ES"/>
        </w:rPr>
        <w:t>Contact</w:t>
      </w:r>
      <w:proofErr w:type="spellEnd"/>
      <w:r w:rsidRPr="00AF2D89">
        <w:rPr>
          <w:rFonts w:ascii="Arial" w:hAnsi="Arial" w:cs="Arial"/>
          <w:lang w:val="es-ES"/>
        </w:rPr>
        <w:t>:</w:t>
      </w:r>
    </w:p>
    <w:p w:rsidR="00B65296" w:rsidRPr="006C1E94" w:rsidRDefault="006C1E94" w:rsidP="00BE3AF8">
      <w:pPr>
        <w:ind w:left="567" w:hanging="567"/>
        <w:jc w:val="left"/>
        <w:rPr>
          <w:lang w:val="es-ES_tradnl"/>
        </w:rPr>
      </w:pPr>
      <w:r w:rsidRPr="00AF2D89">
        <w:rPr>
          <w:rFonts w:ascii="Arial" w:hAnsi="Arial" w:cs="Arial"/>
          <w:lang w:val="es-ES"/>
        </w:rPr>
        <w:tab/>
        <w:t>Mr. Marcos de Souza Oliveira</w:t>
      </w:r>
      <w:r w:rsidRPr="00AF2D89">
        <w:rPr>
          <w:rFonts w:ascii="Arial" w:hAnsi="Arial" w:cs="Arial"/>
          <w:lang w:val="es-ES"/>
        </w:rPr>
        <w:br/>
      </w:r>
      <w:r w:rsidRPr="00AF2D89">
        <w:rPr>
          <w:rFonts w:ascii="Arial" w:hAnsi="Arial" w:cs="Arial"/>
          <w:lang w:val="pt-BR"/>
        </w:rPr>
        <w:t>Agência Nacional de Telecomunicações (ANATEL)</w:t>
      </w:r>
      <w:r w:rsidRPr="00AF2D89">
        <w:rPr>
          <w:rFonts w:ascii="Arial" w:hAnsi="Arial" w:cs="Arial"/>
          <w:lang w:val="pt-BR"/>
        </w:rPr>
        <w:br/>
        <w:t>Gerência de Certificação e Numeração – ORCN</w:t>
      </w:r>
      <w:r w:rsidRPr="00AF2D89">
        <w:rPr>
          <w:rFonts w:ascii="Arial" w:hAnsi="Arial" w:cs="Arial"/>
          <w:lang w:val="pt-BR"/>
        </w:rPr>
        <w:br/>
        <w:t>SAUS Quadra 6, Bloco E, 9</w:t>
      </w:r>
      <w:r w:rsidRPr="00AF2D89">
        <w:rPr>
          <w:rFonts w:ascii="Arial" w:hAnsi="Arial" w:cs="Arial"/>
          <w:vertAlign w:val="superscript"/>
          <w:lang w:val="pt-BR"/>
        </w:rPr>
        <w:t xml:space="preserve">o </w:t>
      </w:r>
      <w:r w:rsidRPr="00AF2D89">
        <w:rPr>
          <w:rFonts w:ascii="Arial" w:hAnsi="Arial" w:cs="Arial"/>
          <w:lang w:val="pt-BR"/>
        </w:rPr>
        <w:t>andar</w:t>
      </w:r>
      <w:r w:rsidRPr="00AF2D89">
        <w:rPr>
          <w:rFonts w:ascii="Arial" w:hAnsi="Arial" w:cs="Arial"/>
          <w:lang w:val="pt-BR"/>
        </w:rPr>
        <w:br/>
      </w:r>
      <w:r w:rsidRPr="00AF2D89">
        <w:rPr>
          <w:rFonts w:ascii="Arial" w:hAnsi="Arial" w:cs="Arial"/>
          <w:lang w:val="es-ES"/>
        </w:rPr>
        <w:t>CEP 70.070-940 - BRASILIA/DF</w:t>
      </w:r>
      <w:r w:rsidRPr="00AF2D89">
        <w:rPr>
          <w:rFonts w:ascii="Arial" w:hAnsi="Arial" w:cs="Arial"/>
          <w:lang w:val="es-ES"/>
        </w:rPr>
        <w:br/>
      </w:r>
      <w:proofErr w:type="spellStart"/>
      <w:r w:rsidRPr="00AF2D89">
        <w:rPr>
          <w:rFonts w:ascii="Arial" w:hAnsi="Arial" w:cs="Arial"/>
          <w:lang w:val="es-ES"/>
        </w:rPr>
        <w:t>Brazil</w:t>
      </w:r>
      <w:proofErr w:type="spellEnd"/>
      <w:r w:rsidRPr="00AF2D89">
        <w:rPr>
          <w:rFonts w:ascii="Arial" w:hAnsi="Arial" w:cs="Arial"/>
          <w:lang w:val="es-ES"/>
        </w:rPr>
        <w:br/>
        <w:t>Tel:</w:t>
      </w:r>
      <w:r w:rsidRPr="00AF2D89">
        <w:rPr>
          <w:rFonts w:ascii="Arial" w:hAnsi="Arial" w:cs="Arial"/>
          <w:lang w:val="es-ES"/>
        </w:rPr>
        <w:tab/>
        <w:t>+55 61 2312 2026</w:t>
      </w:r>
      <w:r w:rsidRPr="00AF2D89">
        <w:rPr>
          <w:rFonts w:ascii="Arial" w:hAnsi="Arial" w:cs="Arial"/>
          <w:lang w:val="es-ES"/>
        </w:rPr>
        <w:br/>
      </w:r>
      <w:r w:rsidRPr="00AF2D89">
        <w:rPr>
          <w:rFonts w:ascii="Arial" w:hAnsi="Arial" w:cs="Arial"/>
          <w:lang w:val="es-ES_tradnl"/>
        </w:rPr>
        <w:t>URL:</w:t>
      </w:r>
      <w:r w:rsidRPr="00AF2D89">
        <w:rPr>
          <w:rFonts w:ascii="Arial" w:hAnsi="Arial" w:cs="Arial"/>
          <w:lang w:val="es-ES_tradnl"/>
        </w:rPr>
        <w:tab/>
      </w:r>
      <w:hyperlink r:id="rId7" w:history="1">
        <w:r w:rsidRPr="00AF2D89">
          <w:rPr>
            <w:rFonts w:ascii="Arial" w:hAnsi="Arial" w:cs="Arial"/>
            <w:lang w:val="es-ES_tradnl"/>
          </w:rPr>
          <w:t>www.anatel.gov.br</w:t>
        </w:r>
      </w:hyperlink>
    </w:p>
    <w:sectPr w:rsidR="00B65296" w:rsidRPr="006C1E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155" w:rsidRDefault="00D25155" w:rsidP="00CB1EEE">
      <w:pPr>
        <w:spacing w:before="0"/>
      </w:pPr>
      <w:r>
        <w:separator/>
      </w:r>
    </w:p>
  </w:endnote>
  <w:endnote w:type="continuationSeparator" w:id="0">
    <w:p w:rsidR="00D25155" w:rsidRDefault="00D25155" w:rsidP="00CB1EE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EEE" w:rsidRDefault="00CB1E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558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EEE" w:rsidRDefault="00CB1EEE" w:rsidP="00CB1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DE4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512DE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EEE" w:rsidRDefault="00CB1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155" w:rsidRDefault="00D25155" w:rsidP="00CB1EEE">
      <w:pPr>
        <w:spacing w:before="0"/>
      </w:pPr>
      <w:r>
        <w:separator/>
      </w:r>
    </w:p>
  </w:footnote>
  <w:footnote w:type="continuationSeparator" w:id="0">
    <w:p w:rsidR="00D25155" w:rsidRDefault="00D25155" w:rsidP="00CB1EE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EEE" w:rsidRDefault="00CB1E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EEE" w:rsidRDefault="00CB1E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EEE" w:rsidRDefault="00CB1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94"/>
    <w:rsid w:val="000B2DA7"/>
    <w:rsid w:val="00131301"/>
    <w:rsid w:val="003203E6"/>
    <w:rsid w:val="003522BE"/>
    <w:rsid w:val="00512DE4"/>
    <w:rsid w:val="006C1E94"/>
    <w:rsid w:val="007D01C3"/>
    <w:rsid w:val="0095240C"/>
    <w:rsid w:val="009E1384"/>
    <w:rsid w:val="00AF2D89"/>
    <w:rsid w:val="00B65296"/>
    <w:rsid w:val="00BD3072"/>
    <w:rsid w:val="00BE3AF8"/>
    <w:rsid w:val="00CB1EEE"/>
    <w:rsid w:val="00D25155"/>
    <w:rsid w:val="00F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7FB23F-383B-41F3-BF2D-B25F13EB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E94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6C1E94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6C1E94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6C1E94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6C1E94"/>
    <w:rPr>
      <w:rFonts w:ascii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1EEE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B1EEE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B1EEE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B1EEE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anatel.gov.b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atel.gov.br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2016-01-27T16:05:00Z</cp:lastPrinted>
  <dcterms:created xsi:type="dcterms:W3CDTF">2016-01-27T13:25:00Z</dcterms:created>
  <dcterms:modified xsi:type="dcterms:W3CDTF">2016-01-27T16:05:00Z</dcterms:modified>
</cp:coreProperties>
</file>