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D6" w:rsidRPr="00C456D6" w:rsidRDefault="00C456D6" w:rsidP="00C456D6">
      <w:pPr>
        <w:pStyle w:val="Heading4"/>
        <w:spacing w:before="0"/>
        <w:rPr>
          <w:rFonts w:ascii="Arial" w:hAnsi="Arial" w:cs="Arial"/>
        </w:rPr>
      </w:pPr>
      <w:bookmarkStart w:id="0" w:name="_Toc32995211"/>
      <w:r w:rsidRPr="00C456D6">
        <w:rPr>
          <w:rFonts w:ascii="Arial" w:hAnsi="Arial" w:cs="Arial"/>
        </w:rPr>
        <w:t>Peru (country code +51)</w:t>
      </w:r>
      <w:bookmarkEnd w:id="0"/>
      <w:r w:rsidRPr="00C456D6">
        <w:rPr>
          <w:rFonts w:ascii="Arial" w:hAnsi="Arial" w:cs="Arial"/>
        </w:rPr>
        <w:t xml:space="preserve">  </w:t>
      </w:r>
    </w:p>
    <w:p w:rsidR="00C456D6" w:rsidRPr="00C456D6" w:rsidRDefault="00C456D6" w:rsidP="00C456D6">
      <w:pPr>
        <w:pStyle w:val="Heading5"/>
        <w:rPr>
          <w:rFonts w:ascii="Arial" w:hAnsi="Arial" w:cs="Arial"/>
          <w:b w:val="0"/>
          <w:bCs w:val="0"/>
        </w:rPr>
      </w:pPr>
      <w:r w:rsidRPr="00C456D6">
        <w:rPr>
          <w:rFonts w:ascii="Arial" w:hAnsi="Arial" w:cs="Arial"/>
          <w:b w:val="0"/>
          <w:bCs w:val="0"/>
        </w:rPr>
        <w:t>- Communication of 27.I.2003:</w:t>
      </w:r>
    </w:p>
    <w:p w:rsidR="00C456D6" w:rsidRPr="00C456D6" w:rsidRDefault="00C456D6" w:rsidP="00C456D6">
      <w:pPr>
        <w:ind w:firstLine="720"/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The </w:t>
      </w:r>
      <w:r w:rsidRPr="00C456D6">
        <w:rPr>
          <w:rFonts w:ascii="Arial" w:hAnsi="Arial" w:cs="Arial"/>
          <w:i/>
          <w:iCs/>
        </w:rPr>
        <w:t>Ministerio de Transportes y Comunicaciones</w:t>
      </w:r>
      <w:r w:rsidRPr="00C456D6">
        <w:rPr>
          <w:rFonts w:ascii="Arial" w:hAnsi="Arial" w:cs="Arial"/>
        </w:rPr>
        <w:t>, Lima, announces that, with effect from 1 March 2003, the following changes will be made in the numbering for calls to national long-distance telephone calls:</w:t>
      </w:r>
    </w:p>
    <w:p w:rsidR="00C456D6" w:rsidRPr="00C456D6" w:rsidRDefault="00C456D6" w:rsidP="00C456D6">
      <w:pPr>
        <w:pStyle w:val="Normalleft"/>
        <w:numPr>
          <w:ilvl w:val="0"/>
          <w:numId w:val="1"/>
        </w:numPr>
        <w:ind w:hanging="720"/>
        <w:rPr>
          <w:rFonts w:ascii="Arial" w:hAnsi="Arial" w:cs="Arial"/>
          <w:b w:val="0"/>
        </w:rPr>
      </w:pPr>
      <w:r w:rsidRPr="00C456D6">
        <w:rPr>
          <w:rFonts w:ascii="Arial" w:hAnsi="Arial" w:cs="Arial"/>
          <w:b w:val="0"/>
        </w:rPr>
        <w:t>National long-distance service</w:t>
      </w:r>
    </w:p>
    <w:p w:rsidR="00C456D6" w:rsidRPr="00C456D6" w:rsidRDefault="00C456D6" w:rsidP="00C456D6">
      <w:pPr>
        <w:rPr>
          <w:rFonts w:ascii="Arial" w:hAnsi="Arial" w:cs="Arial"/>
        </w:rPr>
      </w:pPr>
    </w:p>
    <w:p w:rsidR="00C456D6" w:rsidRPr="00C456D6" w:rsidRDefault="00C456D6" w:rsidP="00C456D6">
      <w:pPr>
        <w:ind w:firstLine="720"/>
        <w:rPr>
          <w:rFonts w:ascii="Arial" w:hAnsi="Arial" w:cs="Arial"/>
        </w:rPr>
      </w:pPr>
      <w:r w:rsidRPr="00C456D6">
        <w:rPr>
          <w:rFonts w:ascii="Arial" w:hAnsi="Arial" w:cs="Arial"/>
        </w:rPr>
        <w:t>The long-distance codes will be modified to form new codes, of which there will be one for each department.</w:t>
      </w:r>
    </w:p>
    <w:p w:rsidR="00C456D6" w:rsidRPr="00C456D6" w:rsidRDefault="00C456D6" w:rsidP="00C456D6">
      <w:pPr>
        <w:ind w:firstLine="720"/>
        <w:rPr>
          <w:rFonts w:ascii="Arial" w:hAnsi="Arial" w:cs="Arial"/>
        </w:rPr>
      </w:pPr>
    </w:p>
    <w:p w:rsidR="00C456D6" w:rsidRPr="00C456D6" w:rsidRDefault="00C456D6" w:rsidP="00C456D6">
      <w:pPr>
        <w:rPr>
          <w:rFonts w:ascii="Arial" w:hAnsi="Arial" w:cs="Arial"/>
          <w:i/>
          <w:iCs/>
        </w:rPr>
      </w:pPr>
      <w:r w:rsidRPr="00C456D6">
        <w:rPr>
          <w:rFonts w:ascii="Arial" w:hAnsi="Arial" w:cs="Arial"/>
          <w:i/>
          <w:iCs/>
        </w:rPr>
        <w:t>Example:</w:t>
      </w:r>
    </w:p>
    <w:p w:rsidR="00C456D6" w:rsidRPr="00C456D6" w:rsidRDefault="00C456D6" w:rsidP="00C456D6">
      <w:pPr>
        <w:ind w:firstLine="720"/>
        <w:rPr>
          <w:rFonts w:ascii="Arial" w:hAnsi="Arial" w:cs="Arial"/>
          <w:i/>
          <w:iCs/>
        </w:rPr>
      </w:pPr>
      <w:r w:rsidRPr="00C456D6">
        <w:rPr>
          <w:rFonts w:ascii="Arial" w:hAnsi="Arial" w:cs="Arial"/>
          <w:i/>
          <w:iCs/>
        </w:rPr>
        <w:t>To place a call to Cajamarca, key in:  0 + 76 + Subscriber Number (SN).</w:t>
      </w:r>
    </w:p>
    <w:p w:rsidR="00C456D6" w:rsidRPr="00C456D6" w:rsidRDefault="00C456D6" w:rsidP="00C456D6">
      <w:pPr>
        <w:pStyle w:val="Heading6"/>
        <w:rPr>
          <w:rFonts w:ascii="Arial" w:hAnsi="Arial" w:cs="Arial"/>
          <w:b w:val="0"/>
        </w:rPr>
      </w:pPr>
      <w:r w:rsidRPr="00C456D6">
        <w:rPr>
          <w:rFonts w:ascii="Arial" w:hAnsi="Arial" w:cs="Arial"/>
          <w:b w:val="0"/>
        </w:rPr>
        <w:t>The new department area codes will be:</w:t>
      </w:r>
    </w:p>
    <w:p w:rsidR="00C456D6" w:rsidRPr="00C456D6" w:rsidRDefault="00C456D6" w:rsidP="00C456D6">
      <w:pPr>
        <w:pStyle w:val="blanc"/>
        <w:rPr>
          <w:rFonts w:ascii="Arial" w:hAnsi="Arial" w:cs="Arial"/>
          <w:sz w:val="20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2835"/>
        <w:gridCol w:w="2835"/>
      </w:tblGrid>
      <w:tr w:rsidR="00C456D6" w:rsidRPr="00C456D6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head0"/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 xml:space="preserve">Existing codes valid </w:t>
            </w:r>
            <w:r w:rsidRPr="00C456D6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br/>
              <w:t>until 28.II.2003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head0"/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 xml:space="preserve">New codes </w:t>
            </w:r>
            <w:r w:rsidRPr="00C456D6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br/>
              <w:t>as from 1.III.2003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head0"/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Department</w:t>
            </w:r>
          </w:p>
        </w:tc>
      </w:tr>
      <w:tr w:rsidR="00C456D6" w:rsidRPr="00C456D6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n-US"/>
              </w:rPr>
              <w:t>Lima and Callao</w:t>
            </w:r>
          </w:p>
        </w:tc>
      </w:tr>
      <w:tr w:rsidR="00C456D6" w:rsidRPr="00AC7112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44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44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94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44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44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43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42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41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La Libertad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Ancash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San Martín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Amazonas</w:t>
            </w:r>
          </w:p>
        </w:tc>
      </w:tr>
      <w:tr w:rsidR="00C456D6" w:rsidRPr="00AC7112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34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54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56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53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52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51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Ica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Arequipa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Moquegua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Tacna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Puno</w:t>
            </w:r>
          </w:p>
        </w:tc>
      </w:tr>
      <w:tr w:rsidR="00C456D6" w:rsidRPr="00AC7112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94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67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66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65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63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62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61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Huancavelica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Ayacucho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Loreto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Junin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Pasco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Huanuco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Ucayali</w:t>
            </w:r>
          </w:p>
        </w:tc>
      </w:tr>
      <w:tr w:rsidR="00C456D6" w:rsidRPr="00C456D6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44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74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76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73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72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Cajamarca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Lambayeque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Plura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Tumbes</w:t>
            </w:r>
          </w:p>
        </w:tc>
      </w:tr>
      <w:tr w:rsidR="00C456D6" w:rsidRPr="00AC7112" w:rsidTr="00C456D6">
        <w:trPr>
          <w:tblHeader/>
          <w:jc w:val="center"/>
        </w:trPr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84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84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84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jc w:val="center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84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83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82</w:t>
            </w:r>
          </w:p>
        </w:tc>
        <w:tc>
          <w:tcPr>
            <w:tcW w:w="2835" w:type="dxa"/>
          </w:tcPr>
          <w:p w:rsidR="00C456D6" w:rsidRPr="00C456D6" w:rsidRDefault="00C456D6" w:rsidP="008C22DC">
            <w:pPr>
              <w:pStyle w:val="Tabletext0"/>
              <w:rPr>
                <w:rFonts w:ascii="Arial" w:hAnsi="Arial" w:cs="Arial"/>
                <w:b w:val="0"/>
                <w:sz w:val="20"/>
                <w:lang w:val="es-ES"/>
              </w:rPr>
            </w:pP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t>Cuzco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Apurimac</w:t>
            </w:r>
            <w:r w:rsidRPr="00C456D6">
              <w:rPr>
                <w:rFonts w:ascii="Arial" w:hAnsi="Arial" w:cs="Arial"/>
                <w:b w:val="0"/>
                <w:sz w:val="20"/>
                <w:lang w:val="es-ES"/>
              </w:rPr>
              <w:br/>
              <w:t>Madre de Dios</w:t>
            </w:r>
          </w:p>
        </w:tc>
      </w:tr>
    </w:tbl>
    <w:p w:rsidR="00C456D6" w:rsidRPr="00C456D6" w:rsidRDefault="00C456D6" w:rsidP="00C456D6">
      <w:pPr>
        <w:pStyle w:val="Tablefin"/>
        <w:rPr>
          <w:rFonts w:ascii="Arial" w:hAnsi="Arial" w:cs="Arial"/>
          <w:b w:val="0"/>
          <w:sz w:val="20"/>
          <w:lang w:val="es-ES"/>
        </w:rPr>
      </w:pPr>
    </w:p>
    <w:p w:rsidR="00C456D6" w:rsidRPr="00C456D6" w:rsidRDefault="00C456D6" w:rsidP="00C456D6">
      <w:pPr>
        <w:ind w:firstLine="720"/>
        <w:rPr>
          <w:rFonts w:ascii="Arial" w:hAnsi="Arial" w:cs="Arial"/>
          <w:lang w:val="es-ES"/>
        </w:rPr>
      </w:pPr>
    </w:p>
    <w:p w:rsidR="00C456D6" w:rsidRPr="00C456D6" w:rsidRDefault="00C456D6" w:rsidP="00C456D6">
      <w:pPr>
        <w:ind w:firstLine="720"/>
        <w:rPr>
          <w:rFonts w:ascii="Arial" w:hAnsi="Arial" w:cs="Arial"/>
        </w:rPr>
      </w:pPr>
      <w:r w:rsidRPr="00C456D6">
        <w:rPr>
          <w:rFonts w:ascii="Arial" w:hAnsi="Arial" w:cs="Arial"/>
        </w:rPr>
        <w:t>These numbering changes are in line with the Basic Technical Numbering Plan, approved by Supreme Resolution No. 022-2002-MTC and modified by Supreme Resolution No. 003-2003-MTC, as published in the Diario Oficial El Peruano (official bulletin of Peru) of Monday, 2.IX.2002 and Thursday, 16.I.2003, respectively.</w:t>
      </w:r>
    </w:p>
    <w:p w:rsidR="00C456D6" w:rsidRPr="00C456D6" w:rsidRDefault="00C456D6" w:rsidP="00C456D6">
      <w:pPr>
        <w:ind w:firstLine="720"/>
        <w:rPr>
          <w:rFonts w:ascii="Arial" w:hAnsi="Arial" w:cs="Arial"/>
        </w:rPr>
      </w:pPr>
    </w:p>
    <w:p w:rsidR="00C456D6" w:rsidRPr="00C456D6" w:rsidRDefault="00C456D6" w:rsidP="00C456D6">
      <w:pPr>
        <w:ind w:firstLine="720"/>
        <w:rPr>
          <w:rFonts w:ascii="Arial" w:hAnsi="Arial" w:cs="Arial"/>
        </w:rPr>
      </w:pPr>
      <w:r w:rsidRPr="00C456D6">
        <w:rPr>
          <w:rFonts w:ascii="Arial" w:hAnsi="Arial" w:cs="Arial"/>
        </w:rPr>
        <w:lastRenderedPageBreak/>
        <w:t>The aforementioned Basic Technical Numbering Plan entered into force on 2.IX.2002, except for the first and second stages of implementation.</w:t>
      </w:r>
    </w:p>
    <w:p w:rsidR="00C456D6" w:rsidRPr="00C456D6" w:rsidRDefault="00C456D6" w:rsidP="00C456D6">
      <w:pPr>
        <w:ind w:firstLine="720"/>
        <w:rPr>
          <w:rFonts w:ascii="Arial" w:hAnsi="Arial" w:cs="Arial"/>
        </w:rPr>
      </w:pPr>
    </w:p>
    <w:p w:rsidR="00C456D6" w:rsidRPr="00C456D6" w:rsidRDefault="00C456D6" w:rsidP="00C456D6">
      <w:pPr>
        <w:ind w:firstLine="720"/>
        <w:rPr>
          <w:rFonts w:ascii="Arial" w:hAnsi="Arial" w:cs="Arial"/>
          <w:lang w:val="es-ES"/>
        </w:rPr>
      </w:pPr>
      <w:r w:rsidRPr="00C456D6">
        <w:rPr>
          <w:rFonts w:ascii="Arial" w:hAnsi="Arial" w:cs="Arial"/>
          <w:lang w:val="es-ES"/>
        </w:rPr>
        <w:t>Contact:</w:t>
      </w:r>
    </w:p>
    <w:p w:rsidR="00C456D6" w:rsidRPr="00C456D6" w:rsidRDefault="00C456D6" w:rsidP="00C456D6">
      <w:pPr>
        <w:pStyle w:val="Adresse"/>
        <w:rPr>
          <w:rFonts w:ascii="Arial" w:hAnsi="Arial" w:cs="Arial"/>
          <w:lang w:val="es-ES"/>
        </w:rPr>
      </w:pPr>
      <w:r w:rsidRPr="00C456D6">
        <w:rPr>
          <w:rFonts w:ascii="Arial" w:hAnsi="Arial" w:cs="Arial"/>
          <w:lang w:val="es-ES"/>
        </w:rPr>
        <w:t>Ministerio de Transportes y Comunicaciones</w:t>
      </w:r>
      <w:r w:rsidRPr="00C456D6">
        <w:rPr>
          <w:rFonts w:ascii="Arial" w:hAnsi="Arial" w:cs="Arial"/>
          <w:lang w:val="es-ES"/>
        </w:rPr>
        <w:br/>
        <w:t>Secretaría de Comunicaciones</w:t>
      </w:r>
      <w:r w:rsidRPr="00C456D6">
        <w:rPr>
          <w:rFonts w:ascii="Arial" w:hAnsi="Arial" w:cs="Arial"/>
          <w:lang w:val="es-ES"/>
        </w:rPr>
        <w:br/>
        <w:t>Av. 28 de Julio, No. 800</w:t>
      </w:r>
      <w:r w:rsidRPr="00C456D6">
        <w:rPr>
          <w:rFonts w:ascii="Arial" w:hAnsi="Arial" w:cs="Arial"/>
          <w:lang w:val="es-ES"/>
        </w:rPr>
        <w:br/>
        <w:t xml:space="preserve">LIMA 1 </w:t>
      </w:r>
      <w:r w:rsidRPr="00C456D6">
        <w:rPr>
          <w:rFonts w:ascii="Arial" w:hAnsi="Arial" w:cs="Arial"/>
          <w:lang w:val="es-ES"/>
        </w:rPr>
        <w:br/>
        <w:t>Perú</w:t>
      </w:r>
      <w:r w:rsidRPr="00C456D6">
        <w:rPr>
          <w:rFonts w:ascii="Arial" w:hAnsi="Arial" w:cs="Arial"/>
          <w:lang w:val="es-ES"/>
        </w:rPr>
        <w:br/>
        <w:t>Tel:</w:t>
      </w:r>
      <w:r w:rsidRPr="00C456D6">
        <w:rPr>
          <w:rFonts w:ascii="Arial" w:hAnsi="Arial" w:cs="Arial"/>
          <w:lang w:val="es-ES"/>
        </w:rPr>
        <w:tab/>
        <w:t>+51 1 332 4079</w:t>
      </w:r>
      <w:r w:rsidRPr="00C456D6">
        <w:rPr>
          <w:rFonts w:ascii="Arial" w:hAnsi="Arial" w:cs="Arial"/>
          <w:lang w:val="es-ES"/>
        </w:rPr>
        <w:br/>
        <w:t>Fax:</w:t>
      </w:r>
      <w:r w:rsidRPr="00C456D6">
        <w:rPr>
          <w:rFonts w:ascii="Arial" w:hAnsi="Arial" w:cs="Arial"/>
          <w:lang w:val="es-ES"/>
        </w:rPr>
        <w:tab/>
        <w:t>+51 1 332 4084</w:t>
      </w:r>
      <w:r w:rsidRPr="00C456D6">
        <w:rPr>
          <w:rFonts w:ascii="Arial" w:hAnsi="Arial" w:cs="Arial"/>
          <w:lang w:val="es-ES"/>
        </w:rPr>
        <w:br/>
        <w:t>URL:</w:t>
      </w:r>
      <w:r w:rsidRPr="00C456D6">
        <w:rPr>
          <w:rFonts w:ascii="Arial" w:hAnsi="Arial" w:cs="Arial"/>
          <w:lang w:val="es-ES"/>
        </w:rPr>
        <w:tab/>
        <w:t>www.mtc.gob.pe</w:t>
      </w:r>
    </w:p>
    <w:p w:rsidR="00C625A3" w:rsidRPr="00AA2115" w:rsidRDefault="00C625A3" w:rsidP="008D0E7D">
      <w:pPr>
        <w:spacing w:before="0"/>
        <w:rPr>
          <w:rFonts w:ascii="Arial" w:hAnsi="Arial" w:cs="Arial"/>
          <w:lang w:val="es-ES"/>
        </w:rPr>
      </w:pPr>
    </w:p>
    <w:p w:rsidR="008D0E7D" w:rsidRPr="00C456D6" w:rsidRDefault="008D0E7D" w:rsidP="008D0E7D">
      <w:pPr>
        <w:spacing w:before="0"/>
        <w:rPr>
          <w:rFonts w:ascii="Arial" w:hAnsi="Arial" w:cs="Arial"/>
        </w:rPr>
      </w:pPr>
      <w:r w:rsidRPr="00C456D6">
        <w:rPr>
          <w:rFonts w:ascii="Arial" w:hAnsi="Arial" w:cs="Arial"/>
        </w:rPr>
        <w:t>Communication of 4.VIII.2010: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The </w:t>
      </w:r>
      <w:r w:rsidRPr="00C456D6">
        <w:rPr>
          <w:rFonts w:ascii="Arial" w:hAnsi="Arial" w:cs="Arial"/>
          <w:i/>
          <w:iCs/>
        </w:rPr>
        <w:t>Ministerio de Transportes y Comunicaciones</w:t>
      </w:r>
      <w:r w:rsidRPr="00C456D6">
        <w:rPr>
          <w:rFonts w:ascii="Arial" w:hAnsi="Arial" w:cs="Arial"/>
        </w:rPr>
        <w:t>, Lima, announces the implementation, by Ministerial Resolution No 477-2009-MTC/03, of the Virtual Mobile Area, which is due to come into effect on 4 September 2010.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The Virtual Mobile Area is a single mobile area for the whole of Peru (national coverage), whereby the numbering of mobile services is henceforth considered to be "non-geographic", i.e. not associated with any given </w:t>
      </w:r>
      <w:r w:rsidRPr="00C456D6">
        <w:rPr>
          <w:rFonts w:ascii="Arial" w:hAnsi="Arial" w:cs="Arial"/>
          <w:i/>
          <w:iCs/>
        </w:rPr>
        <w:t>departamento</w:t>
      </w:r>
      <w:r w:rsidRPr="00C456D6">
        <w:rPr>
          <w:rFonts w:ascii="Arial" w:hAnsi="Arial" w:cs="Arial"/>
        </w:rPr>
        <w:t xml:space="preserve">. The effect of this is to do away, where mobile services are concerned, with numbering areas defined according to </w:t>
      </w:r>
      <w:r w:rsidRPr="00C456D6">
        <w:rPr>
          <w:rFonts w:ascii="Arial" w:hAnsi="Arial" w:cs="Arial"/>
          <w:i/>
          <w:iCs/>
        </w:rPr>
        <w:t>departamentos</w:t>
      </w:r>
      <w:r w:rsidRPr="00C456D6">
        <w:rPr>
          <w:rFonts w:ascii="Arial" w:hAnsi="Arial" w:cs="Arial"/>
        </w:rPr>
        <w:t>. Calls will therefore no longer be differentiated according to geographic considerations, i.e. according to whether they are local or national long-distance.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Application of the Virtual Mobile Area encompasses the following public telecommunication services: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1)</w:t>
      </w:r>
      <w:r w:rsidRPr="00C456D6">
        <w:rPr>
          <w:rFonts w:ascii="Arial" w:hAnsi="Arial" w:cs="Arial"/>
        </w:rPr>
        <w:tab/>
        <w:t>Mobile telephony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2)</w:t>
      </w:r>
      <w:r w:rsidRPr="00C456D6">
        <w:rPr>
          <w:rFonts w:ascii="Arial" w:hAnsi="Arial" w:cs="Arial"/>
        </w:rPr>
        <w:tab/>
        <w:t>Personal communications service (PCS)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3)</w:t>
      </w:r>
      <w:r w:rsidRPr="00C456D6">
        <w:rPr>
          <w:rFonts w:ascii="Arial" w:hAnsi="Arial" w:cs="Arial"/>
        </w:rPr>
        <w:tab/>
        <w:t>Automatic dialling (digital trunked) multiple channel service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4)</w:t>
      </w:r>
      <w:r w:rsidRPr="00C456D6">
        <w:rPr>
          <w:rFonts w:ascii="Arial" w:hAnsi="Arial" w:cs="Arial"/>
        </w:rPr>
        <w:tab/>
        <w:t>Mobile-satellite service.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At the international level: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Persons located in another country and wishing to place a call to a mobile telephone in Peru must take account of the following changes:</w:t>
      </w:r>
    </w:p>
    <w:p w:rsidR="008D0E7D" w:rsidRPr="00C456D6" w:rsidRDefault="008D0E7D" w:rsidP="008D0E7D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8D0E7D" w:rsidRPr="00C456D6" w:rsidTr="00C456D6">
        <w:trPr>
          <w:tblHeader/>
          <w:jc w:val="center"/>
        </w:trPr>
        <w:tc>
          <w:tcPr>
            <w:tcW w:w="10345" w:type="dxa"/>
            <w:gridSpan w:val="2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From another country to a mobile telephone in Peru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5172" w:type="dxa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Old dialling arrangement</w:t>
            </w:r>
          </w:p>
        </w:tc>
        <w:tc>
          <w:tcPr>
            <w:tcW w:w="5173" w:type="dxa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 xml:space="preserve">New dialling arrangement </w:t>
            </w:r>
            <w:r w:rsidRPr="00C456D6">
              <w:rPr>
                <w:rFonts w:ascii="Arial" w:hAnsi="Arial" w:cs="Arial"/>
                <w:sz w:val="20"/>
                <w:lang w:val="en-US"/>
              </w:rPr>
              <w:br/>
              <w:t>(as from 4 September 2010)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5172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51 + city code + mobile telephone number</w:t>
            </w:r>
          </w:p>
        </w:tc>
        <w:tc>
          <w:tcPr>
            <w:tcW w:w="517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51 + mobile telephone number</w:t>
            </w:r>
          </w:p>
        </w:tc>
      </w:tr>
    </w:tbl>
    <w:p w:rsidR="008D0E7D" w:rsidRPr="00C456D6" w:rsidRDefault="008D0E7D" w:rsidP="008D0E7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</w:rPr>
      </w:pP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In other words, callers will need to key in only the country code for Peru (51), followed by the nine-digit number of the called mobile telephone, for any region within Peru.</w:t>
      </w:r>
    </w:p>
    <w:p w:rsidR="008D0E7D" w:rsidRPr="00C456D6" w:rsidRDefault="008D0E7D" w:rsidP="008D0E7D">
      <w:pPr>
        <w:rPr>
          <w:rFonts w:ascii="Arial" w:hAnsi="Arial" w:cs="Arial"/>
        </w:rPr>
      </w:pP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At the national level: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To call a mobile telephone from anywhere in Peru, from a fixed or mobile telephone or payphone, it will be necessary to key in only the nine-digit number of the called mobile tele</w:t>
      </w:r>
      <w:r w:rsidR="002B4F01">
        <w:rPr>
          <w:rFonts w:ascii="Arial" w:hAnsi="Arial" w:cs="Arial"/>
        </w:rPr>
        <w:t xml:space="preserve">phone </w:t>
      </w:r>
      <w:r w:rsidR="00747FA6">
        <w:rPr>
          <w:rFonts w:ascii="Arial" w:hAnsi="Arial" w:cs="Arial"/>
        </w:rPr>
        <w:t>(9YX</w:t>
      </w:r>
      <w:r w:rsidR="00AA2115">
        <w:rPr>
          <w:rFonts w:ascii="Arial" w:hAnsi="Arial" w:cs="Arial"/>
        </w:rPr>
        <w:t xml:space="preserve"> </w:t>
      </w:r>
      <w:r w:rsidR="00747FA6">
        <w:rPr>
          <w:rFonts w:ascii="Arial" w:hAnsi="Arial" w:cs="Arial"/>
        </w:rPr>
        <w:t>XXX XXX)</w:t>
      </w:r>
      <w:r w:rsidR="002B4F01">
        <w:rPr>
          <w:rFonts w:ascii="Arial" w:hAnsi="Arial" w:cs="Arial"/>
        </w:rPr>
        <w:t>.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To place a call from a mobile to a fixed telephone, the caller will first key in “0”, followed by the city code and number of the fixed telephone in question.</w:t>
      </w:r>
    </w:p>
    <w:p w:rsidR="008D0E7D" w:rsidRPr="00C456D6" w:rsidRDefault="008D0E7D" w:rsidP="008D0E7D">
      <w:pPr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2"/>
        <w:gridCol w:w="3527"/>
        <w:gridCol w:w="3343"/>
      </w:tblGrid>
      <w:tr w:rsidR="008D0E7D" w:rsidRPr="00C456D6" w:rsidTr="00C456D6">
        <w:trPr>
          <w:trHeight w:val="283"/>
          <w:tblHeader/>
          <w:jc w:val="center"/>
        </w:trPr>
        <w:tc>
          <w:tcPr>
            <w:tcW w:w="9072" w:type="dxa"/>
            <w:gridSpan w:val="3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From one mobile telephone to another</w:t>
            </w:r>
          </w:p>
        </w:tc>
      </w:tr>
      <w:tr w:rsidR="008D0E7D" w:rsidRPr="00C456D6" w:rsidTr="00C456D6">
        <w:trPr>
          <w:trHeight w:val="283"/>
          <w:tblHeader/>
          <w:jc w:val="center"/>
        </w:trPr>
        <w:tc>
          <w:tcPr>
            <w:tcW w:w="5729" w:type="dxa"/>
            <w:gridSpan w:val="2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Old dialling arrangement</w:t>
            </w:r>
          </w:p>
        </w:tc>
        <w:tc>
          <w:tcPr>
            <w:tcW w:w="3343" w:type="dxa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New dialling arrangement</w:t>
            </w:r>
            <w:r w:rsidRPr="00C456D6">
              <w:rPr>
                <w:rFonts w:ascii="Arial" w:hAnsi="Arial" w:cs="Arial"/>
                <w:sz w:val="20"/>
                <w:lang w:val="en-US"/>
              </w:rPr>
              <w:br/>
              <w:t>(as from 4 September 2010)</w:t>
            </w:r>
          </w:p>
        </w:tc>
      </w:tr>
      <w:tr w:rsidR="008D0E7D" w:rsidRPr="00C456D6" w:rsidTr="00C456D6">
        <w:trPr>
          <w:trHeight w:val="283"/>
          <w:tblHeader/>
          <w:jc w:val="center"/>
        </w:trPr>
        <w:tc>
          <w:tcPr>
            <w:tcW w:w="2202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Local</w:t>
            </w:r>
          </w:p>
        </w:tc>
        <w:tc>
          <w:tcPr>
            <w:tcW w:w="3527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National long distance</w:t>
            </w:r>
          </w:p>
        </w:tc>
        <w:tc>
          <w:tcPr>
            <w:tcW w:w="334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Nationwide</w:t>
            </w:r>
          </w:p>
        </w:tc>
      </w:tr>
      <w:tr w:rsidR="008D0E7D" w:rsidRPr="00C456D6" w:rsidTr="00C456D6">
        <w:trPr>
          <w:trHeight w:val="283"/>
          <w:tblHeader/>
          <w:jc w:val="center"/>
        </w:trPr>
        <w:tc>
          <w:tcPr>
            <w:tcW w:w="2202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Mobile telephone number</w:t>
            </w:r>
          </w:p>
        </w:tc>
        <w:tc>
          <w:tcPr>
            <w:tcW w:w="3527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0 + city code + mobile telephone number</w:t>
            </w:r>
          </w:p>
        </w:tc>
        <w:tc>
          <w:tcPr>
            <w:tcW w:w="334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Mobile telephone number</w:t>
            </w:r>
          </w:p>
        </w:tc>
      </w:tr>
    </w:tbl>
    <w:p w:rsidR="008D0E7D" w:rsidRPr="00C456D6" w:rsidRDefault="008D0E7D" w:rsidP="008D0E7D">
      <w:pPr>
        <w:rPr>
          <w:rFonts w:ascii="Arial" w:hAnsi="Arial" w:cs="Arial"/>
          <w:szCs w:val="1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2"/>
        <w:gridCol w:w="3513"/>
        <w:gridCol w:w="3357"/>
      </w:tblGrid>
      <w:tr w:rsidR="008D0E7D" w:rsidRPr="00C456D6" w:rsidTr="00C456D6">
        <w:trPr>
          <w:tblHeader/>
          <w:jc w:val="center"/>
        </w:trPr>
        <w:tc>
          <w:tcPr>
            <w:tcW w:w="9072" w:type="dxa"/>
            <w:gridSpan w:val="3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From a fixed telephone (subscriber or payphone) to a mobile telephone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5715" w:type="dxa"/>
            <w:gridSpan w:val="2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Old dialling arrangement</w:t>
            </w:r>
          </w:p>
        </w:tc>
        <w:tc>
          <w:tcPr>
            <w:tcW w:w="3357" w:type="dxa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 xml:space="preserve">New dialling arrangement </w:t>
            </w:r>
            <w:r w:rsidRPr="00C456D6">
              <w:rPr>
                <w:rFonts w:ascii="Arial" w:hAnsi="Arial" w:cs="Arial"/>
                <w:sz w:val="20"/>
                <w:lang w:val="en-US"/>
              </w:rPr>
              <w:br/>
              <w:t>(as from 4 September 2010)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2202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Local</w:t>
            </w:r>
          </w:p>
        </w:tc>
        <w:tc>
          <w:tcPr>
            <w:tcW w:w="351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National long distance</w:t>
            </w:r>
          </w:p>
        </w:tc>
        <w:tc>
          <w:tcPr>
            <w:tcW w:w="3357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Nationwide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2202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Mobile telephone number</w:t>
            </w:r>
          </w:p>
        </w:tc>
        <w:tc>
          <w:tcPr>
            <w:tcW w:w="351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0 + city code + mobile telephone number</w:t>
            </w:r>
          </w:p>
        </w:tc>
        <w:tc>
          <w:tcPr>
            <w:tcW w:w="3357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Mobile telephone number</w:t>
            </w:r>
          </w:p>
        </w:tc>
      </w:tr>
    </w:tbl>
    <w:p w:rsidR="008D0E7D" w:rsidRPr="00C456D6" w:rsidRDefault="008D0E7D" w:rsidP="008D0E7D">
      <w:pPr>
        <w:rPr>
          <w:rFonts w:ascii="Arial" w:hAnsi="Arial" w:cs="Arial"/>
          <w:szCs w:val="18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9"/>
        <w:gridCol w:w="3521"/>
        <w:gridCol w:w="3362"/>
      </w:tblGrid>
      <w:tr w:rsidR="008D0E7D" w:rsidRPr="00C456D6" w:rsidTr="00C456D6">
        <w:trPr>
          <w:tblHeader/>
          <w:jc w:val="center"/>
        </w:trPr>
        <w:tc>
          <w:tcPr>
            <w:tcW w:w="10740" w:type="dxa"/>
            <w:gridSpan w:val="3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From a mobile to a fixed telephone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6771" w:type="dxa"/>
            <w:gridSpan w:val="2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Old dialling arrangement</w:t>
            </w:r>
          </w:p>
        </w:tc>
        <w:tc>
          <w:tcPr>
            <w:tcW w:w="3969" w:type="dxa"/>
            <w:vAlign w:val="center"/>
          </w:tcPr>
          <w:p w:rsidR="008D0E7D" w:rsidRPr="00C456D6" w:rsidRDefault="008D0E7D" w:rsidP="008A227D">
            <w:pPr>
              <w:pStyle w:val="Tablehead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 xml:space="preserve">New dialling arrangement </w:t>
            </w:r>
            <w:r w:rsidRPr="00C456D6">
              <w:rPr>
                <w:rFonts w:ascii="Arial" w:hAnsi="Arial" w:cs="Arial"/>
                <w:sz w:val="20"/>
                <w:lang w:val="en-US"/>
              </w:rPr>
              <w:br/>
              <w:t>(as from 4 September 2010)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2518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Local</w:t>
            </w:r>
          </w:p>
        </w:tc>
        <w:tc>
          <w:tcPr>
            <w:tcW w:w="425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National long distance</w:t>
            </w:r>
          </w:p>
        </w:tc>
        <w:tc>
          <w:tcPr>
            <w:tcW w:w="3969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Nationwide</w:t>
            </w:r>
          </w:p>
        </w:tc>
      </w:tr>
      <w:tr w:rsidR="008D0E7D" w:rsidRPr="00C456D6" w:rsidTr="00C456D6">
        <w:trPr>
          <w:tblHeader/>
          <w:jc w:val="center"/>
        </w:trPr>
        <w:tc>
          <w:tcPr>
            <w:tcW w:w="2518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</w:rPr>
            </w:pPr>
            <w:r w:rsidRPr="00C456D6">
              <w:rPr>
                <w:rFonts w:ascii="Arial" w:hAnsi="Arial" w:cs="Arial"/>
                <w:sz w:val="20"/>
              </w:rPr>
              <w:t>Fixed telephone number</w:t>
            </w:r>
          </w:p>
        </w:tc>
        <w:tc>
          <w:tcPr>
            <w:tcW w:w="4253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0 + city code + fixed telephone number</w:t>
            </w:r>
          </w:p>
        </w:tc>
        <w:tc>
          <w:tcPr>
            <w:tcW w:w="3969" w:type="dxa"/>
          </w:tcPr>
          <w:p w:rsidR="008D0E7D" w:rsidRPr="00C456D6" w:rsidRDefault="008D0E7D" w:rsidP="008A227D">
            <w:pPr>
              <w:pStyle w:val="Tabletext"/>
              <w:rPr>
                <w:rFonts w:ascii="Arial" w:hAnsi="Arial" w:cs="Arial"/>
                <w:sz w:val="20"/>
                <w:lang w:val="en-US"/>
              </w:rPr>
            </w:pPr>
            <w:r w:rsidRPr="00C456D6">
              <w:rPr>
                <w:rFonts w:ascii="Arial" w:hAnsi="Arial" w:cs="Arial"/>
                <w:sz w:val="20"/>
                <w:lang w:val="en-US"/>
              </w:rPr>
              <w:t>0 + city code + fixed telephone number</w:t>
            </w:r>
          </w:p>
        </w:tc>
      </w:tr>
    </w:tbl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>NOTE – There is no change in dialling procedures between fixed telephones.</w:t>
      </w:r>
    </w:p>
    <w:p w:rsidR="008D0E7D" w:rsidRPr="00C456D6" w:rsidRDefault="008D0E7D" w:rsidP="008D0E7D">
      <w:pPr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For further information regarding the Virtual Mobile Area, please contact:  </w:t>
      </w:r>
    </w:p>
    <w:p w:rsidR="008D0E7D" w:rsidRPr="00C456D6" w:rsidRDefault="008D0E7D" w:rsidP="008D0E7D">
      <w:pPr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Ministerio de Transportes y Comunicaciones:  www.mtc.gob.pe</w:t>
      </w:r>
    </w:p>
    <w:p w:rsidR="008D0E7D" w:rsidRPr="00AC7112" w:rsidRDefault="008D0E7D" w:rsidP="008D0E7D">
      <w:pPr>
        <w:rPr>
          <w:rFonts w:ascii="Arial" w:hAnsi="Arial" w:cs="Arial"/>
          <w:lang w:val="es-ES"/>
        </w:rPr>
      </w:pPr>
      <w:r w:rsidRPr="00AC7112">
        <w:rPr>
          <w:rFonts w:ascii="Arial" w:hAnsi="Arial" w:cs="Arial"/>
          <w:lang w:val="es-ES"/>
        </w:rPr>
        <w:t>OSIPTEL: www.osiptel.gob.pe</w:t>
      </w:r>
    </w:p>
    <w:p w:rsidR="008D0E7D" w:rsidRPr="00AC7112" w:rsidRDefault="008D0E7D" w:rsidP="008D0E7D">
      <w:pPr>
        <w:rPr>
          <w:rFonts w:ascii="Arial" w:hAnsi="Arial" w:cs="Arial"/>
          <w:lang w:val="es-ES"/>
        </w:rPr>
      </w:pPr>
    </w:p>
    <w:p w:rsidR="008D0E7D" w:rsidRPr="00C456D6" w:rsidRDefault="008D0E7D" w:rsidP="008D0E7D">
      <w:pPr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Contact:</w:t>
      </w:r>
    </w:p>
    <w:p w:rsidR="008D0E7D" w:rsidRPr="00C456D6" w:rsidRDefault="008D0E7D" w:rsidP="008D0E7D">
      <w:pPr>
        <w:ind w:left="567" w:hanging="567"/>
        <w:jc w:val="lef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ab/>
        <w:t>Ministerio de Transportes y Comunicaciones</w:t>
      </w:r>
      <w:r w:rsidRPr="00C456D6">
        <w:rPr>
          <w:rFonts w:ascii="Arial" w:hAnsi="Arial" w:cs="Arial"/>
          <w:lang w:val="es-ES_tradnl"/>
        </w:rPr>
        <w:br/>
        <w:t>Dirección de Regulación y Asuntos Internacionales de Comunicaciones</w:t>
      </w:r>
      <w:r w:rsidRPr="00C456D6">
        <w:rPr>
          <w:rFonts w:ascii="Arial" w:hAnsi="Arial" w:cs="Arial"/>
          <w:lang w:val="es-ES_tradnl"/>
        </w:rPr>
        <w:br/>
        <w:t xml:space="preserve">Jirón Zorritos No 1203 </w:t>
      </w:r>
      <w:r w:rsidRPr="00C456D6">
        <w:rPr>
          <w:rFonts w:ascii="Arial" w:hAnsi="Arial" w:cs="Arial"/>
          <w:lang w:val="es-ES_tradnl"/>
        </w:rPr>
        <w:br/>
        <w:t xml:space="preserve">LIMA 1 </w:t>
      </w:r>
      <w:r w:rsidRPr="00C456D6">
        <w:rPr>
          <w:rFonts w:ascii="Arial" w:hAnsi="Arial" w:cs="Arial"/>
          <w:lang w:val="es-ES_tradnl"/>
        </w:rPr>
        <w:br/>
        <w:t>Peru</w:t>
      </w:r>
      <w:r w:rsidRPr="00C456D6">
        <w:rPr>
          <w:rFonts w:ascii="Arial" w:hAnsi="Arial" w:cs="Arial"/>
          <w:lang w:val="es-ES_tradnl"/>
        </w:rPr>
        <w:br/>
        <w:t>Tel:</w:t>
      </w:r>
      <w:r w:rsidRPr="00C456D6">
        <w:rPr>
          <w:rFonts w:ascii="Arial" w:hAnsi="Arial" w:cs="Arial"/>
          <w:lang w:val="es-ES_tradnl"/>
        </w:rPr>
        <w:tab/>
        <w:t>+51 1 615 7800</w:t>
      </w:r>
      <w:r w:rsidRPr="00C456D6">
        <w:rPr>
          <w:rFonts w:ascii="Arial" w:hAnsi="Arial" w:cs="Arial"/>
          <w:lang w:val="es-ES_tradnl"/>
        </w:rPr>
        <w:br/>
        <w:t xml:space="preserve">Fax:  </w:t>
      </w:r>
      <w:r w:rsidRPr="00C456D6">
        <w:rPr>
          <w:rFonts w:ascii="Arial" w:hAnsi="Arial" w:cs="Arial"/>
          <w:lang w:val="es-ES_tradnl"/>
        </w:rPr>
        <w:tab/>
        <w:t>+51 1 615 7784</w:t>
      </w:r>
      <w:r w:rsidRPr="00C456D6">
        <w:rPr>
          <w:rFonts w:ascii="Arial" w:hAnsi="Arial" w:cs="Arial"/>
          <w:lang w:val="es-ES_tradnl"/>
        </w:rPr>
        <w:br/>
      </w:r>
      <w:r w:rsidRPr="00C456D6">
        <w:rPr>
          <w:rFonts w:ascii="Arial" w:hAnsi="Arial" w:cs="Arial"/>
          <w:lang w:val="es-ES"/>
        </w:rPr>
        <w:t>URL:</w:t>
      </w:r>
      <w:r w:rsidRPr="00C456D6">
        <w:rPr>
          <w:rFonts w:ascii="Arial" w:hAnsi="Arial" w:cs="Arial"/>
          <w:lang w:val="es-ES"/>
        </w:rPr>
        <w:tab/>
      </w:r>
      <w:r w:rsidRPr="00C456D6">
        <w:rPr>
          <w:rFonts w:ascii="Arial" w:hAnsi="Arial" w:cs="Arial"/>
          <w:lang w:val="es-ES_tradnl"/>
        </w:rPr>
        <w:t xml:space="preserve">www.mtc.gob.pe </w:t>
      </w:r>
    </w:p>
    <w:p w:rsidR="00C625A3" w:rsidRPr="00AA2115" w:rsidRDefault="00C625A3" w:rsidP="00C456D6">
      <w:pPr>
        <w:rPr>
          <w:rFonts w:ascii="Arial" w:hAnsi="Arial" w:cs="Arial"/>
          <w:lang w:val="es-ES"/>
        </w:rPr>
      </w:pPr>
    </w:p>
    <w:p w:rsidR="00C456D6" w:rsidRPr="00C456D6" w:rsidRDefault="00C456D6" w:rsidP="00C456D6">
      <w:pPr>
        <w:rPr>
          <w:rFonts w:ascii="Arial" w:hAnsi="Arial" w:cs="Arial"/>
        </w:rPr>
      </w:pPr>
      <w:r w:rsidRPr="00C456D6">
        <w:rPr>
          <w:rFonts w:ascii="Arial" w:hAnsi="Arial" w:cs="Arial"/>
        </w:rPr>
        <w:t>Communication of 3.XII.2009:</w:t>
      </w:r>
    </w:p>
    <w:p w:rsidR="00C456D6" w:rsidRPr="00C456D6" w:rsidRDefault="00C456D6" w:rsidP="00C456D6">
      <w:pPr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The </w:t>
      </w:r>
      <w:r w:rsidRPr="00C456D6">
        <w:rPr>
          <w:rFonts w:ascii="Arial" w:hAnsi="Arial" w:cs="Arial"/>
          <w:i/>
          <w:iCs/>
        </w:rPr>
        <w:t>Ministerio de Transportes y Comunicaciones</w:t>
      </w:r>
      <w:r w:rsidRPr="00C456D6">
        <w:rPr>
          <w:rFonts w:ascii="Arial" w:hAnsi="Arial" w:cs="Arial"/>
        </w:rPr>
        <w:t>, Lima</w:t>
      </w:r>
      <w:r w:rsidR="00692BC7" w:rsidRPr="00C456D6">
        <w:rPr>
          <w:rFonts w:ascii="Arial" w:hAnsi="Arial" w:cs="Arial"/>
        </w:rPr>
        <w:fldChar w:fldCharType="begin"/>
      </w:r>
      <w:r w:rsidRPr="00C456D6">
        <w:rPr>
          <w:rFonts w:ascii="Arial" w:hAnsi="Arial" w:cs="Arial"/>
        </w:rPr>
        <w:instrText xml:space="preserve"> TC "</w:instrText>
      </w:r>
      <w:bookmarkStart w:id="1" w:name="_Toc251059391"/>
      <w:bookmarkStart w:id="2" w:name="_Toc251059434"/>
      <w:r w:rsidRPr="00C456D6">
        <w:rPr>
          <w:rFonts w:ascii="Arial" w:hAnsi="Arial" w:cs="Arial"/>
          <w:i/>
          <w:iCs/>
        </w:rPr>
        <w:instrText>Ministerio de Transportes y Comunicaciones</w:instrText>
      </w:r>
      <w:r w:rsidRPr="00C456D6">
        <w:rPr>
          <w:rFonts w:ascii="Arial" w:hAnsi="Arial" w:cs="Arial"/>
        </w:rPr>
        <w:instrText>, Lima</w:instrText>
      </w:r>
      <w:bookmarkEnd w:id="1"/>
      <w:bookmarkEnd w:id="2"/>
      <w:r w:rsidRPr="00C456D6">
        <w:rPr>
          <w:rFonts w:ascii="Arial" w:hAnsi="Arial" w:cs="Arial"/>
        </w:rPr>
        <w:instrText xml:space="preserve">" \f C \l "1" </w:instrText>
      </w:r>
      <w:r w:rsidR="00692BC7" w:rsidRPr="00C456D6">
        <w:rPr>
          <w:rFonts w:ascii="Arial" w:hAnsi="Arial" w:cs="Arial"/>
        </w:rPr>
        <w:fldChar w:fldCharType="end"/>
      </w:r>
      <w:r w:rsidRPr="00C456D6">
        <w:rPr>
          <w:rFonts w:ascii="Arial" w:hAnsi="Arial" w:cs="Arial"/>
        </w:rPr>
        <w:t>, announces that, by Law 28999 – Law on Number Portability in Mobile Services (Ley No 28999 – Ley de Portabilidad Numérica en los Servicios Móviles), it is stipulated that number portability in public mobile services shall come into force with effect from 1 January 2010.</w:t>
      </w:r>
    </w:p>
    <w:p w:rsidR="00C456D6" w:rsidRPr="00C456D6" w:rsidRDefault="00C456D6" w:rsidP="00C456D6">
      <w:pPr>
        <w:rPr>
          <w:rFonts w:ascii="Arial" w:hAnsi="Arial" w:cs="Arial"/>
        </w:rPr>
      </w:pPr>
      <w:r w:rsidRPr="00C456D6">
        <w:rPr>
          <w:rFonts w:ascii="Arial" w:hAnsi="Arial" w:cs="Arial"/>
        </w:rPr>
        <w:t>Number portability is the right to keep the same cellular mobile number even when the subscriber decides to change mobile service operator.</w:t>
      </w:r>
    </w:p>
    <w:p w:rsidR="00C456D6" w:rsidRPr="00C456D6" w:rsidRDefault="00C456D6" w:rsidP="00C456D6">
      <w:pPr>
        <w:rPr>
          <w:rFonts w:ascii="Arial" w:hAnsi="Arial" w:cs="Arial"/>
        </w:rPr>
      </w:pPr>
    </w:p>
    <w:p w:rsidR="00C456D6" w:rsidRPr="00C456D6" w:rsidRDefault="00C456D6" w:rsidP="00C456D6">
      <w:pPr>
        <w:rPr>
          <w:rFonts w:ascii="Arial" w:hAnsi="Arial" w:cs="Arial"/>
        </w:rPr>
      </w:pPr>
      <w:r w:rsidRPr="00C456D6">
        <w:rPr>
          <w:rFonts w:ascii="Arial" w:hAnsi="Arial" w:cs="Arial"/>
        </w:rPr>
        <w:t xml:space="preserve">For more information, go to </w:t>
      </w:r>
    </w:p>
    <w:p w:rsidR="00C456D6" w:rsidRPr="00C456D6" w:rsidRDefault="00C456D6" w:rsidP="00C456D6">
      <w:pPr>
        <w:rPr>
          <w:rFonts w:ascii="Arial" w:hAnsi="Arial" w:cs="Arial"/>
        </w:rPr>
      </w:pPr>
      <w:r w:rsidRPr="00C456D6">
        <w:rPr>
          <w:rFonts w:ascii="Arial" w:hAnsi="Arial" w:cs="Arial"/>
        </w:rPr>
        <w:tab/>
        <w:t>www.osiptel.gob.pe/WebSiteAjax/archivos/comunicaciones/portabilidad/portabilidad_inicio.htm</w:t>
      </w:r>
    </w:p>
    <w:p w:rsidR="00C456D6" w:rsidRPr="00C456D6" w:rsidRDefault="00C456D6" w:rsidP="00C456D6">
      <w:pPr>
        <w:rPr>
          <w:rFonts w:ascii="Arial" w:hAnsi="Arial" w:cs="Arial"/>
        </w:rPr>
      </w:pPr>
    </w:p>
    <w:p w:rsidR="00C456D6" w:rsidRPr="00C456D6" w:rsidRDefault="00C456D6" w:rsidP="00C456D6">
      <w:pPr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Contact: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Ministerio de Transportes y Comunicaciones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Dirección de Regulación y Asuntos Internacionales de Comunicaciones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 xml:space="preserve">Jirón Zorritos No 1203 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 xml:space="preserve">LIMA 1 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Perú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es-ES_tradnl"/>
        </w:rPr>
      </w:pPr>
      <w:r w:rsidRPr="00C456D6">
        <w:rPr>
          <w:rFonts w:ascii="Arial" w:hAnsi="Arial" w:cs="Arial"/>
          <w:lang w:val="es-ES_tradnl"/>
        </w:rPr>
        <w:t>Tel:</w:t>
      </w:r>
      <w:r w:rsidRPr="00C456D6">
        <w:rPr>
          <w:rFonts w:ascii="Arial" w:hAnsi="Arial" w:cs="Arial"/>
          <w:lang w:val="es-ES_tradnl"/>
        </w:rPr>
        <w:tab/>
      </w:r>
      <w:r w:rsidRPr="00C456D6">
        <w:rPr>
          <w:rFonts w:ascii="Arial" w:hAnsi="Arial" w:cs="Arial"/>
          <w:lang w:val="es-ES_tradnl"/>
        </w:rPr>
        <w:tab/>
        <w:t>+51 1 615 7800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fr-FR"/>
        </w:rPr>
      </w:pPr>
      <w:r w:rsidRPr="00C456D6">
        <w:rPr>
          <w:rFonts w:ascii="Arial" w:hAnsi="Arial" w:cs="Arial"/>
          <w:lang w:val="fr-FR"/>
        </w:rPr>
        <w:t xml:space="preserve">Fax:  </w:t>
      </w:r>
      <w:r w:rsidRPr="00C456D6">
        <w:rPr>
          <w:rFonts w:ascii="Arial" w:hAnsi="Arial" w:cs="Arial"/>
          <w:lang w:val="fr-FR"/>
        </w:rPr>
        <w:tab/>
      </w:r>
      <w:r w:rsidRPr="00C456D6">
        <w:rPr>
          <w:rFonts w:ascii="Arial" w:hAnsi="Arial" w:cs="Arial"/>
          <w:lang w:val="fr-FR"/>
        </w:rPr>
        <w:tab/>
        <w:t>+51 1 615 7784</w:t>
      </w:r>
    </w:p>
    <w:p w:rsidR="00C456D6" w:rsidRPr="00C456D6" w:rsidRDefault="00C456D6" w:rsidP="00C456D6">
      <w:pPr>
        <w:pStyle w:val="Styleenumlev1CalibriBefore0pt"/>
        <w:rPr>
          <w:rFonts w:ascii="Arial" w:hAnsi="Arial" w:cs="Arial"/>
          <w:lang w:val="fr-FR"/>
        </w:rPr>
      </w:pPr>
      <w:r w:rsidRPr="00C456D6">
        <w:rPr>
          <w:rFonts w:ascii="Arial" w:hAnsi="Arial" w:cs="Arial"/>
          <w:lang w:val="fr-FR"/>
        </w:rPr>
        <w:t>URL:</w:t>
      </w:r>
      <w:r w:rsidRPr="00C456D6">
        <w:rPr>
          <w:rFonts w:ascii="Arial" w:hAnsi="Arial" w:cs="Arial"/>
          <w:lang w:val="fr-FR"/>
        </w:rPr>
        <w:tab/>
      </w:r>
      <w:r w:rsidRPr="00C456D6">
        <w:rPr>
          <w:rFonts w:ascii="Arial" w:hAnsi="Arial" w:cs="Arial"/>
          <w:lang w:val="fr-FR"/>
        </w:rPr>
        <w:tab/>
        <w:t>www.mtc.gob.pe</w:t>
      </w:r>
    </w:p>
    <w:p w:rsidR="00C456D6" w:rsidRPr="00C456D6" w:rsidRDefault="00C456D6" w:rsidP="00C456D6">
      <w:pPr>
        <w:rPr>
          <w:rFonts w:ascii="Arial" w:hAnsi="Arial" w:cs="Arial"/>
          <w:lang w:val="fr-FR"/>
        </w:rPr>
      </w:pPr>
    </w:p>
    <w:p w:rsidR="000B610B" w:rsidRPr="00C456D6" w:rsidRDefault="000B610B">
      <w:pPr>
        <w:rPr>
          <w:rFonts w:ascii="Arial" w:hAnsi="Arial" w:cs="Arial"/>
          <w:lang w:val="fr-FR"/>
        </w:rPr>
      </w:pPr>
    </w:p>
    <w:sectPr w:rsidR="000B610B" w:rsidRPr="00C456D6" w:rsidSect="000B6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galSans">
    <w:altName w:val="Impac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C4360"/>
    <w:multiLevelType w:val="hybridMultilevel"/>
    <w:tmpl w:val="F1FAA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0E7D"/>
    <w:rsid w:val="000B610B"/>
    <w:rsid w:val="002B4F01"/>
    <w:rsid w:val="0048176C"/>
    <w:rsid w:val="00692BC7"/>
    <w:rsid w:val="007442C9"/>
    <w:rsid w:val="00747FA6"/>
    <w:rsid w:val="008D0E7D"/>
    <w:rsid w:val="00AA2115"/>
    <w:rsid w:val="00AC7112"/>
    <w:rsid w:val="00AD11C3"/>
    <w:rsid w:val="00B4244C"/>
    <w:rsid w:val="00C456D6"/>
    <w:rsid w:val="00C6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7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Heading5"/>
    <w:link w:val="Heading4Char"/>
    <w:qFormat/>
    <w:rsid w:val="00C456D6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360"/>
      <w:jc w:val="left"/>
      <w:outlineLvl w:val="3"/>
    </w:pPr>
    <w:rPr>
      <w:rFonts w:ascii="FrugalSans" w:hAnsi="FrugalSans"/>
      <w:b/>
      <w:bCs/>
    </w:rPr>
  </w:style>
  <w:style w:type="paragraph" w:styleId="Heading5">
    <w:name w:val="heading 5"/>
    <w:basedOn w:val="Normal"/>
    <w:next w:val="Normal"/>
    <w:link w:val="Heading5Char"/>
    <w:qFormat/>
    <w:rsid w:val="00C456D6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outlineLvl w:val="4"/>
    </w:pPr>
    <w:rPr>
      <w:rFonts w:ascii="FrugalSans" w:hAnsi="FrugalSans"/>
      <w:b/>
      <w:bCs/>
      <w:szCs w:val="18"/>
    </w:rPr>
  </w:style>
  <w:style w:type="paragraph" w:styleId="Heading6">
    <w:name w:val="heading 6"/>
    <w:basedOn w:val="Normal"/>
    <w:next w:val="Normal"/>
    <w:link w:val="Heading6Char"/>
    <w:qFormat/>
    <w:rsid w:val="00C456D6"/>
    <w:pPr>
      <w:keepNext/>
      <w:tabs>
        <w:tab w:val="clear" w:pos="1276"/>
        <w:tab w:val="clear" w:pos="1843"/>
        <w:tab w:val="left" w:pos="1134"/>
        <w:tab w:val="left" w:pos="1560"/>
        <w:tab w:val="left" w:pos="2127"/>
      </w:tabs>
      <w:jc w:val="center"/>
      <w:outlineLvl w:val="5"/>
    </w:pPr>
    <w:rPr>
      <w:rFonts w:ascii="FrugalSans" w:hAnsi="FrugalSan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Normal"/>
    <w:rsid w:val="008D0E7D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">
    <w:name w:val="Table text"/>
    <w:basedOn w:val="Normal"/>
    <w:rsid w:val="008D0E7D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  <w:style w:type="character" w:customStyle="1" w:styleId="Heading4Char">
    <w:name w:val="Heading 4 Char"/>
    <w:basedOn w:val="DefaultParagraphFont"/>
    <w:link w:val="Heading4"/>
    <w:rsid w:val="00C456D6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456D6"/>
    <w:rPr>
      <w:rFonts w:ascii="FrugalSans" w:eastAsia="Times New Roman" w:hAnsi="FrugalSans" w:cs="Times New Roman"/>
      <w:b/>
      <w:bCs/>
      <w:sz w:val="20"/>
      <w:szCs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C456D6"/>
    <w:rPr>
      <w:rFonts w:ascii="FrugalSans" w:eastAsia="Times New Roman" w:hAnsi="FrugalSans" w:cs="Times New Roman"/>
      <w:b/>
      <w:i/>
      <w:sz w:val="20"/>
      <w:szCs w:val="20"/>
      <w:lang w:val="en-GB" w:eastAsia="en-US"/>
    </w:rPr>
  </w:style>
  <w:style w:type="paragraph" w:customStyle="1" w:styleId="Normalleft">
    <w:name w:val="Normal_left"/>
    <w:basedOn w:val="Normal"/>
    <w:rsid w:val="00C456D6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blanc">
    <w:name w:val="blanc"/>
    <w:basedOn w:val="Normal"/>
    <w:rsid w:val="00C456D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40"/>
      <w:jc w:val="left"/>
    </w:pPr>
    <w:rPr>
      <w:rFonts w:ascii="FrugalSans" w:hAnsi="FrugalSans"/>
      <w:sz w:val="8"/>
      <w:szCs w:val="8"/>
      <w:lang w:val="en-US"/>
    </w:rPr>
  </w:style>
  <w:style w:type="paragraph" w:customStyle="1" w:styleId="Tablehead0">
    <w:name w:val="Table_head"/>
    <w:basedOn w:val="Normal"/>
    <w:next w:val="Normal"/>
    <w:rsid w:val="00C456D6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="FrugalSans" w:hAnsi="FrugalSans"/>
      <w:b/>
      <w:bCs/>
      <w:i/>
      <w:sz w:val="18"/>
      <w:szCs w:val="22"/>
      <w:lang w:val="fr-FR"/>
    </w:rPr>
  </w:style>
  <w:style w:type="paragraph" w:customStyle="1" w:styleId="Tabletext0">
    <w:name w:val="Table_text"/>
    <w:basedOn w:val="Normal"/>
    <w:rsid w:val="00C456D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="FrugalSans" w:hAnsi="FrugalSans"/>
      <w:b/>
      <w:sz w:val="18"/>
      <w:szCs w:val="22"/>
      <w:lang w:val="fr-FR"/>
    </w:rPr>
  </w:style>
  <w:style w:type="paragraph" w:customStyle="1" w:styleId="Tablefin">
    <w:name w:val="Table_fin"/>
    <w:basedOn w:val="Tabletext0"/>
    <w:next w:val="Normal"/>
    <w:rsid w:val="00C456D6"/>
    <w:pPr>
      <w:spacing w:before="0" w:after="0"/>
    </w:pPr>
    <w:rPr>
      <w:sz w:val="12"/>
    </w:rPr>
  </w:style>
  <w:style w:type="paragraph" w:customStyle="1" w:styleId="Adresse">
    <w:name w:val="Adresse"/>
    <w:basedOn w:val="Normal"/>
    <w:next w:val="Heading4"/>
    <w:rsid w:val="00C456D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hAnsi="FrugalSans"/>
    </w:rPr>
  </w:style>
  <w:style w:type="character" w:customStyle="1" w:styleId="Heading1Char">
    <w:name w:val="Heading 1 Char"/>
    <w:basedOn w:val="DefaultParagraphFont"/>
    <w:link w:val="Heading1"/>
    <w:uiPriority w:val="9"/>
    <w:rsid w:val="00C45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paragraph" w:customStyle="1" w:styleId="Styleenumlev1CalibriBefore0pt">
    <w:name w:val="Style enumlev1 + Calibri Before:  0 pt"/>
    <w:basedOn w:val="Normal"/>
    <w:semiHidden/>
    <w:rsid w:val="00C456D6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0"/>
      <w:ind w:left="992" w:hanging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B1C8A-0A0E-4BBE-AFA1-B3BAC5912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4847</Characters>
  <Application>Microsoft Office Word</Application>
  <DocSecurity>0</DocSecurity>
  <Lines>40</Lines>
  <Paragraphs>11</Paragraphs>
  <ScaleCrop>false</ScaleCrop>
  <Company>ITU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2010-09-07T08:12:00Z</dcterms:created>
  <dcterms:modified xsi:type="dcterms:W3CDTF">2010-09-07T08:12:00Z</dcterms:modified>
</cp:coreProperties>
</file>