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D7D" w:rsidRPr="00C64CF2" w:rsidRDefault="00251D7D" w:rsidP="00251D7D">
      <w:pPr>
        <w:spacing w:before="240"/>
        <w:rPr>
          <w:rFonts w:cs="Arial"/>
          <w:b/>
          <w:bCs/>
          <w:sz w:val="20"/>
        </w:rPr>
      </w:pPr>
      <w:r w:rsidRPr="00C64CF2">
        <w:rPr>
          <w:rFonts w:cs="Arial"/>
          <w:b/>
          <w:bCs/>
          <w:sz w:val="20"/>
        </w:rPr>
        <w:t>Qatar (country code +974)</w:t>
      </w:r>
    </w:p>
    <w:p w:rsidR="00251D7D" w:rsidRPr="00C64CF2" w:rsidRDefault="00251D7D" w:rsidP="00251D7D">
      <w:pPr>
        <w:spacing w:after="120"/>
        <w:rPr>
          <w:rFonts w:cs="Arial"/>
          <w:b/>
          <w:bCs/>
          <w:sz w:val="20"/>
        </w:rPr>
      </w:pPr>
      <w:r w:rsidRPr="00C64CF2">
        <w:rPr>
          <w:rFonts w:cs="Arial"/>
          <w:sz w:val="20"/>
        </w:rPr>
        <w:t>Communication of 20.VIII.2011</w:t>
      </w:r>
    </w:p>
    <w:p w:rsidR="00251D7D" w:rsidRPr="00C64CF2" w:rsidRDefault="00251D7D" w:rsidP="00251D7D">
      <w:pPr>
        <w:jc w:val="both"/>
        <w:rPr>
          <w:rFonts w:cs="Arial"/>
          <w:sz w:val="20"/>
        </w:rPr>
      </w:pPr>
      <w:r w:rsidRPr="00C64CF2">
        <w:rPr>
          <w:rFonts w:cs="Arial"/>
          <w:sz w:val="20"/>
        </w:rPr>
        <w:t xml:space="preserve">The </w:t>
      </w:r>
      <w:r w:rsidRPr="00C64CF2">
        <w:rPr>
          <w:rFonts w:cs="Arial"/>
          <w:i/>
          <w:iCs/>
          <w:sz w:val="20"/>
        </w:rPr>
        <w:t>Supreme Council of Information and Communication Technology (</w:t>
      </w:r>
      <w:proofErr w:type="spellStart"/>
      <w:r w:rsidRPr="00C64CF2">
        <w:rPr>
          <w:rFonts w:cs="Arial"/>
          <w:i/>
          <w:iCs/>
          <w:sz w:val="20"/>
        </w:rPr>
        <w:t>ictQATAR</w:t>
      </w:r>
      <w:proofErr w:type="spellEnd"/>
      <w:r w:rsidRPr="00C64CF2">
        <w:rPr>
          <w:rFonts w:cs="Arial"/>
          <w:i/>
          <w:iCs/>
          <w:sz w:val="20"/>
        </w:rPr>
        <w:t xml:space="preserve">), </w:t>
      </w:r>
      <w:r w:rsidRPr="00C64CF2">
        <w:rPr>
          <w:rFonts w:cs="Arial"/>
          <w:sz w:val="20"/>
        </w:rPr>
        <w:t>Doha, announces that the National Numbering Plan (NNP) of Qatar was changed on 28 July 2010 at 00:01 hours local time (27 July 2010 at 21:01 hours UTC). As from that date, the length of the mobile and fixed services increase from seven to eight digits.</w:t>
      </w:r>
    </w:p>
    <w:p w:rsidR="00251D7D" w:rsidRPr="00C64CF2" w:rsidRDefault="00251D7D" w:rsidP="00251D7D">
      <w:pPr>
        <w:jc w:val="center"/>
        <w:rPr>
          <w:rFonts w:cs="Arial"/>
          <w:sz w:val="20"/>
        </w:rPr>
      </w:pPr>
    </w:p>
    <w:p w:rsidR="00251D7D" w:rsidRPr="00C64CF2" w:rsidRDefault="00821C63" w:rsidP="00251D7D">
      <w:pPr>
        <w:jc w:val="center"/>
        <w:rPr>
          <w:rFonts w:cs="Arial"/>
          <w:sz w:val="20"/>
        </w:rPr>
      </w:pPr>
      <w:r w:rsidRPr="00C64CF2">
        <w:rPr>
          <w:rFonts w:cs="Arial"/>
          <w:sz w:val="20"/>
        </w:rPr>
        <w:t>Presentatio</w:t>
      </w:r>
      <w:r w:rsidR="00251D7D" w:rsidRPr="00C64CF2">
        <w:rPr>
          <w:rFonts w:cs="Arial"/>
          <w:sz w:val="20"/>
        </w:rPr>
        <w:t>n of national E.164 numbering plan for country code +</w:t>
      </w:r>
      <w:r w:rsidR="00251D7D" w:rsidRPr="00C64CF2">
        <w:rPr>
          <w:rFonts w:cs="Arial"/>
          <w:sz w:val="20"/>
          <w:u w:val="single"/>
        </w:rPr>
        <w:t>974</w:t>
      </w:r>
      <w:r w:rsidR="00251D7D" w:rsidRPr="00C64CF2">
        <w:rPr>
          <w:rFonts w:cs="Arial"/>
          <w:sz w:val="20"/>
        </w:rPr>
        <w:t>:</w:t>
      </w:r>
    </w:p>
    <w:p w:rsidR="00251D7D" w:rsidRPr="00C64CF2" w:rsidRDefault="00251D7D" w:rsidP="00251D7D">
      <w:pPr>
        <w:jc w:val="center"/>
        <w:rPr>
          <w:rFonts w:cs="Arial"/>
          <w:sz w:val="20"/>
        </w:rPr>
      </w:pPr>
    </w:p>
    <w:p w:rsidR="00251D7D" w:rsidRPr="00C64CF2" w:rsidRDefault="00251D7D" w:rsidP="00251D7D">
      <w:pPr>
        <w:rPr>
          <w:rFonts w:cs="Arial"/>
          <w:b/>
          <w:sz w:val="20"/>
        </w:rPr>
      </w:pPr>
      <w:r w:rsidRPr="00C64CF2">
        <w:rPr>
          <w:rFonts w:cs="Arial"/>
          <w:sz w:val="20"/>
        </w:rPr>
        <w:t>a)</w:t>
      </w:r>
      <w:r w:rsidRPr="00C64CF2">
        <w:rPr>
          <w:rFonts w:cs="Arial"/>
          <w:sz w:val="20"/>
        </w:rPr>
        <w:tab/>
        <w:t>Overview:</w:t>
      </w:r>
    </w:p>
    <w:p w:rsidR="00251D7D" w:rsidRPr="00C64CF2" w:rsidRDefault="00251D7D" w:rsidP="00251D7D">
      <w:pPr>
        <w:rPr>
          <w:rFonts w:cs="Arial"/>
          <w:b/>
          <w:sz w:val="20"/>
        </w:rPr>
      </w:pPr>
      <w:r w:rsidRPr="00C64CF2">
        <w:rPr>
          <w:rFonts w:cs="Arial"/>
          <w:sz w:val="20"/>
        </w:rPr>
        <w:tab/>
        <w:t xml:space="preserve">The minimum number length (excluding the country code) is </w:t>
      </w:r>
      <w:r w:rsidRPr="00C64CF2">
        <w:rPr>
          <w:rFonts w:cs="Arial"/>
          <w:sz w:val="20"/>
          <w:u w:val="single"/>
        </w:rPr>
        <w:tab/>
        <w:t>3</w:t>
      </w:r>
      <w:r w:rsidRPr="00C64CF2">
        <w:rPr>
          <w:rFonts w:cs="Arial"/>
          <w:sz w:val="20"/>
        </w:rPr>
        <w:t xml:space="preserve"> digits</w:t>
      </w:r>
    </w:p>
    <w:p w:rsidR="00251D7D" w:rsidRPr="00C64CF2" w:rsidRDefault="00251D7D" w:rsidP="00251D7D">
      <w:pPr>
        <w:rPr>
          <w:rFonts w:cs="Arial"/>
          <w:b/>
          <w:sz w:val="20"/>
        </w:rPr>
      </w:pPr>
      <w:r w:rsidRPr="00C64CF2">
        <w:rPr>
          <w:rFonts w:cs="Arial"/>
          <w:sz w:val="20"/>
        </w:rPr>
        <w:tab/>
        <w:t xml:space="preserve">The maximum number length (excluding the country code) is </w:t>
      </w:r>
      <w:r w:rsidRPr="00C64CF2">
        <w:rPr>
          <w:rFonts w:cs="Arial"/>
          <w:sz w:val="20"/>
          <w:u w:val="single"/>
        </w:rPr>
        <w:tab/>
        <w:t>8</w:t>
      </w:r>
      <w:r w:rsidRPr="00C64CF2">
        <w:rPr>
          <w:rFonts w:cs="Arial"/>
          <w:sz w:val="20"/>
        </w:rPr>
        <w:t xml:space="preserve"> digits</w:t>
      </w:r>
    </w:p>
    <w:p w:rsidR="00251D7D" w:rsidRPr="00C64CF2" w:rsidRDefault="00251D7D" w:rsidP="00251D7D">
      <w:pPr>
        <w:rPr>
          <w:rFonts w:cs="Arial"/>
          <w:b/>
          <w:sz w:val="20"/>
        </w:rPr>
      </w:pPr>
      <w:r w:rsidRPr="00C64CF2">
        <w:rPr>
          <w:rFonts w:cs="Arial"/>
          <w:sz w:val="20"/>
        </w:rPr>
        <w:t>b)</w:t>
      </w:r>
      <w:r w:rsidRPr="00C64CF2">
        <w:rPr>
          <w:rFonts w:cs="Arial"/>
          <w:sz w:val="20"/>
        </w:rPr>
        <w:tab/>
        <w:t>Detail of numbering scheme:</w:t>
      </w:r>
    </w:p>
    <w:p w:rsidR="00251D7D" w:rsidRPr="00C64CF2" w:rsidRDefault="00251D7D" w:rsidP="00251D7D">
      <w:pPr>
        <w:rPr>
          <w:rFonts w:cs="Arial"/>
          <w:sz w:val="20"/>
        </w:rPr>
      </w:pPr>
    </w:p>
    <w:tbl>
      <w:tblPr>
        <w:tblW w:w="73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177"/>
        <w:gridCol w:w="1226"/>
        <w:gridCol w:w="1170"/>
        <w:gridCol w:w="2807"/>
      </w:tblGrid>
      <w:tr w:rsidR="00251D7D" w:rsidRPr="00C64CF2" w:rsidTr="00C42E35">
        <w:trPr>
          <w:cantSplit/>
          <w:tblHeader/>
          <w:jc w:val="center"/>
        </w:trPr>
        <w:tc>
          <w:tcPr>
            <w:tcW w:w="0" w:type="auto"/>
            <w:tcBorders>
              <w:bottom w:val="nil"/>
            </w:tcBorders>
            <w:vAlign w:val="center"/>
          </w:tcPr>
          <w:p w:rsidR="00251D7D" w:rsidRPr="00C64CF2" w:rsidRDefault="00251D7D" w:rsidP="00C42E35">
            <w:pPr>
              <w:pStyle w:val="Tablehead"/>
              <w:rPr>
                <w:rFonts w:ascii="Arial" w:hAnsi="Arial" w:cs="Arial"/>
                <w:sz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lang w:val="en-GB"/>
              </w:rPr>
              <w:t>(1)</w:t>
            </w:r>
          </w:p>
        </w:tc>
        <w:tc>
          <w:tcPr>
            <w:tcW w:w="0" w:type="auto"/>
            <w:gridSpan w:val="2"/>
            <w:tcBorders>
              <w:bottom w:val="nil"/>
            </w:tcBorders>
            <w:vAlign w:val="center"/>
          </w:tcPr>
          <w:p w:rsidR="00251D7D" w:rsidRPr="00C64CF2" w:rsidRDefault="00251D7D" w:rsidP="00C42E35">
            <w:pPr>
              <w:pStyle w:val="Tablehead"/>
              <w:rPr>
                <w:rFonts w:ascii="Arial" w:hAnsi="Arial" w:cs="Arial"/>
                <w:sz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lang w:val="en-GB"/>
              </w:rPr>
              <w:t>(2)</w:t>
            </w:r>
          </w:p>
        </w:tc>
        <w:tc>
          <w:tcPr>
            <w:tcW w:w="2807" w:type="dxa"/>
            <w:tcBorders>
              <w:bottom w:val="nil"/>
            </w:tcBorders>
            <w:vAlign w:val="center"/>
          </w:tcPr>
          <w:p w:rsidR="00251D7D" w:rsidRPr="00C64CF2" w:rsidRDefault="00251D7D" w:rsidP="00C42E35">
            <w:pPr>
              <w:pStyle w:val="Tablehead"/>
              <w:rPr>
                <w:rFonts w:ascii="Arial" w:hAnsi="Arial" w:cs="Arial"/>
                <w:sz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lang w:val="en-GB"/>
              </w:rPr>
              <w:t>(3)</w:t>
            </w:r>
          </w:p>
        </w:tc>
      </w:tr>
      <w:tr w:rsidR="00251D7D" w:rsidRPr="00C64CF2" w:rsidTr="00C42E35">
        <w:trPr>
          <w:cantSplit/>
          <w:tblHeader/>
          <w:jc w:val="center"/>
        </w:trPr>
        <w:tc>
          <w:tcPr>
            <w:tcW w:w="0" w:type="auto"/>
            <w:vMerge w:val="restart"/>
            <w:tcBorders>
              <w:top w:val="nil"/>
            </w:tcBorders>
            <w:vAlign w:val="center"/>
          </w:tcPr>
          <w:p w:rsidR="00251D7D" w:rsidRPr="00C64CF2" w:rsidRDefault="00251D7D" w:rsidP="00C42E35">
            <w:pPr>
              <w:pStyle w:val="Tablehead"/>
              <w:rPr>
                <w:rFonts w:ascii="Arial" w:hAnsi="Arial" w:cs="Arial"/>
                <w:sz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lang w:val="en-GB"/>
              </w:rPr>
              <w:t>Leading digits of N(S)N (National (Significant) Number)</w:t>
            </w:r>
          </w:p>
        </w:tc>
        <w:tc>
          <w:tcPr>
            <w:tcW w:w="0" w:type="auto"/>
            <w:gridSpan w:val="2"/>
            <w:tcBorders>
              <w:top w:val="nil"/>
            </w:tcBorders>
            <w:vAlign w:val="center"/>
          </w:tcPr>
          <w:p w:rsidR="00251D7D" w:rsidRPr="00C64CF2" w:rsidRDefault="00251D7D" w:rsidP="00C42E35">
            <w:pPr>
              <w:pStyle w:val="Tablehead"/>
              <w:rPr>
                <w:rFonts w:ascii="Arial" w:hAnsi="Arial" w:cs="Arial"/>
                <w:sz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lang w:val="en-GB"/>
              </w:rPr>
              <w:t>N(S)N number length</w:t>
            </w:r>
          </w:p>
        </w:tc>
        <w:tc>
          <w:tcPr>
            <w:tcW w:w="2807" w:type="dxa"/>
            <w:vMerge w:val="restart"/>
            <w:tcBorders>
              <w:top w:val="nil"/>
            </w:tcBorders>
            <w:vAlign w:val="center"/>
          </w:tcPr>
          <w:p w:rsidR="00251D7D" w:rsidRPr="00C64CF2" w:rsidRDefault="00251D7D" w:rsidP="00C42E35">
            <w:pPr>
              <w:pStyle w:val="Tablehead"/>
              <w:rPr>
                <w:rFonts w:ascii="Arial" w:hAnsi="Arial" w:cs="Arial"/>
                <w:sz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lang w:val="en-GB"/>
              </w:rPr>
              <w:t>Usage of E.164 number</w:t>
            </w:r>
          </w:p>
        </w:tc>
      </w:tr>
      <w:tr w:rsidR="00251D7D" w:rsidRPr="00C64CF2" w:rsidTr="00C42E35">
        <w:trPr>
          <w:cantSplit/>
          <w:tblHeader/>
          <w:jc w:val="center"/>
        </w:trPr>
        <w:tc>
          <w:tcPr>
            <w:tcW w:w="0" w:type="auto"/>
            <w:vMerge/>
            <w:vAlign w:val="center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i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Maximum length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GB"/>
              </w:rPr>
              <w:t>Minimum length</w:t>
            </w:r>
          </w:p>
        </w:tc>
        <w:tc>
          <w:tcPr>
            <w:tcW w:w="2807" w:type="dxa"/>
            <w:vMerge/>
            <w:vAlign w:val="center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i/>
                <w:color w:val="000000"/>
                <w:sz w:val="20"/>
                <w:szCs w:val="20"/>
                <w:lang w:val="en-GB"/>
              </w:rPr>
            </w:pPr>
          </w:p>
        </w:tc>
      </w:tr>
      <w:tr w:rsidR="00251D7D" w:rsidRPr="00C64CF2" w:rsidTr="00C42E35">
        <w:trPr>
          <w:cantSplit/>
          <w:tblHeader/>
          <w:jc w:val="center"/>
        </w:trPr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2807" w:type="dxa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 xml:space="preserve">Non-geographic number – </w:t>
            </w: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br/>
              <w:t>Short Codes</w:t>
            </w:r>
          </w:p>
        </w:tc>
      </w:tr>
      <w:tr w:rsidR="00251D7D" w:rsidRPr="00C64CF2" w:rsidTr="00C42E35">
        <w:trPr>
          <w:cantSplit/>
          <w:tblHeader/>
          <w:jc w:val="center"/>
        </w:trPr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20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2807" w:type="dxa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 xml:space="preserve">Non-geographic number – </w:t>
            </w: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br/>
              <w:t>Short Codes</w:t>
            </w:r>
          </w:p>
        </w:tc>
      </w:tr>
      <w:tr w:rsidR="00251D7D" w:rsidRPr="00C64CF2" w:rsidTr="00C42E35">
        <w:trPr>
          <w:cantSplit/>
          <w:tblHeader/>
          <w:jc w:val="center"/>
        </w:trPr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21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2807" w:type="dxa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 xml:space="preserve">Non-geographic number – </w:t>
            </w: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br/>
              <w:t>Paging</w:t>
            </w:r>
          </w:p>
        </w:tc>
      </w:tr>
      <w:tr w:rsidR="00251D7D" w:rsidRPr="00C64CF2" w:rsidTr="00C42E35">
        <w:trPr>
          <w:cantSplit/>
          <w:tblHeader/>
          <w:jc w:val="center"/>
        </w:trPr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keepNext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22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keepNext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keepNext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2807" w:type="dxa"/>
          </w:tcPr>
          <w:p w:rsidR="00251D7D" w:rsidRPr="00C64CF2" w:rsidRDefault="00251D7D" w:rsidP="00C42E35">
            <w:pPr>
              <w:pStyle w:val="Tabletext"/>
              <w:keepNext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Non-geographic number – Paging</w:t>
            </w:r>
          </w:p>
        </w:tc>
      </w:tr>
      <w:tr w:rsidR="00251D7D" w:rsidRPr="00C64CF2" w:rsidTr="00C42E35">
        <w:trPr>
          <w:cantSplit/>
          <w:tblHeader/>
          <w:jc w:val="center"/>
        </w:trPr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keepNext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23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keepNext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keepNext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2807" w:type="dxa"/>
          </w:tcPr>
          <w:p w:rsidR="00251D7D" w:rsidRPr="00C64CF2" w:rsidRDefault="00251D7D" w:rsidP="00C42E35">
            <w:pPr>
              <w:pStyle w:val="Tabletext"/>
              <w:keepNext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Fixed telephony Services</w:t>
            </w:r>
          </w:p>
        </w:tc>
      </w:tr>
      <w:tr w:rsidR="00251D7D" w:rsidRPr="00C64CF2" w:rsidTr="00C42E35">
        <w:trPr>
          <w:cantSplit/>
          <w:tblHeader/>
          <w:jc w:val="center"/>
        </w:trPr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261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2807" w:type="dxa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 xml:space="preserve">Non-geographic number – </w:t>
            </w: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br/>
              <w:t>Paging</w:t>
            </w:r>
          </w:p>
        </w:tc>
      </w:tr>
      <w:tr w:rsidR="00251D7D" w:rsidRPr="00C64CF2" w:rsidTr="00C42E35">
        <w:trPr>
          <w:cantSplit/>
          <w:tblHeader/>
          <w:jc w:val="center"/>
        </w:trPr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2807" w:type="dxa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Mobile telephony services</w:t>
            </w:r>
          </w:p>
        </w:tc>
      </w:tr>
      <w:tr w:rsidR="00251D7D" w:rsidRPr="00C64CF2" w:rsidTr="00C42E35">
        <w:trPr>
          <w:cantSplit/>
          <w:tblHeader/>
          <w:jc w:val="center"/>
        </w:trPr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2807" w:type="dxa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Fixed telephony Services</w:t>
            </w:r>
          </w:p>
        </w:tc>
      </w:tr>
      <w:tr w:rsidR="00251D7D" w:rsidRPr="00C64CF2" w:rsidTr="00C42E35">
        <w:trPr>
          <w:cantSplit/>
          <w:tblHeader/>
          <w:jc w:val="center"/>
        </w:trPr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2807" w:type="dxa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Mobile telephony services</w:t>
            </w:r>
          </w:p>
        </w:tc>
      </w:tr>
      <w:tr w:rsidR="00251D7D" w:rsidRPr="00C64CF2" w:rsidTr="00C42E35">
        <w:trPr>
          <w:cantSplit/>
          <w:tblHeader/>
          <w:jc w:val="center"/>
        </w:trPr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2807" w:type="dxa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Mobile telephony services</w:t>
            </w:r>
          </w:p>
        </w:tc>
      </w:tr>
      <w:tr w:rsidR="00251D7D" w:rsidRPr="00C64CF2" w:rsidTr="00C42E35">
        <w:trPr>
          <w:cantSplit/>
          <w:tblHeader/>
          <w:jc w:val="center"/>
        </w:trPr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2807" w:type="dxa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Mobile telephony services</w:t>
            </w:r>
          </w:p>
        </w:tc>
      </w:tr>
      <w:tr w:rsidR="00251D7D" w:rsidRPr="00C64CF2" w:rsidTr="00C42E35">
        <w:trPr>
          <w:cantSplit/>
          <w:tblHeader/>
          <w:jc w:val="center"/>
        </w:trPr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800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2807" w:type="dxa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 xml:space="preserve">Non-geographic number – </w:t>
            </w: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br/>
              <w:t>Freephone</w:t>
            </w:r>
          </w:p>
        </w:tc>
      </w:tr>
      <w:tr w:rsidR="00251D7D" w:rsidRPr="00C64CF2" w:rsidTr="00C42E35">
        <w:trPr>
          <w:cantSplit/>
          <w:tblHeader/>
          <w:jc w:val="center"/>
        </w:trPr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900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2807" w:type="dxa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 xml:space="preserve">Non-geographic number – </w:t>
            </w: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proofErr w:type="spellStart"/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Audiotext</w:t>
            </w:r>
            <w:proofErr w:type="spellEnd"/>
          </w:p>
        </w:tc>
      </w:tr>
      <w:tr w:rsidR="00251D7D" w:rsidRPr="00C64CF2" w:rsidTr="00C42E35">
        <w:trPr>
          <w:cantSplit/>
          <w:tblHeader/>
          <w:jc w:val="center"/>
        </w:trPr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92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2807" w:type="dxa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 xml:space="preserve">Non-geographic number – </w:t>
            </w: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br/>
              <w:t>SMS services</w:t>
            </w:r>
          </w:p>
        </w:tc>
      </w:tr>
      <w:tr w:rsidR="00251D7D" w:rsidRPr="00C64CF2" w:rsidTr="00C42E35">
        <w:trPr>
          <w:cantSplit/>
          <w:tblHeader/>
          <w:jc w:val="center"/>
        </w:trPr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97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2807" w:type="dxa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 xml:space="preserve">Non-geographic number – </w:t>
            </w: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br/>
              <w:t>SMS services</w:t>
            </w:r>
          </w:p>
        </w:tc>
      </w:tr>
      <w:tr w:rsidR="00251D7D" w:rsidRPr="00C64CF2" w:rsidTr="00C42E35">
        <w:trPr>
          <w:cantSplit/>
          <w:tblHeader/>
          <w:jc w:val="center"/>
        </w:trPr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99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2807" w:type="dxa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 xml:space="preserve">Non-geographic number – </w:t>
            </w: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br/>
              <w:t>Emergency Short Codes</w:t>
            </w:r>
          </w:p>
        </w:tc>
      </w:tr>
    </w:tbl>
    <w:p w:rsidR="00251D7D" w:rsidRPr="00C64CF2" w:rsidRDefault="00251D7D" w:rsidP="00251D7D">
      <w:pPr>
        <w:rPr>
          <w:rFonts w:cs="Arial"/>
          <w:b/>
          <w:bCs/>
          <w:sz w:val="20"/>
        </w:rPr>
      </w:pPr>
    </w:p>
    <w:p w:rsidR="00251D7D" w:rsidRPr="00C64CF2" w:rsidRDefault="00251D7D" w:rsidP="00251D7D">
      <w:pPr>
        <w:overflowPunct/>
        <w:autoSpaceDE/>
        <w:autoSpaceDN/>
        <w:adjustRightInd/>
        <w:spacing w:after="200" w:line="276" w:lineRule="auto"/>
        <w:rPr>
          <w:rFonts w:cs="Arial"/>
          <w:b/>
          <w:bCs/>
          <w:sz w:val="20"/>
        </w:rPr>
      </w:pPr>
      <w:r w:rsidRPr="00C64CF2">
        <w:rPr>
          <w:rFonts w:cs="Arial"/>
          <w:b/>
          <w:bCs/>
          <w:sz w:val="20"/>
        </w:rPr>
        <w:br w:type="page"/>
      </w:r>
    </w:p>
    <w:p w:rsidR="00251D7D" w:rsidRPr="00C64CF2" w:rsidRDefault="00251D7D" w:rsidP="00251D7D">
      <w:pPr>
        <w:rPr>
          <w:rFonts w:cs="Arial"/>
          <w:sz w:val="20"/>
        </w:rPr>
      </w:pPr>
      <w:r w:rsidRPr="00C64CF2">
        <w:rPr>
          <w:rFonts w:cs="Arial"/>
          <w:b/>
          <w:bCs/>
          <w:sz w:val="20"/>
        </w:rPr>
        <w:lastRenderedPageBreak/>
        <w:t>Description of Number Portability implementation</w:t>
      </w:r>
      <w:r w:rsidRPr="00C64CF2">
        <w:rPr>
          <w:rFonts w:cs="Arial"/>
          <w:sz w:val="20"/>
        </w:rPr>
        <w:t xml:space="preserve"> </w:t>
      </w:r>
      <w:r w:rsidRPr="00C64CF2">
        <w:rPr>
          <w:rFonts w:cs="Arial"/>
          <w:b/>
          <w:bCs/>
          <w:sz w:val="20"/>
        </w:rPr>
        <w:t>within Qatar</w:t>
      </w:r>
    </w:p>
    <w:p w:rsidR="00251D7D" w:rsidRPr="00C64CF2" w:rsidRDefault="00251D7D" w:rsidP="00251D7D">
      <w:pPr>
        <w:rPr>
          <w:rFonts w:cs="Arial"/>
          <w:bCs/>
          <w:sz w:val="20"/>
        </w:rPr>
      </w:pPr>
      <w:r w:rsidRPr="00C64CF2">
        <w:rPr>
          <w:rFonts w:cs="Arial"/>
          <w:bCs/>
          <w:sz w:val="20"/>
        </w:rPr>
        <w:t>Mobile Number Portability (NP) is currently being implemented within Qatar. The following description records the status as the 20 August 2011</w:t>
      </w:r>
    </w:p>
    <w:p w:rsidR="00251D7D" w:rsidRPr="00C64CF2" w:rsidRDefault="00251D7D" w:rsidP="00251D7D">
      <w:pPr>
        <w:spacing w:before="120" w:after="120"/>
        <w:jc w:val="center"/>
        <w:rPr>
          <w:rFonts w:cs="Arial"/>
          <w:bCs/>
          <w:i/>
          <w:iCs/>
          <w:sz w:val="20"/>
        </w:rPr>
      </w:pPr>
      <w:r w:rsidRPr="00C64CF2">
        <w:rPr>
          <w:rFonts w:cs="Arial"/>
          <w:bCs/>
          <w:i/>
          <w:iCs/>
          <w:sz w:val="20"/>
        </w:rPr>
        <w:t>Description of implementation of NP of E.164 numbers in the National Numbering Plan for</w:t>
      </w:r>
      <w:r w:rsidRPr="00C64CF2">
        <w:rPr>
          <w:rFonts w:cs="Arial"/>
          <w:bCs/>
          <w:i/>
          <w:iCs/>
          <w:sz w:val="20"/>
        </w:rPr>
        <w:br/>
        <w:t>country code 974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318"/>
        <w:gridCol w:w="1936"/>
        <w:gridCol w:w="2069"/>
        <w:gridCol w:w="3253"/>
      </w:tblGrid>
      <w:tr w:rsidR="00251D7D" w:rsidRPr="00C64CF2" w:rsidTr="00C42E35">
        <w:trPr>
          <w:cantSplit/>
        </w:trPr>
        <w:tc>
          <w:tcPr>
            <w:tcW w:w="2135" w:type="dxa"/>
            <w:vAlign w:val="center"/>
          </w:tcPr>
          <w:p w:rsidR="00251D7D" w:rsidRPr="00C64CF2" w:rsidRDefault="00251D7D" w:rsidP="00C42E35">
            <w:pPr>
              <w:pStyle w:val="Tablehead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784" w:type="dxa"/>
            <w:vAlign w:val="center"/>
          </w:tcPr>
          <w:p w:rsidR="00251D7D" w:rsidRPr="00C64CF2" w:rsidRDefault="00251D7D" w:rsidP="00C42E35">
            <w:pPr>
              <w:pStyle w:val="Tablehead"/>
              <w:rPr>
                <w:rFonts w:ascii="Arial" w:hAnsi="Arial" w:cs="Arial"/>
                <w:sz w:val="20"/>
              </w:rPr>
            </w:pPr>
            <w:proofErr w:type="spellStart"/>
            <w:r w:rsidRPr="00C64CF2">
              <w:rPr>
                <w:rFonts w:ascii="Arial" w:hAnsi="Arial" w:cs="Arial"/>
                <w:sz w:val="20"/>
              </w:rPr>
              <w:t>Geographics</w:t>
            </w:r>
            <w:proofErr w:type="spellEnd"/>
            <w:r w:rsidRPr="00C64CF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64CF2">
              <w:rPr>
                <w:rFonts w:ascii="Arial" w:hAnsi="Arial" w:cs="Arial"/>
                <w:sz w:val="20"/>
              </w:rPr>
              <w:t>numbers</w:t>
            </w:r>
            <w:proofErr w:type="spellEnd"/>
          </w:p>
        </w:tc>
        <w:tc>
          <w:tcPr>
            <w:tcW w:w="1906" w:type="dxa"/>
            <w:vAlign w:val="center"/>
          </w:tcPr>
          <w:p w:rsidR="00251D7D" w:rsidRPr="00C64CF2" w:rsidRDefault="00251D7D" w:rsidP="00C42E35">
            <w:pPr>
              <w:pStyle w:val="Tablehead"/>
              <w:rPr>
                <w:rFonts w:ascii="Arial" w:hAnsi="Arial" w:cs="Arial"/>
                <w:sz w:val="20"/>
                <w:lang w:val="en-US"/>
              </w:rPr>
            </w:pPr>
            <w:r w:rsidRPr="00C64CF2">
              <w:rPr>
                <w:rFonts w:ascii="Arial" w:hAnsi="Arial" w:cs="Arial"/>
                <w:sz w:val="20"/>
                <w:lang w:val="en-US"/>
              </w:rPr>
              <w:t xml:space="preserve">Non-geographic numbers other than mobile numbers </w:t>
            </w:r>
            <w:r w:rsidRPr="00C64CF2">
              <w:rPr>
                <w:rFonts w:ascii="Arial" w:hAnsi="Arial" w:cs="Arial"/>
                <w:sz w:val="20"/>
                <w:lang w:val="en-US"/>
              </w:rPr>
              <w:br/>
              <w:t>(</w:t>
            </w:r>
            <w:proofErr w:type="spellStart"/>
            <w:r w:rsidRPr="00C64CF2">
              <w:rPr>
                <w:rFonts w:ascii="Arial" w:hAnsi="Arial" w:cs="Arial"/>
                <w:sz w:val="20"/>
                <w:lang w:val="en-US"/>
              </w:rPr>
              <w:t>e,g</w:t>
            </w:r>
            <w:proofErr w:type="spellEnd"/>
            <w:r w:rsidRPr="00C64CF2">
              <w:rPr>
                <w:rFonts w:ascii="Arial" w:hAnsi="Arial" w:cs="Arial"/>
                <w:sz w:val="20"/>
                <w:lang w:val="en-US"/>
              </w:rPr>
              <w:t xml:space="preserve"> premium rate </w:t>
            </w:r>
            <w:proofErr w:type="spellStart"/>
            <w:r w:rsidRPr="00C64CF2">
              <w:rPr>
                <w:rFonts w:ascii="Arial" w:hAnsi="Arial" w:cs="Arial"/>
                <w:sz w:val="20"/>
                <w:lang w:val="en-US"/>
              </w:rPr>
              <w:t>services,freephone</w:t>
            </w:r>
            <w:proofErr w:type="spellEnd"/>
            <w:r w:rsidRPr="00C64CF2">
              <w:rPr>
                <w:rFonts w:ascii="Arial" w:hAnsi="Arial" w:cs="Arial"/>
                <w:sz w:val="20"/>
                <w:lang w:val="en-US"/>
              </w:rPr>
              <w:t xml:space="preserve"> services nomadic services)</w:t>
            </w:r>
          </w:p>
        </w:tc>
        <w:tc>
          <w:tcPr>
            <w:tcW w:w="2997" w:type="dxa"/>
            <w:vAlign w:val="center"/>
          </w:tcPr>
          <w:p w:rsidR="00251D7D" w:rsidRPr="00C64CF2" w:rsidRDefault="00251D7D" w:rsidP="00C42E35">
            <w:pPr>
              <w:pStyle w:val="Tablehead"/>
              <w:rPr>
                <w:rFonts w:ascii="Arial" w:hAnsi="Arial" w:cs="Arial"/>
                <w:sz w:val="20"/>
              </w:rPr>
            </w:pPr>
            <w:r w:rsidRPr="00C64CF2">
              <w:rPr>
                <w:rFonts w:ascii="Arial" w:hAnsi="Arial" w:cs="Arial"/>
                <w:sz w:val="20"/>
              </w:rPr>
              <w:t xml:space="preserve">Mobile </w:t>
            </w:r>
          </w:p>
        </w:tc>
      </w:tr>
      <w:tr w:rsidR="00251D7D" w:rsidRPr="00C64CF2" w:rsidTr="00C42E35">
        <w:trPr>
          <w:cantSplit/>
        </w:trPr>
        <w:tc>
          <w:tcPr>
            <w:tcW w:w="2135" w:type="dxa"/>
            <w:vAlign w:val="center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State of NP</w:t>
            </w:r>
          </w:p>
        </w:tc>
        <w:tc>
          <w:tcPr>
            <w:tcW w:w="1784" w:type="dxa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No requirement until second operator licensed</w:t>
            </w:r>
          </w:p>
        </w:tc>
        <w:tc>
          <w:tcPr>
            <w:tcW w:w="1906" w:type="dxa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No requirement until second operator licensed</w:t>
            </w:r>
          </w:p>
        </w:tc>
        <w:tc>
          <w:tcPr>
            <w:tcW w:w="2997" w:type="dxa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Under development</w:t>
            </w:r>
          </w:p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(Expected end of 2011)</w:t>
            </w:r>
          </w:p>
        </w:tc>
      </w:tr>
      <w:tr w:rsidR="00251D7D" w:rsidRPr="00C64CF2" w:rsidTr="00C42E35">
        <w:trPr>
          <w:cantSplit/>
        </w:trPr>
        <w:tc>
          <w:tcPr>
            <w:tcW w:w="2135" w:type="dxa"/>
            <w:vAlign w:val="center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Regulatory obligation for operators to implement NP?</w:t>
            </w:r>
          </w:p>
        </w:tc>
        <w:tc>
          <w:tcPr>
            <w:tcW w:w="1784" w:type="dxa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Yes within licences</w:t>
            </w:r>
          </w:p>
        </w:tc>
        <w:tc>
          <w:tcPr>
            <w:tcW w:w="1906" w:type="dxa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Yes within licences</w:t>
            </w:r>
          </w:p>
        </w:tc>
        <w:tc>
          <w:tcPr>
            <w:tcW w:w="2997" w:type="dxa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Yes within licences</w:t>
            </w:r>
          </w:p>
        </w:tc>
      </w:tr>
      <w:tr w:rsidR="00251D7D" w:rsidRPr="00C64CF2" w:rsidTr="00C42E35">
        <w:trPr>
          <w:cantSplit/>
        </w:trPr>
        <w:tc>
          <w:tcPr>
            <w:tcW w:w="2135" w:type="dxa"/>
            <w:vAlign w:val="center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Type of NP implementation</w:t>
            </w:r>
          </w:p>
        </w:tc>
        <w:tc>
          <w:tcPr>
            <w:tcW w:w="1784" w:type="dxa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N/A</w:t>
            </w:r>
          </w:p>
        </w:tc>
        <w:tc>
          <w:tcPr>
            <w:tcW w:w="1906" w:type="dxa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N/A</w:t>
            </w:r>
          </w:p>
        </w:tc>
        <w:tc>
          <w:tcPr>
            <w:tcW w:w="2997" w:type="dxa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Under development</w:t>
            </w:r>
          </w:p>
        </w:tc>
      </w:tr>
      <w:tr w:rsidR="00251D7D" w:rsidRPr="00C64CF2" w:rsidTr="00C42E35">
        <w:trPr>
          <w:cantSplit/>
        </w:trPr>
        <w:tc>
          <w:tcPr>
            <w:tcW w:w="2135" w:type="dxa"/>
            <w:vAlign w:val="center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Limitations</w:t>
            </w:r>
          </w:p>
        </w:tc>
        <w:tc>
          <w:tcPr>
            <w:tcW w:w="1784" w:type="dxa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N/A</w:t>
            </w:r>
          </w:p>
        </w:tc>
        <w:tc>
          <w:tcPr>
            <w:tcW w:w="1906" w:type="dxa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N/A</w:t>
            </w:r>
          </w:p>
        </w:tc>
        <w:tc>
          <w:tcPr>
            <w:tcW w:w="2997" w:type="dxa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251D7D" w:rsidRPr="00C64CF2" w:rsidTr="00C42E35">
        <w:trPr>
          <w:cantSplit/>
        </w:trPr>
        <w:tc>
          <w:tcPr>
            <w:tcW w:w="2135" w:type="dxa"/>
            <w:vAlign w:val="center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Specifications available on website</w:t>
            </w:r>
          </w:p>
        </w:tc>
        <w:tc>
          <w:tcPr>
            <w:tcW w:w="1784" w:type="dxa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N/A</w:t>
            </w:r>
          </w:p>
        </w:tc>
        <w:tc>
          <w:tcPr>
            <w:tcW w:w="1906" w:type="dxa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N/A</w:t>
            </w:r>
          </w:p>
        </w:tc>
        <w:tc>
          <w:tcPr>
            <w:tcW w:w="2997" w:type="dxa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251D7D" w:rsidRPr="00C64CF2" w:rsidTr="00C42E35">
        <w:trPr>
          <w:cantSplit/>
        </w:trPr>
        <w:tc>
          <w:tcPr>
            <w:tcW w:w="2135" w:type="dxa"/>
            <w:vAlign w:val="center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Contact information national Administration/NPA</w:t>
            </w:r>
          </w:p>
        </w:tc>
        <w:tc>
          <w:tcPr>
            <w:tcW w:w="1784" w:type="dxa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N/A</w:t>
            </w:r>
          </w:p>
        </w:tc>
        <w:tc>
          <w:tcPr>
            <w:tcW w:w="1906" w:type="dxa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N/A</w:t>
            </w:r>
          </w:p>
        </w:tc>
        <w:tc>
          <w:tcPr>
            <w:tcW w:w="2997" w:type="dxa"/>
          </w:tcPr>
          <w:p w:rsidR="00251D7D" w:rsidRPr="00C64CF2" w:rsidRDefault="00251D7D" w:rsidP="00C42E35">
            <w:pPr>
              <w:pStyle w:val="Tabletext"/>
              <w:spacing w:before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Technical Affairs Dept</w:t>
            </w:r>
          </w:p>
          <w:p w:rsidR="00251D7D" w:rsidRPr="00C64CF2" w:rsidRDefault="00251D7D" w:rsidP="00C42E35">
            <w:pPr>
              <w:pStyle w:val="Tabletext"/>
              <w:spacing w:before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US"/>
              </w:rPr>
              <w:t>Tel:+974 4499 5344</w:t>
            </w:r>
          </w:p>
          <w:p w:rsidR="00251D7D" w:rsidRPr="00C64CF2" w:rsidRDefault="00251D7D" w:rsidP="00C42E35">
            <w:pPr>
              <w:pStyle w:val="Tabletext"/>
              <w:spacing w:before="0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fr-CH"/>
              </w:rPr>
              <w:t>Fax:+974 4493 5913</w:t>
            </w:r>
          </w:p>
          <w:p w:rsidR="00251D7D" w:rsidRPr="00C64CF2" w:rsidRDefault="00251D7D" w:rsidP="00C42E35">
            <w:pPr>
              <w:pStyle w:val="Tabletext"/>
              <w:spacing w:before="0"/>
              <w:rPr>
                <w:rFonts w:ascii="Arial" w:hAnsi="Arial" w:cs="Arial"/>
                <w:sz w:val="20"/>
                <w:szCs w:val="20"/>
                <w:lang w:val="fr-CH"/>
              </w:rPr>
            </w:pPr>
            <w:proofErr w:type="spellStart"/>
            <w:r w:rsidRPr="00C64CF2">
              <w:rPr>
                <w:rFonts w:ascii="Arial" w:hAnsi="Arial" w:cs="Arial"/>
                <w:sz w:val="20"/>
                <w:szCs w:val="20"/>
                <w:lang w:val="fr-CH"/>
              </w:rPr>
              <w:t>E-mail:salkuwari@ict.gov.qa</w:t>
            </w:r>
            <w:proofErr w:type="spellEnd"/>
            <w:r w:rsidRPr="00C64CF2">
              <w:rPr>
                <w:rFonts w:ascii="Arial" w:hAnsi="Arial" w:cs="Arial"/>
                <w:sz w:val="20"/>
                <w:szCs w:val="20"/>
                <w:lang w:val="fr-CH"/>
              </w:rPr>
              <w:t xml:space="preserve"> </w:t>
            </w:r>
          </w:p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fr-CH"/>
              </w:rPr>
            </w:pPr>
          </w:p>
        </w:tc>
      </w:tr>
      <w:tr w:rsidR="00251D7D" w:rsidRPr="00C64CF2" w:rsidTr="00C42E35">
        <w:trPr>
          <w:cantSplit/>
        </w:trPr>
        <w:tc>
          <w:tcPr>
            <w:tcW w:w="2135" w:type="dxa"/>
            <w:vAlign w:val="center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US"/>
              </w:rPr>
              <w:t>Central Reference Database ( if any) managed/operated by</w:t>
            </w:r>
          </w:p>
        </w:tc>
        <w:tc>
          <w:tcPr>
            <w:tcW w:w="1784" w:type="dxa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N/A</w:t>
            </w:r>
          </w:p>
        </w:tc>
        <w:tc>
          <w:tcPr>
            <w:tcW w:w="1906" w:type="dxa"/>
            <w:vAlign w:val="center"/>
          </w:tcPr>
          <w:p w:rsidR="00251D7D" w:rsidRPr="00C64CF2" w:rsidRDefault="00251D7D" w:rsidP="00C42E35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N/A</w:t>
            </w:r>
          </w:p>
        </w:tc>
        <w:tc>
          <w:tcPr>
            <w:tcW w:w="2997" w:type="dxa"/>
          </w:tcPr>
          <w:p w:rsidR="00251D7D" w:rsidRPr="00C64CF2" w:rsidRDefault="00251D7D" w:rsidP="00C42E3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4CF2">
              <w:rPr>
                <w:rFonts w:ascii="Arial" w:hAnsi="Arial" w:cs="Arial"/>
                <w:sz w:val="20"/>
                <w:szCs w:val="20"/>
                <w:lang w:val="en-GB"/>
              </w:rPr>
              <w:t>Subject to Tender and contract</w:t>
            </w:r>
          </w:p>
        </w:tc>
      </w:tr>
    </w:tbl>
    <w:p w:rsidR="00251D7D" w:rsidRPr="00C64CF2" w:rsidRDefault="00251D7D" w:rsidP="00251D7D">
      <w:pPr>
        <w:rPr>
          <w:rFonts w:cs="Arial"/>
          <w:sz w:val="20"/>
        </w:rPr>
      </w:pPr>
    </w:p>
    <w:p w:rsidR="00251D7D" w:rsidRPr="00C64CF2" w:rsidRDefault="00251D7D" w:rsidP="00251D7D">
      <w:pPr>
        <w:rPr>
          <w:rFonts w:cs="Arial"/>
          <w:sz w:val="20"/>
        </w:rPr>
      </w:pPr>
      <w:r w:rsidRPr="00C64CF2">
        <w:rPr>
          <w:rFonts w:cs="Arial"/>
          <w:sz w:val="20"/>
        </w:rPr>
        <w:t>All Qatari eight digit numbers starting with the digits 3 (mobile), 4 (fixed-line), 5 (mobile), 6 (mobile) and 7 (mobile) are valid number ranges in Qatar’s National Numbering Plan.</w:t>
      </w:r>
    </w:p>
    <w:p w:rsidR="00251D7D" w:rsidRPr="00C64CF2" w:rsidRDefault="00251D7D" w:rsidP="00251D7D">
      <w:pPr>
        <w:rPr>
          <w:rFonts w:cs="Arial"/>
          <w:sz w:val="20"/>
        </w:rPr>
      </w:pPr>
      <w:r w:rsidRPr="00C64CF2">
        <w:rPr>
          <w:rFonts w:cs="Arial"/>
          <w:sz w:val="20"/>
        </w:rPr>
        <w:t xml:space="preserve">Individual number blocks within these ranges will be allocated to individual licensed operators by </w:t>
      </w:r>
      <w:proofErr w:type="spellStart"/>
      <w:r w:rsidRPr="00C64CF2">
        <w:rPr>
          <w:rFonts w:cs="Arial"/>
          <w:sz w:val="20"/>
        </w:rPr>
        <w:t>ictQATAR</w:t>
      </w:r>
      <w:proofErr w:type="spellEnd"/>
      <w:r w:rsidRPr="00C64CF2">
        <w:rPr>
          <w:rFonts w:cs="Arial"/>
          <w:sz w:val="20"/>
        </w:rPr>
        <w:t xml:space="preserve"> in accordance with the National Numbering Plan “NNP” Policy and in response to valid applications received from the licensed operators.</w:t>
      </w:r>
    </w:p>
    <w:p w:rsidR="00251D7D" w:rsidRPr="00C64CF2" w:rsidRDefault="00251D7D" w:rsidP="00251D7D">
      <w:pPr>
        <w:rPr>
          <w:rFonts w:cs="Arial"/>
          <w:sz w:val="20"/>
        </w:rPr>
      </w:pPr>
    </w:p>
    <w:p w:rsidR="00251D7D" w:rsidRPr="00C64CF2" w:rsidRDefault="00251D7D" w:rsidP="00251D7D">
      <w:pPr>
        <w:rPr>
          <w:rFonts w:cs="Arial"/>
          <w:sz w:val="20"/>
        </w:rPr>
      </w:pPr>
      <w:proofErr w:type="spellStart"/>
      <w:r w:rsidRPr="00C64CF2">
        <w:rPr>
          <w:rFonts w:cs="Arial"/>
          <w:sz w:val="20"/>
        </w:rPr>
        <w:t>IctQATAR</w:t>
      </w:r>
      <w:proofErr w:type="spellEnd"/>
      <w:r w:rsidRPr="00C64CF2">
        <w:rPr>
          <w:rFonts w:cs="Arial"/>
          <w:sz w:val="20"/>
        </w:rPr>
        <w:t xml:space="preserve"> does not notify ITU-T when it allocates individual number blocks from these ranges to licensed operators</w:t>
      </w:r>
    </w:p>
    <w:p w:rsidR="00251D7D" w:rsidRPr="00C64CF2" w:rsidRDefault="00251D7D" w:rsidP="00251D7D">
      <w:pPr>
        <w:rPr>
          <w:rFonts w:cs="Arial"/>
          <w:sz w:val="20"/>
        </w:rPr>
      </w:pPr>
    </w:p>
    <w:p w:rsidR="00251D7D" w:rsidRPr="00C64CF2" w:rsidRDefault="00251D7D" w:rsidP="00251D7D">
      <w:pPr>
        <w:rPr>
          <w:rFonts w:cs="Arial"/>
          <w:sz w:val="20"/>
        </w:rPr>
      </w:pPr>
    </w:p>
    <w:p w:rsidR="00251D7D" w:rsidRPr="00C64CF2" w:rsidRDefault="00251D7D" w:rsidP="00251D7D">
      <w:pPr>
        <w:rPr>
          <w:rFonts w:cs="Arial"/>
          <w:sz w:val="20"/>
        </w:rPr>
      </w:pPr>
      <w:r w:rsidRPr="00C64CF2">
        <w:rPr>
          <w:rFonts w:cs="Arial"/>
          <w:sz w:val="20"/>
        </w:rPr>
        <w:t xml:space="preserve">Website address of the Qatar National Numbering Plan </w:t>
      </w:r>
    </w:p>
    <w:p w:rsidR="00251D7D" w:rsidRPr="00C64CF2" w:rsidRDefault="00B93F82" w:rsidP="00251D7D">
      <w:pPr>
        <w:rPr>
          <w:rFonts w:cs="Arial"/>
          <w:sz w:val="20"/>
        </w:rPr>
      </w:pPr>
      <w:hyperlink r:id="rId4" w:history="1">
        <w:r w:rsidR="00251D7D" w:rsidRPr="00C64CF2">
          <w:rPr>
            <w:rStyle w:val="Hyperlink"/>
            <w:rFonts w:cs="Arial"/>
            <w:sz w:val="20"/>
          </w:rPr>
          <w:t>http://www.ictqatar.qa/en/department/regulatory-authority/national-numbering-plan</w:t>
        </w:r>
      </w:hyperlink>
    </w:p>
    <w:p w:rsidR="00251D7D" w:rsidRPr="00C64CF2" w:rsidRDefault="00251D7D" w:rsidP="00251D7D">
      <w:pPr>
        <w:rPr>
          <w:rFonts w:cs="Arial"/>
          <w:sz w:val="20"/>
        </w:rPr>
      </w:pPr>
    </w:p>
    <w:p w:rsidR="00251D7D" w:rsidRPr="00C64CF2" w:rsidRDefault="00251D7D" w:rsidP="00251D7D">
      <w:pPr>
        <w:rPr>
          <w:rFonts w:cs="Arial"/>
          <w:sz w:val="20"/>
        </w:rPr>
      </w:pPr>
    </w:p>
    <w:p w:rsidR="00251D7D" w:rsidRPr="00C64CF2" w:rsidRDefault="00251D7D" w:rsidP="00251D7D">
      <w:pPr>
        <w:overflowPunct/>
        <w:autoSpaceDE/>
        <w:autoSpaceDN/>
        <w:adjustRightInd/>
        <w:spacing w:after="200" w:line="276" w:lineRule="auto"/>
        <w:rPr>
          <w:rFonts w:cs="Arial"/>
          <w:sz w:val="20"/>
        </w:rPr>
      </w:pPr>
      <w:r w:rsidRPr="00C64CF2">
        <w:rPr>
          <w:rFonts w:cs="Arial"/>
          <w:sz w:val="20"/>
        </w:rPr>
        <w:br w:type="page"/>
      </w:r>
    </w:p>
    <w:p w:rsidR="00251D7D" w:rsidRPr="00C64CF2" w:rsidRDefault="00251D7D" w:rsidP="00251D7D">
      <w:pPr>
        <w:rPr>
          <w:rFonts w:cs="Arial"/>
          <w:sz w:val="20"/>
        </w:rPr>
      </w:pPr>
      <w:r w:rsidRPr="00C64CF2">
        <w:rPr>
          <w:rFonts w:cs="Arial"/>
          <w:sz w:val="20"/>
        </w:rPr>
        <w:lastRenderedPageBreak/>
        <w:t>Contacts:</w:t>
      </w:r>
    </w:p>
    <w:p w:rsidR="00251D7D" w:rsidRPr="00C64CF2" w:rsidRDefault="00251D7D" w:rsidP="00251D7D">
      <w:pPr>
        <w:rPr>
          <w:rFonts w:cs="Arial"/>
          <w:sz w:val="20"/>
        </w:rPr>
      </w:pPr>
      <w:r w:rsidRPr="00C64CF2">
        <w:rPr>
          <w:rFonts w:cs="Arial"/>
          <w:sz w:val="20"/>
        </w:rPr>
        <w:t xml:space="preserve">Administrative Contact: </w:t>
      </w:r>
    </w:p>
    <w:p w:rsidR="00251D7D" w:rsidRPr="00C64CF2" w:rsidRDefault="00251D7D" w:rsidP="00251D7D">
      <w:pPr>
        <w:ind w:left="720"/>
        <w:rPr>
          <w:rFonts w:cs="Arial"/>
          <w:sz w:val="20"/>
        </w:rPr>
      </w:pPr>
      <w:r w:rsidRPr="00C64CF2">
        <w:rPr>
          <w:rFonts w:cs="Arial"/>
          <w:sz w:val="20"/>
        </w:rPr>
        <w:t xml:space="preserve">Mrs. </w:t>
      </w:r>
      <w:proofErr w:type="spellStart"/>
      <w:r w:rsidRPr="00C64CF2">
        <w:rPr>
          <w:rFonts w:cs="Arial"/>
          <w:sz w:val="20"/>
        </w:rPr>
        <w:t>Salwa</w:t>
      </w:r>
      <w:proofErr w:type="spellEnd"/>
      <w:r w:rsidRPr="00C64CF2">
        <w:rPr>
          <w:rFonts w:cs="Arial"/>
          <w:sz w:val="20"/>
        </w:rPr>
        <w:t xml:space="preserve"> </w:t>
      </w:r>
      <w:proofErr w:type="spellStart"/>
      <w:r w:rsidRPr="00C64CF2">
        <w:rPr>
          <w:rFonts w:cs="Arial"/>
          <w:sz w:val="20"/>
        </w:rPr>
        <w:t>Fakhro</w:t>
      </w:r>
      <w:proofErr w:type="spellEnd"/>
    </w:p>
    <w:p w:rsidR="00251D7D" w:rsidRPr="00C64CF2" w:rsidRDefault="00251D7D" w:rsidP="00251D7D">
      <w:pPr>
        <w:ind w:left="720"/>
        <w:rPr>
          <w:rFonts w:cs="Arial"/>
          <w:sz w:val="20"/>
        </w:rPr>
      </w:pPr>
      <w:r w:rsidRPr="00C64CF2">
        <w:rPr>
          <w:rFonts w:cs="Arial"/>
          <w:sz w:val="20"/>
        </w:rPr>
        <w:t>Manager Institutional Relations</w:t>
      </w:r>
    </w:p>
    <w:p w:rsidR="00251D7D" w:rsidRPr="00C64CF2" w:rsidRDefault="00251D7D" w:rsidP="00251D7D">
      <w:pPr>
        <w:ind w:left="720"/>
        <w:rPr>
          <w:rFonts w:cs="Arial"/>
          <w:sz w:val="20"/>
        </w:rPr>
      </w:pPr>
      <w:r w:rsidRPr="00C64CF2">
        <w:rPr>
          <w:rFonts w:cs="Arial"/>
          <w:sz w:val="20"/>
        </w:rPr>
        <w:t>The Supreme Council of Information &amp; Communications Technology (</w:t>
      </w:r>
      <w:proofErr w:type="spellStart"/>
      <w:r w:rsidRPr="00C64CF2">
        <w:rPr>
          <w:rFonts w:cs="Arial"/>
          <w:sz w:val="20"/>
        </w:rPr>
        <w:t>ictQATAR</w:t>
      </w:r>
      <w:proofErr w:type="spellEnd"/>
      <w:r w:rsidRPr="00C64CF2">
        <w:rPr>
          <w:rFonts w:cs="Arial"/>
          <w:sz w:val="20"/>
        </w:rPr>
        <w:t>)</w:t>
      </w:r>
      <w:r w:rsidRPr="00C64CF2">
        <w:rPr>
          <w:rFonts w:cs="Arial"/>
          <w:sz w:val="20"/>
        </w:rPr>
        <w:br/>
        <w:t>P.O. Box 23264</w:t>
      </w:r>
      <w:r w:rsidRPr="00C64CF2">
        <w:rPr>
          <w:rFonts w:cs="Arial"/>
          <w:sz w:val="20"/>
        </w:rPr>
        <w:br/>
        <w:t>Al Nassir Tower “B”</w:t>
      </w:r>
      <w:r w:rsidRPr="00C64CF2">
        <w:rPr>
          <w:rFonts w:cs="Arial"/>
          <w:sz w:val="20"/>
        </w:rPr>
        <w:br/>
        <w:t xml:space="preserve">Al </w:t>
      </w:r>
      <w:proofErr w:type="spellStart"/>
      <w:r w:rsidRPr="00C64CF2">
        <w:rPr>
          <w:rFonts w:cs="Arial"/>
          <w:sz w:val="20"/>
        </w:rPr>
        <w:t>Corniche</w:t>
      </w:r>
      <w:proofErr w:type="spellEnd"/>
      <w:r w:rsidRPr="00C64CF2">
        <w:rPr>
          <w:rFonts w:cs="Arial"/>
          <w:sz w:val="20"/>
        </w:rPr>
        <w:t xml:space="preserve"> Street</w:t>
      </w:r>
      <w:r w:rsidRPr="00C64CF2">
        <w:rPr>
          <w:rFonts w:cs="Arial"/>
          <w:sz w:val="20"/>
        </w:rPr>
        <w:br/>
        <w:t>DOHA</w:t>
      </w:r>
    </w:p>
    <w:p w:rsidR="00251D7D" w:rsidRPr="00C64CF2" w:rsidRDefault="00251D7D" w:rsidP="00251D7D">
      <w:pPr>
        <w:ind w:left="720"/>
        <w:rPr>
          <w:rFonts w:cs="Arial"/>
          <w:sz w:val="20"/>
          <w:lang w:val="es-ES"/>
        </w:rPr>
      </w:pPr>
      <w:r w:rsidRPr="00C64CF2">
        <w:rPr>
          <w:rFonts w:cs="Arial"/>
          <w:sz w:val="20"/>
          <w:lang w:val="es-ES"/>
        </w:rPr>
        <w:t>Qatar</w:t>
      </w:r>
      <w:r w:rsidRPr="00C64CF2">
        <w:rPr>
          <w:rFonts w:cs="Arial"/>
          <w:sz w:val="20"/>
          <w:lang w:val="es-ES"/>
        </w:rPr>
        <w:br/>
        <w:t>Tel:</w:t>
      </w:r>
      <w:r w:rsidRPr="00C64CF2">
        <w:rPr>
          <w:rFonts w:cs="Arial"/>
          <w:sz w:val="20"/>
          <w:lang w:val="es-ES"/>
        </w:rPr>
        <w:tab/>
        <w:t>+974 4499 5326</w:t>
      </w:r>
      <w:r w:rsidRPr="00C64CF2">
        <w:rPr>
          <w:rFonts w:cs="Arial"/>
          <w:sz w:val="20"/>
          <w:lang w:val="es-ES"/>
        </w:rPr>
        <w:br/>
        <w:t>Fax:</w:t>
      </w:r>
      <w:r w:rsidRPr="00C64CF2">
        <w:rPr>
          <w:rFonts w:cs="Arial"/>
          <w:sz w:val="20"/>
          <w:lang w:val="es-ES"/>
        </w:rPr>
        <w:tab/>
        <w:t>+974 4493 5913</w:t>
      </w:r>
      <w:r w:rsidRPr="00C64CF2">
        <w:rPr>
          <w:rFonts w:cs="Arial"/>
          <w:sz w:val="20"/>
          <w:lang w:val="es-ES"/>
        </w:rPr>
        <w:br/>
        <w:t>E-mail:</w:t>
      </w:r>
      <w:r w:rsidRPr="00C64CF2">
        <w:rPr>
          <w:rFonts w:cs="Arial"/>
          <w:sz w:val="20"/>
          <w:lang w:val="es-ES"/>
        </w:rPr>
        <w:tab/>
        <w:t xml:space="preserve">sfakhro@ict.gov.qa </w:t>
      </w:r>
    </w:p>
    <w:p w:rsidR="00251D7D" w:rsidRPr="00C64CF2" w:rsidRDefault="00251D7D" w:rsidP="00251D7D">
      <w:pPr>
        <w:keepNext/>
        <w:rPr>
          <w:rFonts w:cs="Arial"/>
          <w:sz w:val="20"/>
        </w:rPr>
      </w:pPr>
      <w:r w:rsidRPr="00C64CF2">
        <w:rPr>
          <w:rFonts w:cs="Arial"/>
          <w:sz w:val="20"/>
        </w:rPr>
        <w:t xml:space="preserve">Technical Contact: </w:t>
      </w:r>
    </w:p>
    <w:p w:rsidR="00251D7D" w:rsidRPr="00C64CF2" w:rsidRDefault="00251D7D" w:rsidP="00251D7D">
      <w:pPr>
        <w:ind w:left="720"/>
        <w:rPr>
          <w:rFonts w:cs="Arial"/>
          <w:sz w:val="20"/>
        </w:rPr>
      </w:pPr>
      <w:proofErr w:type="spellStart"/>
      <w:r w:rsidRPr="00C64CF2">
        <w:rPr>
          <w:rFonts w:cs="Arial"/>
          <w:sz w:val="20"/>
        </w:rPr>
        <w:t>Mr.Saleh</w:t>
      </w:r>
      <w:proofErr w:type="spellEnd"/>
      <w:r w:rsidRPr="00C64CF2">
        <w:rPr>
          <w:rFonts w:cs="Arial"/>
          <w:sz w:val="20"/>
        </w:rPr>
        <w:t xml:space="preserve"> Al-</w:t>
      </w:r>
      <w:proofErr w:type="spellStart"/>
      <w:r w:rsidRPr="00C64CF2">
        <w:rPr>
          <w:rFonts w:cs="Arial"/>
          <w:sz w:val="20"/>
        </w:rPr>
        <w:t>Kuwari</w:t>
      </w:r>
      <w:proofErr w:type="spellEnd"/>
    </w:p>
    <w:p w:rsidR="00251D7D" w:rsidRPr="00C64CF2" w:rsidRDefault="00251D7D" w:rsidP="00251D7D">
      <w:pPr>
        <w:ind w:left="720"/>
        <w:rPr>
          <w:rFonts w:cs="Arial"/>
          <w:sz w:val="20"/>
        </w:rPr>
      </w:pPr>
      <w:r w:rsidRPr="00C64CF2">
        <w:rPr>
          <w:rFonts w:cs="Arial"/>
          <w:sz w:val="20"/>
        </w:rPr>
        <w:t>Chief Technical Manager</w:t>
      </w:r>
    </w:p>
    <w:p w:rsidR="00251D7D" w:rsidRPr="00C64CF2" w:rsidRDefault="00251D7D" w:rsidP="00251D7D">
      <w:pPr>
        <w:ind w:left="720"/>
        <w:rPr>
          <w:rFonts w:cs="Arial"/>
          <w:sz w:val="20"/>
        </w:rPr>
      </w:pPr>
      <w:r w:rsidRPr="00C64CF2">
        <w:rPr>
          <w:rFonts w:cs="Arial"/>
          <w:sz w:val="20"/>
        </w:rPr>
        <w:t>The Supreme Council of Information &amp; Communications Technology (</w:t>
      </w:r>
      <w:proofErr w:type="spellStart"/>
      <w:r w:rsidRPr="00C64CF2">
        <w:rPr>
          <w:rFonts w:cs="Arial"/>
          <w:sz w:val="20"/>
        </w:rPr>
        <w:t>ictQATAR</w:t>
      </w:r>
      <w:proofErr w:type="spellEnd"/>
      <w:r w:rsidRPr="00C64CF2">
        <w:rPr>
          <w:rFonts w:cs="Arial"/>
          <w:sz w:val="20"/>
        </w:rPr>
        <w:t>)</w:t>
      </w:r>
      <w:r w:rsidRPr="00C64CF2">
        <w:rPr>
          <w:rFonts w:cs="Arial"/>
          <w:sz w:val="20"/>
        </w:rPr>
        <w:br/>
        <w:t>P.O. Box 23264</w:t>
      </w:r>
      <w:r w:rsidRPr="00C64CF2">
        <w:rPr>
          <w:rFonts w:cs="Arial"/>
          <w:sz w:val="20"/>
        </w:rPr>
        <w:br/>
        <w:t>Al Nassir Tower “B”</w:t>
      </w:r>
      <w:r w:rsidRPr="00C64CF2">
        <w:rPr>
          <w:rFonts w:cs="Arial"/>
          <w:sz w:val="20"/>
        </w:rPr>
        <w:br/>
        <w:t xml:space="preserve">Al </w:t>
      </w:r>
      <w:proofErr w:type="spellStart"/>
      <w:r w:rsidRPr="00C64CF2">
        <w:rPr>
          <w:rFonts w:cs="Arial"/>
          <w:sz w:val="20"/>
        </w:rPr>
        <w:t>Corniche</w:t>
      </w:r>
      <w:proofErr w:type="spellEnd"/>
      <w:r w:rsidRPr="00C64CF2">
        <w:rPr>
          <w:rFonts w:cs="Arial"/>
          <w:sz w:val="20"/>
        </w:rPr>
        <w:t xml:space="preserve"> Street</w:t>
      </w:r>
      <w:r w:rsidRPr="00C64CF2">
        <w:rPr>
          <w:rFonts w:cs="Arial"/>
          <w:sz w:val="20"/>
        </w:rPr>
        <w:br/>
        <w:t>Doha, Qatar</w:t>
      </w:r>
      <w:r w:rsidRPr="00C64CF2">
        <w:rPr>
          <w:rFonts w:cs="Arial"/>
          <w:sz w:val="20"/>
        </w:rPr>
        <w:br/>
        <w:t>Tel:</w:t>
      </w:r>
      <w:r w:rsidRPr="00C64CF2">
        <w:rPr>
          <w:rFonts w:cs="Arial"/>
          <w:sz w:val="20"/>
        </w:rPr>
        <w:tab/>
        <w:t>+974 4499 5344</w:t>
      </w:r>
      <w:r w:rsidRPr="00C64CF2">
        <w:rPr>
          <w:rFonts w:cs="Arial"/>
          <w:sz w:val="20"/>
        </w:rPr>
        <w:br/>
        <w:t>Fax:</w:t>
      </w:r>
      <w:r w:rsidRPr="00C64CF2">
        <w:rPr>
          <w:rFonts w:cs="Arial"/>
          <w:sz w:val="20"/>
        </w:rPr>
        <w:tab/>
        <w:t>+974 4493 5913</w:t>
      </w:r>
      <w:r w:rsidRPr="00C64CF2">
        <w:rPr>
          <w:rFonts w:cs="Arial"/>
          <w:sz w:val="20"/>
        </w:rPr>
        <w:br/>
        <w:t xml:space="preserve">E-mail: </w:t>
      </w:r>
      <w:r w:rsidRPr="00C64CF2">
        <w:rPr>
          <w:rFonts w:cs="Arial"/>
          <w:sz w:val="20"/>
        </w:rPr>
        <w:tab/>
        <w:t xml:space="preserve">salkuwari@ict.gov.qa </w:t>
      </w:r>
    </w:p>
    <w:p w:rsidR="00670715" w:rsidRPr="00C64CF2" w:rsidRDefault="00670715">
      <w:pPr>
        <w:rPr>
          <w:rFonts w:cs="Arial"/>
          <w:sz w:val="20"/>
        </w:rPr>
      </w:pPr>
    </w:p>
    <w:sectPr w:rsidR="00670715" w:rsidRPr="00C64CF2" w:rsidSect="006707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Times New Roman"/>
    <w:panose1 w:val="00000000000000000000"/>
    <w:charset w:val="4D"/>
    <w:family w:val="roman"/>
    <w:notTrueType/>
    <w:pitch w:val="default"/>
    <w:sig w:usb0="00000000" w:usb1="0A02889C" w:usb2="00000015" w:usb3="0D07859C" w:csb0="3D78AF95" w:csb1="0D07862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??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20"/>
  <w:characterSpacingControl w:val="doNotCompress"/>
  <w:compat>
    <w:useFELayout/>
  </w:compat>
  <w:rsids>
    <w:rsidRoot w:val="00251D7D"/>
    <w:rsid w:val="00251D7D"/>
    <w:rsid w:val="00670715"/>
    <w:rsid w:val="00821C63"/>
    <w:rsid w:val="008A29C9"/>
    <w:rsid w:val="00AE3A25"/>
    <w:rsid w:val="00B93F82"/>
    <w:rsid w:val="00C64CF2"/>
    <w:rsid w:val="00F13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D7D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51D7D"/>
    <w:rPr>
      <w:color w:val="0000FF"/>
      <w:u w:val="single"/>
    </w:rPr>
  </w:style>
  <w:style w:type="paragraph" w:customStyle="1" w:styleId="Tablehead">
    <w:name w:val="Table head"/>
    <w:basedOn w:val="Normal"/>
    <w:rsid w:val="00251D7D"/>
    <w:pPr>
      <w:keepNext/>
      <w:tabs>
        <w:tab w:val="left" w:pos="1276"/>
        <w:tab w:val="left" w:pos="1843"/>
      </w:tabs>
      <w:spacing w:before="60" w:after="60"/>
      <w:jc w:val="center"/>
      <w:textAlignment w:val="baseline"/>
    </w:pPr>
    <w:rPr>
      <w:rFonts w:ascii="Calibri" w:eastAsia="??" w:hAnsi="Calibri"/>
      <w:i/>
      <w:sz w:val="18"/>
      <w:lang w:val="fr-FR"/>
    </w:rPr>
  </w:style>
  <w:style w:type="paragraph" w:customStyle="1" w:styleId="Tabletext">
    <w:name w:val="Table text"/>
    <w:basedOn w:val="Normal"/>
    <w:rsid w:val="00251D7D"/>
    <w:pPr>
      <w:tabs>
        <w:tab w:val="left" w:pos="1276"/>
        <w:tab w:val="left" w:pos="1843"/>
      </w:tabs>
      <w:spacing w:before="40" w:after="40"/>
      <w:textAlignment w:val="baseline"/>
    </w:pPr>
    <w:rPr>
      <w:rFonts w:ascii="Calibri" w:eastAsia="??" w:hAnsi="Calibri"/>
      <w:bCs/>
      <w:sz w:val="18"/>
      <w:szCs w:val="22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ctqatar.qa/en/department/regulatory-authority/national-numbering-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575</Words>
  <Characters>3280</Characters>
  <Application>Microsoft Office Word</Application>
  <DocSecurity>0</DocSecurity>
  <Lines>27</Lines>
  <Paragraphs>7</Paragraphs>
  <ScaleCrop>false</ScaleCrop>
  <Company>ITU</Company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3</cp:revision>
  <dcterms:created xsi:type="dcterms:W3CDTF">2011-09-21T05:57:00Z</dcterms:created>
  <dcterms:modified xsi:type="dcterms:W3CDTF">2011-09-21T06:01:00Z</dcterms:modified>
</cp:coreProperties>
</file>