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C4F" w:rsidRPr="00066FAB" w:rsidRDefault="00EC7C4F" w:rsidP="00EC7C4F">
      <w:pPr>
        <w:rPr>
          <w:rFonts w:ascii="Arial" w:hAnsi="Arial" w:cs="Arial"/>
          <w:b/>
          <w:bCs/>
          <w:i/>
          <w:iCs/>
        </w:rPr>
      </w:pPr>
      <w:bookmarkStart w:id="0" w:name="_Toc232323914"/>
      <w:r w:rsidRPr="00066FAB">
        <w:rPr>
          <w:rFonts w:ascii="Arial" w:hAnsi="Arial" w:cs="Arial"/>
          <w:b/>
          <w:bCs/>
        </w:rPr>
        <w:t>El Salvador (country code +503)</w:t>
      </w:r>
      <w:bookmarkEnd w:id="0"/>
    </w:p>
    <w:p w:rsidR="00EC7C4F" w:rsidRPr="00066FAB" w:rsidRDefault="00EC7C4F" w:rsidP="00EC7C4F">
      <w:pPr>
        <w:spacing w:before="0"/>
        <w:rPr>
          <w:rFonts w:ascii="Arial" w:hAnsi="Arial" w:cs="Arial"/>
          <w:b/>
          <w:bCs/>
          <w:i/>
          <w:iCs/>
        </w:rPr>
      </w:pPr>
      <w:r w:rsidRPr="00066FAB">
        <w:rPr>
          <w:rFonts w:ascii="Arial" w:hAnsi="Arial" w:cs="Arial"/>
        </w:rPr>
        <w:t>Communication of 24.XI.2011:</w:t>
      </w:r>
    </w:p>
    <w:p w:rsidR="00EC7C4F" w:rsidRPr="00066FAB" w:rsidRDefault="00EC7C4F" w:rsidP="00EC7C4F">
      <w:pPr>
        <w:rPr>
          <w:rFonts w:ascii="Arial" w:hAnsi="Arial" w:cs="Arial"/>
          <w:lang w:val="es-ES_tradnl"/>
        </w:rPr>
      </w:pPr>
      <w:proofErr w:type="spellStart"/>
      <w:r w:rsidRPr="00066FAB">
        <w:rPr>
          <w:rFonts w:ascii="Arial" w:hAnsi="Arial" w:cs="Arial"/>
          <w:lang w:val="es-ES_tradnl"/>
        </w:rPr>
        <w:t>The</w:t>
      </w:r>
      <w:proofErr w:type="spellEnd"/>
      <w:r w:rsidRPr="00066FAB">
        <w:rPr>
          <w:rFonts w:ascii="Arial" w:hAnsi="Arial" w:cs="Arial"/>
          <w:lang w:val="es-ES_tradnl"/>
        </w:rPr>
        <w:t xml:space="preserve"> </w:t>
      </w:r>
      <w:r w:rsidRPr="00066FAB">
        <w:rPr>
          <w:rFonts w:ascii="Arial" w:hAnsi="Arial" w:cs="Arial"/>
          <w:i/>
          <w:lang w:val="es-ES_tradnl"/>
        </w:rPr>
        <w:t xml:space="preserve">Superintendencia General de Electricidad y Telecomunicaciones de </w:t>
      </w:r>
      <w:r w:rsidRPr="00066FAB">
        <w:rPr>
          <w:rFonts w:ascii="Arial" w:hAnsi="Arial" w:cs="Arial"/>
          <w:i/>
          <w:iCs/>
          <w:lang w:val="es-ES_tradnl"/>
        </w:rPr>
        <w:t>El Salvador (SIGET)</w:t>
      </w:r>
      <w:r w:rsidRPr="00066FAB">
        <w:rPr>
          <w:rFonts w:ascii="Arial" w:hAnsi="Arial" w:cs="Arial"/>
          <w:lang w:val="es-ES_tradnl"/>
        </w:rPr>
        <w:t xml:space="preserve">, San Salvador, </w:t>
      </w:r>
      <w:proofErr w:type="spellStart"/>
      <w:r w:rsidRPr="00066FAB">
        <w:rPr>
          <w:rFonts w:ascii="Arial" w:hAnsi="Arial" w:cs="Arial"/>
          <w:lang w:val="es-ES_tradnl"/>
        </w:rPr>
        <w:t>presents</w:t>
      </w:r>
      <w:proofErr w:type="spellEnd"/>
      <w:r w:rsidRPr="00066FAB">
        <w:rPr>
          <w:rFonts w:ascii="Arial" w:hAnsi="Arial" w:cs="Arial"/>
          <w:lang w:val="es-ES_tradnl"/>
        </w:rPr>
        <w:t xml:space="preserve"> </w:t>
      </w:r>
      <w:proofErr w:type="spellStart"/>
      <w:r w:rsidRPr="00066FAB">
        <w:rPr>
          <w:rFonts w:ascii="Arial" w:hAnsi="Arial" w:cs="Arial"/>
          <w:lang w:val="es-ES_tradnl"/>
        </w:rPr>
        <w:t>its</w:t>
      </w:r>
      <w:proofErr w:type="spellEnd"/>
      <w:r w:rsidRPr="00066FAB">
        <w:rPr>
          <w:rFonts w:ascii="Arial" w:hAnsi="Arial" w:cs="Arial"/>
          <w:lang w:val="es-ES_tradnl"/>
        </w:rPr>
        <w:t xml:space="preserve"> </w:t>
      </w:r>
      <w:proofErr w:type="spellStart"/>
      <w:r w:rsidRPr="00066FAB">
        <w:rPr>
          <w:rFonts w:ascii="Arial" w:hAnsi="Arial" w:cs="Arial"/>
          <w:lang w:val="es-ES_tradnl"/>
        </w:rPr>
        <w:t>updated</w:t>
      </w:r>
      <w:proofErr w:type="spellEnd"/>
      <w:r w:rsidRPr="00066FAB">
        <w:rPr>
          <w:rFonts w:ascii="Arial" w:hAnsi="Arial" w:cs="Arial"/>
          <w:lang w:val="es-ES_tradnl"/>
        </w:rPr>
        <w:t xml:space="preserve"> </w:t>
      </w:r>
      <w:proofErr w:type="spellStart"/>
      <w:r w:rsidRPr="00066FAB">
        <w:rPr>
          <w:rFonts w:ascii="Arial" w:hAnsi="Arial" w:cs="Arial"/>
          <w:lang w:val="es-ES_tradnl"/>
        </w:rPr>
        <w:t>National</w:t>
      </w:r>
      <w:proofErr w:type="spellEnd"/>
      <w:r w:rsidRPr="00066FAB">
        <w:rPr>
          <w:rFonts w:ascii="Arial" w:hAnsi="Arial" w:cs="Arial"/>
          <w:lang w:val="es-ES_tradnl"/>
        </w:rPr>
        <w:t xml:space="preserve"> </w:t>
      </w:r>
      <w:proofErr w:type="spellStart"/>
      <w:r w:rsidRPr="00066FAB">
        <w:rPr>
          <w:rFonts w:ascii="Arial" w:hAnsi="Arial" w:cs="Arial"/>
          <w:lang w:val="es-ES_tradnl"/>
        </w:rPr>
        <w:t>Numbering</w:t>
      </w:r>
      <w:proofErr w:type="spellEnd"/>
      <w:r w:rsidRPr="00066FAB">
        <w:rPr>
          <w:rFonts w:ascii="Arial" w:hAnsi="Arial" w:cs="Arial"/>
          <w:lang w:val="es-ES_tradnl"/>
        </w:rPr>
        <w:t xml:space="preserve"> Plan (NNP), in </w:t>
      </w:r>
      <w:proofErr w:type="spellStart"/>
      <w:r w:rsidRPr="00066FAB">
        <w:rPr>
          <w:rFonts w:ascii="Arial" w:hAnsi="Arial" w:cs="Arial"/>
          <w:lang w:val="es-ES_tradnl"/>
        </w:rPr>
        <w:t>force</w:t>
      </w:r>
      <w:proofErr w:type="spellEnd"/>
      <w:r w:rsidRPr="00066FAB">
        <w:rPr>
          <w:rFonts w:ascii="Arial" w:hAnsi="Arial" w:cs="Arial"/>
          <w:lang w:val="es-ES_tradnl"/>
        </w:rPr>
        <w:t xml:space="preserve"> </w:t>
      </w:r>
      <w:proofErr w:type="spellStart"/>
      <w:r w:rsidRPr="00066FAB">
        <w:rPr>
          <w:rFonts w:ascii="Arial" w:hAnsi="Arial" w:cs="Arial"/>
          <w:lang w:val="es-ES_tradnl"/>
        </w:rPr>
        <w:t>since</w:t>
      </w:r>
      <w:proofErr w:type="spellEnd"/>
      <w:r w:rsidRPr="00066FAB">
        <w:rPr>
          <w:rFonts w:ascii="Arial" w:hAnsi="Arial" w:cs="Arial"/>
          <w:lang w:val="es-ES_tradnl"/>
        </w:rPr>
        <w:t xml:space="preserve"> 23 </w:t>
      </w:r>
      <w:proofErr w:type="spellStart"/>
      <w:r w:rsidRPr="00066FAB">
        <w:rPr>
          <w:rFonts w:ascii="Arial" w:hAnsi="Arial" w:cs="Arial"/>
          <w:lang w:val="es-ES_tradnl"/>
        </w:rPr>
        <w:t>November</w:t>
      </w:r>
      <w:proofErr w:type="spellEnd"/>
      <w:r w:rsidRPr="00066FAB">
        <w:rPr>
          <w:rFonts w:ascii="Arial" w:hAnsi="Arial" w:cs="Arial"/>
          <w:lang w:val="es-ES_tradnl"/>
        </w:rPr>
        <w:t xml:space="preserve"> 2011 in El Salvador.</w:t>
      </w:r>
    </w:p>
    <w:p w:rsidR="00EC7C4F" w:rsidRPr="00066FAB" w:rsidRDefault="00EC7C4F" w:rsidP="00EC7C4F">
      <w:pPr>
        <w:rPr>
          <w:rFonts w:ascii="Arial" w:hAnsi="Arial" w:cs="Arial"/>
          <w:b/>
          <w:i/>
          <w:lang w:val="en-US"/>
        </w:rPr>
      </w:pPr>
      <w:r w:rsidRPr="00066FAB">
        <w:rPr>
          <w:rFonts w:ascii="Arial" w:hAnsi="Arial" w:cs="Arial"/>
          <w:lang w:val="en-US"/>
        </w:rPr>
        <w:t>•</w:t>
      </w:r>
      <w:r w:rsidRPr="00066FAB">
        <w:rPr>
          <w:rFonts w:ascii="Arial" w:hAnsi="Arial" w:cs="Arial"/>
          <w:lang w:val="en-US"/>
        </w:rPr>
        <w:tab/>
        <w:t>General description</w:t>
      </w:r>
    </w:p>
    <w:p w:rsidR="00EC7C4F" w:rsidRPr="00066FAB" w:rsidRDefault="00EC7C4F" w:rsidP="00EC7C4F">
      <w:pPr>
        <w:tabs>
          <w:tab w:val="left" w:pos="1134"/>
          <w:tab w:val="left" w:pos="1560"/>
          <w:tab w:val="left" w:pos="2127"/>
        </w:tabs>
        <w:rPr>
          <w:rFonts w:ascii="Arial" w:hAnsi="Arial" w:cs="Arial"/>
        </w:rPr>
      </w:pPr>
      <w:r w:rsidRPr="00066FAB">
        <w:rPr>
          <w:rFonts w:ascii="Arial" w:hAnsi="Arial" w:cs="Arial"/>
        </w:rPr>
        <w:t>The numbering plan for the Republic of El Salvador uses the following numbering structure:</w:t>
      </w:r>
    </w:p>
    <w:p w:rsidR="00EC7C4F" w:rsidRPr="00066FAB" w:rsidRDefault="00EC7C4F" w:rsidP="00EC7C4F">
      <w:pPr>
        <w:pStyle w:val="enumlev1"/>
        <w:rPr>
          <w:rFonts w:ascii="Arial" w:hAnsi="Arial" w:cs="Arial"/>
        </w:rPr>
      </w:pPr>
      <w:r w:rsidRPr="00066FAB">
        <w:rPr>
          <w:rFonts w:ascii="Arial" w:hAnsi="Arial" w:cs="Arial"/>
        </w:rPr>
        <w:t>–</w:t>
      </w:r>
      <w:r w:rsidRPr="00066FAB">
        <w:rPr>
          <w:rFonts w:ascii="Arial" w:hAnsi="Arial" w:cs="Arial"/>
        </w:rPr>
        <w:tab/>
        <w:t>for services provided through access networks, eight (8) digits, including the National Destination Code (NDC),</w:t>
      </w:r>
    </w:p>
    <w:p w:rsidR="00EC7C4F" w:rsidRPr="00066FAB" w:rsidRDefault="00EC7C4F" w:rsidP="00EC7C4F">
      <w:pPr>
        <w:pStyle w:val="enumlev1"/>
        <w:rPr>
          <w:rFonts w:ascii="Arial" w:hAnsi="Arial" w:cs="Arial"/>
        </w:rPr>
      </w:pPr>
      <w:r w:rsidRPr="00066FAB">
        <w:rPr>
          <w:rFonts w:ascii="Arial" w:hAnsi="Arial" w:cs="Arial"/>
        </w:rPr>
        <w:t>–</w:t>
      </w:r>
      <w:r w:rsidRPr="00066FAB">
        <w:rPr>
          <w:rFonts w:ascii="Arial" w:hAnsi="Arial" w:cs="Arial"/>
        </w:rPr>
        <w:tab/>
        <w:t>freephone numbers and premium rate numbers use seven (7) and eleven (11) digits.</w:t>
      </w:r>
    </w:p>
    <w:p w:rsidR="00EC7C4F" w:rsidRPr="00066FAB" w:rsidRDefault="00EC7C4F" w:rsidP="00EC7C4F">
      <w:pPr>
        <w:pStyle w:val="enumlev1"/>
        <w:rPr>
          <w:rFonts w:ascii="Arial" w:hAnsi="Arial" w:cs="Arial"/>
        </w:rPr>
      </w:pPr>
      <w:r w:rsidRPr="00066FAB">
        <w:rPr>
          <w:rFonts w:ascii="Arial" w:hAnsi="Arial" w:cs="Arial"/>
        </w:rPr>
        <w:t>–</w:t>
      </w:r>
      <w:r w:rsidRPr="00066FAB">
        <w:rPr>
          <w:rFonts w:ascii="Arial" w:hAnsi="Arial" w:cs="Arial"/>
        </w:rPr>
        <w:tab/>
        <w:t>numbers for the international long distance service through operator, use seven(7)-digit numbering.</w:t>
      </w:r>
    </w:p>
    <w:p w:rsidR="00EC7C4F" w:rsidRPr="00066FAB" w:rsidRDefault="00EC7C4F" w:rsidP="00EC7C4F">
      <w:pPr>
        <w:pStyle w:val="enumlev1"/>
        <w:rPr>
          <w:rFonts w:ascii="Arial" w:hAnsi="Arial" w:cs="Arial"/>
        </w:rPr>
      </w:pPr>
      <w:r w:rsidRPr="00066FAB">
        <w:rPr>
          <w:rFonts w:ascii="Arial" w:hAnsi="Arial" w:cs="Arial"/>
        </w:rPr>
        <w:t>–</w:t>
      </w:r>
      <w:r w:rsidRPr="00066FAB">
        <w:rPr>
          <w:rFonts w:ascii="Arial" w:hAnsi="Arial" w:cs="Arial"/>
        </w:rPr>
        <w:tab/>
        <w:t>the three(3)-digit numbers are used for the selection code for the multicarrier system and special services.</w:t>
      </w:r>
    </w:p>
    <w:p w:rsidR="00EC7C4F" w:rsidRPr="00066FAB" w:rsidRDefault="00EC7C4F" w:rsidP="00EC7C4F">
      <w:pPr>
        <w:pStyle w:val="enumlev1"/>
        <w:rPr>
          <w:rFonts w:ascii="Arial" w:hAnsi="Arial" w:cs="Arial"/>
        </w:rPr>
      </w:pPr>
      <w:r w:rsidRPr="00066FAB">
        <w:rPr>
          <w:rFonts w:ascii="Arial" w:hAnsi="Arial" w:cs="Arial"/>
        </w:rPr>
        <w:t>–</w:t>
      </w:r>
      <w:r w:rsidRPr="00066FAB">
        <w:rPr>
          <w:rFonts w:ascii="Arial" w:hAnsi="Arial" w:cs="Arial"/>
        </w:rPr>
        <w:tab/>
        <w:t xml:space="preserve">a 6-digit number has been assigned for the children helpline. </w:t>
      </w:r>
    </w:p>
    <w:p w:rsidR="00EC7C4F" w:rsidRPr="00066FAB" w:rsidRDefault="00EC7C4F" w:rsidP="00EC7C4F">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bCs/>
        </w:rPr>
      </w:pPr>
    </w:p>
    <w:p w:rsidR="00EC7C4F" w:rsidRPr="00066FAB" w:rsidRDefault="00EC7C4F" w:rsidP="00EC7C4F">
      <w:pPr>
        <w:rPr>
          <w:rFonts w:ascii="Arial" w:hAnsi="Arial" w:cs="Arial"/>
        </w:rPr>
      </w:pPr>
      <w:r w:rsidRPr="00066FAB">
        <w:rPr>
          <w:rFonts w:ascii="Arial" w:hAnsi="Arial" w:cs="Arial"/>
          <w:bCs/>
          <w:lang w:val="en-US"/>
        </w:rPr>
        <w:t>•</w:t>
      </w:r>
      <w:r w:rsidRPr="00066FAB">
        <w:rPr>
          <w:rFonts w:ascii="Arial" w:hAnsi="Arial" w:cs="Arial"/>
          <w:bCs/>
        </w:rPr>
        <w:tab/>
      </w:r>
      <w:r w:rsidRPr="00066FAB">
        <w:rPr>
          <w:rFonts w:ascii="Arial" w:hAnsi="Arial" w:cs="Arial"/>
        </w:rPr>
        <w:t>National numbering structure and allocation of digits</w:t>
      </w:r>
    </w:p>
    <w:p w:rsidR="00EC7C4F" w:rsidRPr="00066FAB" w:rsidRDefault="00EC7C4F" w:rsidP="00EC7C4F">
      <w:pPr>
        <w:rPr>
          <w:rFonts w:ascii="Arial" w:hAnsi="Arial" w:cs="Arial"/>
        </w:rPr>
      </w:pPr>
      <w:r w:rsidRPr="00066FAB">
        <w:rPr>
          <w:rFonts w:ascii="Arial" w:hAnsi="Arial" w:cs="Arial"/>
        </w:rPr>
        <w:t xml:space="preserve">The number of digits used to identify the fixed or mobile subscriber terminal is eight (8) for any part of the country, using the structure </w:t>
      </w:r>
      <w:r w:rsidRPr="00066FAB">
        <w:rPr>
          <w:rFonts w:ascii="Arial" w:hAnsi="Arial" w:cs="Arial"/>
          <w:bCs/>
        </w:rPr>
        <w:t>(NDC) XYZ1MCDU</w:t>
      </w:r>
      <w:r w:rsidRPr="00066FAB">
        <w:rPr>
          <w:rFonts w:ascii="Arial" w:hAnsi="Arial" w:cs="Arial"/>
        </w:rPr>
        <w:t>, where:</w:t>
      </w:r>
    </w:p>
    <w:p w:rsidR="00EC7C4F" w:rsidRPr="00066FAB" w:rsidRDefault="00EC7C4F" w:rsidP="00EC7C4F">
      <w:pPr>
        <w:rPr>
          <w:rFonts w:ascii="Arial" w:hAnsi="Arial" w:cs="Arial"/>
        </w:rPr>
      </w:pPr>
    </w:p>
    <w:tbl>
      <w:tblPr>
        <w:tblW w:w="9072" w:type="dxa"/>
        <w:jc w:val="center"/>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tblPr>
      <w:tblGrid>
        <w:gridCol w:w="1205"/>
        <w:gridCol w:w="875"/>
        <w:gridCol w:w="1310"/>
        <w:gridCol w:w="1096"/>
        <w:gridCol w:w="292"/>
        <w:gridCol w:w="1254"/>
        <w:gridCol w:w="1165"/>
        <w:gridCol w:w="875"/>
        <w:gridCol w:w="1000"/>
      </w:tblGrid>
      <w:tr w:rsidR="00EC7C4F" w:rsidRPr="00066FAB" w:rsidTr="00E91627">
        <w:trPr>
          <w:tblHeader/>
          <w:jc w:val="center"/>
        </w:trPr>
        <w:tc>
          <w:tcPr>
            <w:tcW w:w="1173" w:type="dxa"/>
            <w:tcBorders>
              <w:top w:val="single" w:sz="4" w:space="0" w:color="auto"/>
              <w:left w:val="single" w:sz="4" w:space="0" w:color="auto"/>
              <w:bottom w:val="single" w:sz="4" w:space="0" w:color="auto"/>
              <w:right w:val="single" w:sz="6" w:space="0" w:color="auto"/>
            </w:tcBorders>
            <w:shd w:val="clear" w:color="auto" w:fill="auto"/>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NDC</w:t>
            </w:r>
          </w:p>
        </w:tc>
        <w:tc>
          <w:tcPr>
            <w:tcW w:w="851" w:type="dxa"/>
            <w:tcBorders>
              <w:top w:val="single" w:sz="4" w:space="0" w:color="auto"/>
              <w:bottom w:val="single" w:sz="4" w:space="0" w:color="auto"/>
              <w:right w:val="single" w:sz="6"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X</w:t>
            </w:r>
          </w:p>
        </w:tc>
        <w:tc>
          <w:tcPr>
            <w:tcW w:w="1275" w:type="dxa"/>
            <w:tcBorders>
              <w:top w:val="single" w:sz="4" w:space="0" w:color="auto"/>
              <w:left w:val="single" w:sz="6" w:space="0" w:color="auto"/>
              <w:bottom w:val="single" w:sz="4" w:space="0" w:color="auto"/>
              <w:right w:val="single" w:sz="6"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Y</w:t>
            </w:r>
          </w:p>
        </w:tc>
        <w:tc>
          <w:tcPr>
            <w:tcW w:w="1067" w:type="dxa"/>
            <w:tcBorders>
              <w:top w:val="single" w:sz="4" w:space="0" w:color="auto"/>
              <w:left w:val="single" w:sz="6" w:space="0" w:color="auto"/>
              <w:bottom w:val="single" w:sz="4" w:space="0" w:color="auto"/>
              <w:right w:val="single" w:sz="4"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Z</w:t>
            </w:r>
          </w:p>
        </w:tc>
        <w:tc>
          <w:tcPr>
            <w:tcW w:w="284" w:type="dxa"/>
            <w:tcBorders>
              <w:top w:val="nil"/>
              <w:left w:val="single" w:sz="4" w:space="0" w:color="auto"/>
              <w:bottom w:val="nil"/>
              <w:right w:val="single" w:sz="4" w:space="0" w:color="auto"/>
            </w:tcBorders>
            <w:shd w:val="clear" w:color="auto" w:fill="auto"/>
            <w:vAlign w:val="center"/>
          </w:tcPr>
          <w:p w:rsidR="00EC7C4F" w:rsidRPr="00066FAB" w:rsidRDefault="00EC7C4F" w:rsidP="00E91627">
            <w:pPr>
              <w:pStyle w:val="Tablehead0"/>
              <w:rPr>
                <w:rFonts w:ascii="Arial" w:hAnsi="Arial" w:cs="Arial"/>
                <w:b/>
                <w:sz w:val="20"/>
              </w:rPr>
            </w:pPr>
          </w:p>
        </w:tc>
        <w:tc>
          <w:tcPr>
            <w:tcW w:w="1220" w:type="dxa"/>
            <w:tcBorders>
              <w:top w:val="single" w:sz="4" w:space="0" w:color="auto"/>
              <w:left w:val="single" w:sz="4" w:space="0" w:color="auto"/>
              <w:bottom w:val="single" w:sz="4" w:space="0" w:color="auto"/>
              <w:right w:val="single" w:sz="6"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M</w:t>
            </w:r>
          </w:p>
        </w:tc>
        <w:tc>
          <w:tcPr>
            <w:tcW w:w="1134" w:type="dxa"/>
            <w:tcBorders>
              <w:top w:val="single" w:sz="4" w:space="0" w:color="auto"/>
              <w:left w:val="single" w:sz="6" w:space="0" w:color="auto"/>
              <w:bottom w:val="single" w:sz="4" w:space="0" w:color="auto"/>
              <w:right w:val="single" w:sz="6"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C</w:t>
            </w:r>
          </w:p>
        </w:tc>
        <w:tc>
          <w:tcPr>
            <w:tcW w:w="851" w:type="dxa"/>
            <w:tcBorders>
              <w:top w:val="single" w:sz="4" w:space="0" w:color="auto"/>
              <w:left w:val="single" w:sz="6" w:space="0" w:color="auto"/>
              <w:bottom w:val="single" w:sz="4" w:space="0" w:color="auto"/>
              <w:right w:val="single" w:sz="6"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D</w:t>
            </w:r>
          </w:p>
        </w:tc>
        <w:tc>
          <w:tcPr>
            <w:tcW w:w="973" w:type="dxa"/>
            <w:tcBorders>
              <w:top w:val="single" w:sz="4" w:space="0" w:color="auto"/>
              <w:left w:val="single" w:sz="6" w:space="0" w:color="auto"/>
              <w:bottom w:val="single" w:sz="4" w:space="0" w:color="auto"/>
              <w:right w:val="single" w:sz="4" w:space="0" w:color="auto"/>
            </w:tcBorders>
            <w:shd w:val="clear" w:color="auto" w:fill="auto"/>
            <w:vAlign w:val="center"/>
          </w:tcPr>
          <w:p w:rsidR="00EC7C4F" w:rsidRPr="00066FAB" w:rsidRDefault="00EC7C4F" w:rsidP="00E91627">
            <w:pPr>
              <w:pStyle w:val="Tablehead0"/>
              <w:rPr>
                <w:rFonts w:ascii="Arial" w:hAnsi="Arial" w:cs="Arial"/>
                <w:b/>
                <w:sz w:val="20"/>
                <w:lang w:eastAsia="es-ES"/>
              </w:rPr>
            </w:pPr>
            <w:r w:rsidRPr="00066FAB">
              <w:rPr>
                <w:rFonts w:ascii="Arial" w:hAnsi="Arial" w:cs="Arial"/>
                <w:sz w:val="20"/>
                <w:lang w:eastAsia="es-ES"/>
              </w:rPr>
              <w:t>U</w:t>
            </w:r>
          </w:p>
        </w:tc>
      </w:tr>
      <w:tr w:rsidR="00EC7C4F" w:rsidRPr="00066FAB" w:rsidTr="00E91627">
        <w:trPr>
          <w:tblHeader/>
          <w:jc w:val="center"/>
        </w:trPr>
        <w:tc>
          <w:tcPr>
            <w:tcW w:w="1173" w:type="dxa"/>
            <w:tcBorders>
              <w:top w:val="single" w:sz="4" w:space="0" w:color="auto"/>
              <w:left w:val="single" w:sz="4" w:space="0" w:color="auto"/>
              <w:bottom w:val="single" w:sz="4" w:space="0" w:color="auto"/>
              <w:right w:val="single" w:sz="6"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National Destination Code</w:t>
            </w:r>
          </w:p>
        </w:tc>
        <w:tc>
          <w:tcPr>
            <w:tcW w:w="851" w:type="dxa"/>
            <w:tcBorders>
              <w:top w:val="single" w:sz="4" w:space="0" w:color="auto"/>
              <w:bottom w:val="single" w:sz="4" w:space="0" w:color="auto"/>
              <w:right w:val="single" w:sz="6"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Millions</w:t>
            </w:r>
          </w:p>
        </w:tc>
        <w:tc>
          <w:tcPr>
            <w:tcW w:w="1275" w:type="dxa"/>
            <w:tcBorders>
              <w:top w:val="single" w:sz="4" w:space="0" w:color="auto"/>
              <w:left w:val="single" w:sz="6" w:space="0" w:color="auto"/>
              <w:bottom w:val="single" w:sz="4" w:space="0" w:color="auto"/>
              <w:right w:val="single" w:sz="6"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Hundreds of thousands</w:t>
            </w:r>
          </w:p>
        </w:tc>
        <w:tc>
          <w:tcPr>
            <w:tcW w:w="1067" w:type="dxa"/>
            <w:tcBorders>
              <w:top w:val="single" w:sz="4" w:space="0" w:color="auto"/>
              <w:left w:val="single" w:sz="6" w:space="0" w:color="auto"/>
              <w:bottom w:val="single" w:sz="4" w:space="0" w:color="auto"/>
              <w:right w:val="single" w:sz="4"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Tens of thousands</w:t>
            </w:r>
          </w:p>
        </w:tc>
        <w:tc>
          <w:tcPr>
            <w:tcW w:w="284" w:type="dxa"/>
            <w:tcBorders>
              <w:top w:val="nil"/>
              <w:left w:val="single" w:sz="4" w:space="0" w:color="auto"/>
              <w:bottom w:val="nil"/>
              <w:right w:val="single" w:sz="4" w:space="0" w:color="auto"/>
            </w:tcBorders>
          </w:tcPr>
          <w:p w:rsidR="00EC7C4F" w:rsidRPr="00066FAB" w:rsidRDefault="00EC7C4F" w:rsidP="00E91627">
            <w:pPr>
              <w:pStyle w:val="TableText1"/>
              <w:rPr>
                <w:rFonts w:ascii="Arial" w:hAnsi="Arial" w:cs="Arial"/>
                <w:b/>
                <w:sz w:val="20"/>
                <w:lang w:val="es-ES_tradnl"/>
              </w:rPr>
            </w:pPr>
          </w:p>
        </w:tc>
        <w:tc>
          <w:tcPr>
            <w:tcW w:w="1220" w:type="dxa"/>
            <w:tcBorders>
              <w:top w:val="single" w:sz="4" w:space="0" w:color="auto"/>
              <w:left w:val="single" w:sz="4" w:space="0" w:color="auto"/>
              <w:bottom w:val="single" w:sz="4" w:space="0" w:color="auto"/>
              <w:right w:val="single" w:sz="6"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Thousands</w:t>
            </w:r>
          </w:p>
        </w:tc>
        <w:tc>
          <w:tcPr>
            <w:tcW w:w="1134" w:type="dxa"/>
            <w:tcBorders>
              <w:top w:val="single" w:sz="4" w:space="0" w:color="auto"/>
              <w:left w:val="single" w:sz="6" w:space="0" w:color="auto"/>
              <w:bottom w:val="single" w:sz="4" w:space="0" w:color="auto"/>
              <w:right w:val="single" w:sz="6"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Hundreds</w:t>
            </w:r>
          </w:p>
        </w:tc>
        <w:tc>
          <w:tcPr>
            <w:tcW w:w="851" w:type="dxa"/>
            <w:tcBorders>
              <w:top w:val="single" w:sz="4" w:space="0" w:color="auto"/>
              <w:left w:val="single" w:sz="6" w:space="0" w:color="auto"/>
              <w:bottom w:val="single" w:sz="4" w:space="0" w:color="auto"/>
              <w:right w:val="single" w:sz="6"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Tens</w:t>
            </w:r>
          </w:p>
        </w:tc>
        <w:tc>
          <w:tcPr>
            <w:tcW w:w="973" w:type="dxa"/>
            <w:tcBorders>
              <w:top w:val="single" w:sz="4" w:space="0" w:color="auto"/>
              <w:left w:val="single" w:sz="6" w:space="0" w:color="auto"/>
              <w:bottom w:val="single" w:sz="4" w:space="0" w:color="auto"/>
              <w:right w:val="single" w:sz="4" w:space="0" w:color="auto"/>
            </w:tcBorders>
          </w:tcPr>
          <w:p w:rsidR="00EC7C4F" w:rsidRPr="00066FAB" w:rsidRDefault="00EC7C4F" w:rsidP="00E91627">
            <w:pPr>
              <w:pStyle w:val="TableText1"/>
              <w:rPr>
                <w:rFonts w:ascii="Arial" w:hAnsi="Arial" w:cs="Arial"/>
                <w:b/>
                <w:sz w:val="20"/>
                <w:lang w:val="es-ES_tradnl"/>
              </w:rPr>
            </w:pPr>
            <w:r w:rsidRPr="00066FAB">
              <w:rPr>
                <w:rFonts w:ascii="Arial" w:hAnsi="Arial" w:cs="Arial"/>
                <w:sz w:val="20"/>
              </w:rPr>
              <w:t>Units</w:t>
            </w:r>
          </w:p>
        </w:tc>
      </w:tr>
    </w:tbl>
    <w:p w:rsidR="00EC7C4F" w:rsidRPr="00066FAB" w:rsidRDefault="00EC7C4F" w:rsidP="00EC7C4F">
      <w:pPr>
        <w:spacing w:after="80"/>
        <w:rPr>
          <w:rFonts w:ascii="Arial" w:hAnsi="Arial" w:cs="Arial"/>
        </w:rPr>
      </w:pPr>
      <w:bookmarkStart w:id="1" w:name="_Toc231201279"/>
      <w:r w:rsidRPr="00066FAB">
        <w:rPr>
          <w:rFonts w:ascii="Arial" w:hAnsi="Arial" w:cs="Arial"/>
          <w:lang w:val="en-US"/>
        </w:rPr>
        <w:t>•</w:t>
      </w:r>
      <w:r w:rsidRPr="00066FAB">
        <w:rPr>
          <w:rFonts w:ascii="Arial" w:hAnsi="Arial" w:cs="Arial"/>
        </w:rPr>
        <w:tab/>
      </w:r>
      <w:bookmarkEnd w:id="1"/>
      <w:r w:rsidRPr="00066FAB">
        <w:rPr>
          <w:rFonts w:ascii="Arial" w:hAnsi="Arial" w:cs="Arial"/>
        </w:rPr>
        <w:t>Allocation of the National Destination Code (NDC) in fixed and mobile networks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443"/>
        <w:gridCol w:w="3629"/>
      </w:tblGrid>
      <w:tr w:rsidR="00EC7C4F" w:rsidRPr="00066FAB" w:rsidTr="00E91627">
        <w:trPr>
          <w:trHeight w:val="448"/>
          <w:tblHeader/>
          <w:jc w:val="center"/>
        </w:trPr>
        <w:tc>
          <w:tcPr>
            <w:tcW w:w="5443" w:type="dxa"/>
            <w:shd w:val="clear" w:color="auto" w:fill="auto"/>
            <w:vAlign w:val="center"/>
          </w:tcPr>
          <w:p w:rsidR="00EC7C4F" w:rsidRPr="00066FAB" w:rsidRDefault="00EC7C4F" w:rsidP="00E91627">
            <w:pPr>
              <w:pStyle w:val="Tablehead0"/>
              <w:rPr>
                <w:rFonts w:ascii="Arial" w:hAnsi="Arial" w:cs="Arial"/>
                <w:b/>
                <w:sz w:val="20"/>
                <w:lang w:val="es-ES_tradnl" w:eastAsia="es-ES"/>
              </w:rPr>
            </w:pPr>
            <w:r w:rsidRPr="00066FAB">
              <w:rPr>
                <w:rFonts w:ascii="Arial" w:hAnsi="Arial" w:cs="Arial"/>
                <w:sz w:val="20"/>
                <w:lang w:eastAsia="es-ES"/>
              </w:rPr>
              <w:t>National Destination Code</w:t>
            </w:r>
            <w:r w:rsidRPr="00066FAB">
              <w:rPr>
                <w:rFonts w:ascii="Arial" w:hAnsi="Arial" w:cs="Arial"/>
                <w:sz w:val="20"/>
                <w:lang w:eastAsia="es-ES"/>
              </w:rPr>
              <w:br/>
              <w:t>(NDC)</w:t>
            </w:r>
          </w:p>
        </w:tc>
        <w:tc>
          <w:tcPr>
            <w:tcW w:w="3629" w:type="dxa"/>
            <w:shd w:val="clear" w:color="auto" w:fill="auto"/>
            <w:vAlign w:val="center"/>
          </w:tcPr>
          <w:p w:rsidR="00EC7C4F" w:rsidRPr="00066FAB" w:rsidRDefault="00EC7C4F" w:rsidP="00E91627">
            <w:pPr>
              <w:pStyle w:val="Tablehead0"/>
              <w:rPr>
                <w:rFonts w:ascii="Arial" w:hAnsi="Arial" w:cs="Arial"/>
                <w:b/>
                <w:sz w:val="20"/>
                <w:lang w:val="es-ES_tradnl"/>
              </w:rPr>
            </w:pPr>
            <w:r w:rsidRPr="00066FAB">
              <w:rPr>
                <w:rFonts w:ascii="Arial" w:hAnsi="Arial" w:cs="Arial"/>
                <w:sz w:val="20"/>
                <w:lang w:eastAsia="es-ES"/>
              </w:rPr>
              <w:t>Type of network</w:t>
            </w:r>
          </w:p>
        </w:tc>
      </w:tr>
      <w:tr w:rsidR="00EC7C4F" w:rsidRPr="00066FAB" w:rsidTr="00E91627">
        <w:trPr>
          <w:trHeight w:val="403"/>
          <w:tblHeader/>
          <w:jc w:val="center"/>
        </w:trPr>
        <w:tc>
          <w:tcPr>
            <w:tcW w:w="5443" w:type="dxa"/>
            <w:vAlign w:val="center"/>
          </w:tcPr>
          <w:p w:rsidR="00EC7C4F" w:rsidRPr="00066FAB" w:rsidRDefault="00EC7C4F" w:rsidP="00E91627">
            <w:pPr>
              <w:pStyle w:val="Tabletext0"/>
              <w:rPr>
                <w:rFonts w:ascii="Arial" w:hAnsi="Arial" w:cs="Arial"/>
                <w:sz w:val="20"/>
                <w:szCs w:val="20"/>
                <w:lang w:eastAsia="es-ES"/>
              </w:rPr>
            </w:pPr>
            <w:r w:rsidRPr="00066FAB">
              <w:rPr>
                <w:rFonts w:ascii="Arial" w:hAnsi="Arial" w:cs="Arial"/>
                <w:sz w:val="20"/>
                <w:szCs w:val="20"/>
                <w:lang w:eastAsia="es-ES"/>
              </w:rPr>
              <w:t>2</w:t>
            </w:r>
          </w:p>
        </w:tc>
        <w:tc>
          <w:tcPr>
            <w:tcW w:w="3629" w:type="dxa"/>
            <w:vAlign w:val="center"/>
          </w:tcPr>
          <w:p w:rsidR="00EC7C4F" w:rsidRPr="00066FAB" w:rsidRDefault="00EC7C4F" w:rsidP="00E91627">
            <w:pPr>
              <w:pStyle w:val="Tabletext0"/>
              <w:rPr>
                <w:rFonts w:ascii="Arial" w:hAnsi="Arial" w:cs="Arial"/>
                <w:sz w:val="20"/>
                <w:szCs w:val="20"/>
                <w:lang w:eastAsia="es-ES"/>
              </w:rPr>
            </w:pPr>
            <w:r w:rsidRPr="00066FAB">
              <w:rPr>
                <w:rFonts w:ascii="Arial" w:hAnsi="Arial" w:cs="Arial"/>
                <w:sz w:val="20"/>
                <w:szCs w:val="20"/>
                <w:lang w:val="en-GB" w:eastAsia="es-ES"/>
              </w:rPr>
              <w:t>Fixed</w:t>
            </w:r>
          </w:p>
        </w:tc>
      </w:tr>
      <w:tr w:rsidR="00EC7C4F" w:rsidRPr="00066FAB" w:rsidTr="00E91627">
        <w:trPr>
          <w:trHeight w:val="380"/>
          <w:tblHeader/>
          <w:jc w:val="center"/>
        </w:trPr>
        <w:tc>
          <w:tcPr>
            <w:tcW w:w="5443" w:type="dxa"/>
            <w:vAlign w:val="center"/>
          </w:tcPr>
          <w:p w:rsidR="00EC7C4F" w:rsidRPr="00066FAB" w:rsidRDefault="00EC7C4F" w:rsidP="00E91627">
            <w:pPr>
              <w:pStyle w:val="Tabletext0"/>
              <w:rPr>
                <w:rFonts w:ascii="Arial" w:hAnsi="Arial" w:cs="Arial"/>
                <w:sz w:val="20"/>
                <w:szCs w:val="20"/>
                <w:lang w:eastAsia="es-ES"/>
              </w:rPr>
            </w:pPr>
            <w:r w:rsidRPr="00066FAB">
              <w:rPr>
                <w:rFonts w:ascii="Arial" w:hAnsi="Arial" w:cs="Arial"/>
                <w:sz w:val="20"/>
                <w:szCs w:val="20"/>
                <w:lang w:eastAsia="es-ES"/>
              </w:rPr>
              <w:t>6 , 7</w:t>
            </w:r>
          </w:p>
        </w:tc>
        <w:tc>
          <w:tcPr>
            <w:tcW w:w="3629" w:type="dxa"/>
            <w:vAlign w:val="center"/>
          </w:tcPr>
          <w:p w:rsidR="00EC7C4F" w:rsidRPr="00066FAB" w:rsidRDefault="00EC7C4F" w:rsidP="00E91627">
            <w:pPr>
              <w:pStyle w:val="Tabletext0"/>
              <w:rPr>
                <w:rFonts w:ascii="Arial" w:hAnsi="Arial" w:cs="Arial"/>
                <w:sz w:val="20"/>
                <w:szCs w:val="20"/>
                <w:lang w:eastAsia="es-ES"/>
              </w:rPr>
            </w:pPr>
            <w:r w:rsidRPr="00066FAB">
              <w:rPr>
                <w:rFonts w:ascii="Arial" w:hAnsi="Arial" w:cs="Arial"/>
                <w:sz w:val="20"/>
                <w:szCs w:val="20"/>
                <w:lang w:eastAsia="es-ES"/>
              </w:rPr>
              <w:t>Mobile</w:t>
            </w:r>
          </w:p>
        </w:tc>
      </w:tr>
    </w:tbl>
    <w:p w:rsidR="00EC7C4F" w:rsidRPr="00066FAB" w:rsidRDefault="00EC7C4F" w:rsidP="00EC7C4F">
      <w:pPr>
        <w:rPr>
          <w:rFonts w:ascii="Arial" w:hAnsi="Arial" w:cs="Arial"/>
          <w:b/>
        </w:rPr>
      </w:pPr>
      <w:bookmarkStart w:id="2" w:name="_Toc75583180"/>
      <w:bookmarkStart w:id="3" w:name="_Toc231201281"/>
      <w:r w:rsidRPr="00066FAB">
        <w:rPr>
          <w:rFonts w:ascii="Arial" w:hAnsi="Arial" w:cs="Arial"/>
          <w:lang w:val="es-ES_tradnl"/>
        </w:rPr>
        <w:t>•</w:t>
      </w:r>
      <w:r w:rsidRPr="00066FAB">
        <w:rPr>
          <w:rFonts w:ascii="Arial" w:hAnsi="Arial" w:cs="Arial"/>
          <w:lang w:val="en-US"/>
        </w:rPr>
        <w:tab/>
      </w:r>
      <w:bookmarkEnd w:id="2"/>
      <w:bookmarkEnd w:id="3"/>
      <w:r w:rsidRPr="00066FAB">
        <w:rPr>
          <w:rFonts w:ascii="Arial" w:hAnsi="Arial" w:cs="Arial"/>
        </w:rPr>
        <w:t>Numbering for national fixed telephony</w:t>
      </w:r>
    </w:p>
    <w:p w:rsidR="00EC7C4F" w:rsidRPr="00066FAB" w:rsidRDefault="00EC7C4F" w:rsidP="00EC7C4F">
      <w:pPr>
        <w:rPr>
          <w:rFonts w:ascii="Arial" w:hAnsi="Arial" w:cs="Arial"/>
        </w:rPr>
      </w:pPr>
      <w:bookmarkStart w:id="4" w:name="_Toc231201282"/>
      <w:r w:rsidRPr="00066FAB">
        <w:rPr>
          <w:rFonts w:ascii="Arial" w:hAnsi="Arial" w:cs="Arial"/>
        </w:rPr>
        <w:t>For the purposes of numbering allocation for fixed telephony, El Salvador has been divided into four geographic areas: Western, Central, Eastern and Metropolitan.</w:t>
      </w:r>
    </w:p>
    <w:p w:rsidR="00EC7C4F" w:rsidRPr="00066FAB" w:rsidRDefault="00EC7C4F" w:rsidP="00EC7C4F">
      <w:pPr>
        <w:rPr>
          <w:rFonts w:ascii="Arial" w:hAnsi="Arial" w:cs="Arial"/>
        </w:rPr>
      </w:pPr>
      <w:r w:rsidRPr="00066FAB">
        <w:rPr>
          <w:rFonts w:ascii="Arial" w:hAnsi="Arial" w:cs="Arial"/>
        </w:rPr>
        <w:t xml:space="preserve">Allocation of digit </w:t>
      </w:r>
      <w:r w:rsidRPr="00066FAB">
        <w:rPr>
          <w:rFonts w:ascii="Arial" w:hAnsi="Arial" w:cs="Arial"/>
          <w:bCs/>
        </w:rPr>
        <w:t xml:space="preserve">X </w:t>
      </w:r>
      <w:r w:rsidRPr="00066FAB">
        <w:rPr>
          <w:rFonts w:ascii="Arial" w:hAnsi="Arial" w:cs="Arial"/>
        </w:rPr>
        <w:t xml:space="preserve">within the structure of eight-digit numbers </w:t>
      </w:r>
      <w:r w:rsidRPr="00066FAB">
        <w:rPr>
          <w:rFonts w:ascii="Arial" w:hAnsi="Arial" w:cs="Arial"/>
          <w:bCs/>
        </w:rPr>
        <w:t>(NDC) XYZ1MCDU</w:t>
      </w:r>
      <w:r w:rsidRPr="00066FAB">
        <w:rPr>
          <w:rFonts w:ascii="Arial" w:hAnsi="Arial" w:cs="Arial"/>
        </w:rPr>
        <w:t xml:space="preserve"> for the fixed telephony service:</w:t>
      </w:r>
    </w:p>
    <w:p w:rsidR="00EC7C4F" w:rsidRPr="00066FAB" w:rsidRDefault="00EC7C4F" w:rsidP="00EC7C4F">
      <w:pPr>
        <w:rPr>
          <w:rFonts w:ascii="Arial" w:hAnsi="Arial" w:cs="Arial"/>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BF"/>
      </w:tblPr>
      <w:tblGrid>
        <w:gridCol w:w="1210"/>
        <w:gridCol w:w="7862"/>
      </w:tblGrid>
      <w:tr w:rsidR="00EC7C4F" w:rsidRPr="00066FAB" w:rsidTr="00066FAB">
        <w:trPr>
          <w:trHeight w:val="20"/>
          <w:tblHeader/>
          <w:jc w:val="center"/>
        </w:trPr>
        <w:tc>
          <w:tcPr>
            <w:tcW w:w="1134" w:type="dxa"/>
            <w:tcBorders>
              <w:left w:val="single" w:sz="4" w:space="0" w:color="auto"/>
            </w:tcBorders>
            <w:shd w:val="clear" w:color="auto" w:fill="auto"/>
            <w:vAlign w:val="center"/>
          </w:tcPr>
          <w:bookmarkEnd w:id="4"/>
          <w:p w:rsidR="00EC7C4F" w:rsidRPr="00066FAB" w:rsidRDefault="00EC7C4F" w:rsidP="00E91627">
            <w:pPr>
              <w:pStyle w:val="Tablehead0"/>
              <w:rPr>
                <w:rFonts w:ascii="Arial" w:hAnsi="Arial" w:cs="Arial"/>
                <w:b/>
                <w:sz w:val="20"/>
                <w:lang w:val="es-ES_tradnl" w:eastAsia="es-ES"/>
              </w:rPr>
            </w:pPr>
            <w:r w:rsidRPr="00066FAB">
              <w:rPr>
                <w:rFonts w:ascii="Arial" w:hAnsi="Arial" w:cs="Arial"/>
                <w:sz w:val="20"/>
                <w:lang w:eastAsia="es-ES"/>
              </w:rPr>
              <w:t>Digit X</w:t>
            </w:r>
          </w:p>
        </w:tc>
        <w:tc>
          <w:tcPr>
            <w:tcW w:w="7371" w:type="dxa"/>
            <w:tcBorders>
              <w:right w:val="single" w:sz="4" w:space="0" w:color="auto"/>
            </w:tcBorders>
            <w:shd w:val="clear" w:color="auto" w:fill="auto"/>
            <w:vAlign w:val="center"/>
          </w:tcPr>
          <w:p w:rsidR="00EC7C4F" w:rsidRPr="00066FAB" w:rsidRDefault="00EC7C4F" w:rsidP="00E91627">
            <w:pPr>
              <w:pStyle w:val="Tablehead0"/>
              <w:rPr>
                <w:rFonts w:ascii="Arial" w:hAnsi="Arial" w:cs="Arial"/>
                <w:b/>
                <w:sz w:val="20"/>
                <w:lang w:val="en-US" w:eastAsia="es-ES"/>
              </w:rPr>
            </w:pPr>
            <w:r w:rsidRPr="00066FAB">
              <w:rPr>
                <w:rFonts w:ascii="Arial" w:hAnsi="Arial" w:cs="Arial"/>
                <w:sz w:val="20"/>
                <w:lang w:val="en-US" w:eastAsia="es-ES"/>
              </w:rPr>
              <w:t xml:space="preserve">Use within the structure (2) XYZ1MCDU </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0</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Not used in this structure – reserved for future use.</w:t>
            </w:r>
          </w:p>
        </w:tc>
      </w:tr>
      <w:tr w:rsidR="00EC7C4F" w:rsidRPr="00066FAB" w:rsidTr="00066FAB">
        <w:trPr>
          <w:trHeight w:val="20"/>
          <w:jc w:val="center"/>
        </w:trPr>
        <w:tc>
          <w:tcPr>
            <w:tcW w:w="1134" w:type="dxa"/>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1, 2 and 5</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Used for identifying the fixed telephony service in any locality within the Metropolitan area known as “Gran San Salvador”.</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3</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Used for identifying the fixed telephony service in any locality within the Central area</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4</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Used for identifying the fixed telephony service in any locality within the Western area</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6</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Used for identifying the fixed telephony service in any locality within the Eastern area</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lastRenderedPageBreak/>
              <w:t>7</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For future use in the Eastern area</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8</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For future use in the Western area</w:t>
            </w:r>
          </w:p>
        </w:tc>
      </w:tr>
      <w:tr w:rsidR="00EC7C4F" w:rsidRPr="00066FAB" w:rsidTr="00066FAB">
        <w:trPr>
          <w:trHeight w:val="20"/>
          <w:jc w:val="center"/>
        </w:trPr>
        <w:tc>
          <w:tcPr>
            <w:tcW w:w="1134" w:type="dxa"/>
            <w:vAlign w:val="center"/>
          </w:tcPr>
          <w:p w:rsidR="00EC7C4F" w:rsidRPr="00066FAB" w:rsidRDefault="00EC7C4F" w:rsidP="00E91627">
            <w:pPr>
              <w:pStyle w:val="TableText1"/>
              <w:rPr>
                <w:rFonts w:ascii="Arial" w:hAnsi="Arial" w:cs="Arial"/>
                <w:sz w:val="20"/>
                <w:lang w:val="es-ES_tradnl" w:eastAsia="es-ES"/>
              </w:rPr>
            </w:pPr>
            <w:r w:rsidRPr="00066FAB">
              <w:rPr>
                <w:rFonts w:ascii="Arial" w:hAnsi="Arial" w:cs="Arial"/>
                <w:sz w:val="20"/>
                <w:lang w:val="es-ES_tradnl" w:eastAsia="es-ES"/>
              </w:rPr>
              <w:t>9</w:t>
            </w:r>
          </w:p>
        </w:tc>
        <w:tc>
          <w:tcPr>
            <w:tcW w:w="7371" w:type="dxa"/>
            <w:vAlign w:val="center"/>
          </w:tcPr>
          <w:p w:rsidR="00EC7C4F" w:rsidRPr="00066FAB" w:rsidRDefault="00EC7C4F" w:rsidP="00E91627">
            <w:pPr>
              <w:pStyle w:val="TableText1"/>
              <w:rPr>
                <w:rFonts w:ascii="Arial" w:hAnsi="Arial" w:cs="Arial"/>
                <w:sz w:val="20"/>
                <w:lang w:val="en-US" w:eastAsia="es-ES"/>
              </w:rPr>
            </w:pPr>
            <w:r w:rsidRPr="00066FAB">
              <w:rPr>
                <w:rFonts w:ascii="Arial" w:hAnsi="Arial" w:cs="Arial"/>
                <w:sz w:val="20"/>
              </w:rPr>
              <w:t>For future use in the Central area</w:t>
            </w:r>
          </w:p>
        </w:tc>
      </w:tr>
    </w:tbl>
    <w:p w:rsidR="00EC7C4F" w:rsidRPr="00066FAB" w:rsidRDefault="00EC7C4F" w:rsidP="00EC7C4F">
      <w:pPr>
        <w:rPr>
          <w:rFonts w:ascii="Arial" w:hAnsi="Arial" w:cs="Arial"/>
          <w:lang w:val="en-US"/>
        </w:rPr>
      </w:pPr>
      <w:bookmarkStart w:id="5" w:name="_Toc231201283"/>
      <w:r w:rsidRPr="00066FAB">
        <w:rPr>
          <w:rFonts w:ascii="Arial" w:hAnsi="Arial" w:cs="Arial"/>
          <w:lang w:val="en-US"/>
        </w:rPr>
        <w:t>•</w:t>
      </w:r>
      <w:r w:rsidRPr="00066FAB">
        <w:rPr>
          <w:rFonts w:ascii="Arial" w:hAnsi="Arial" w:cs="Arial"/>
          <w:lang w:val="en-US"/>
        </w:rPr>
        <w:tab/>
      </w:r>
      <w:bookmarkEnd w:id="5"/>
      <w:r w:rsidRPr="00066FAB">
        <w:rPr>
          <w:rFonts w:ascii="Arial" w:hAnsi="Arial" w:cs="Arial"/>
        </w:rPr>
        <w:t>Numbering for mobile telephony</w:t>
      </w:r>
    </w:p>
    <w:p w:rsidR="00EC7C4F" w:rsidRPr="00066FAB" w:rsidRDefault="00EC7C4F" w:rsidP="00EC7C4F">
      <w:pPr>
        <w:rPr>
          <w:rFonts w:ascii="Arial" w:hAnsi="Arial" w:cs="Arial"/>
        </w:rPr>
      </w:pPr>
      <w:r w:rsidRPr="00066FAB">
        <w:rPr>
          <w:rFonts w:ascii="Arial" w:hAnsi="Arial" w:cs="Arial"/>
        </w:rPr>
        <w:t>Allocation of digit X within the structure of eight-digit numbers (NDC) XYZ1MCDU for the mobile telephony service:</w:t>
      </w:r>
    </w:p>
    <w:p w:rsidR="00EC7C4F" w:rsidRPr="00066FAB" w:rsidRDefault="00EC7C4F" w:rsidP="00EC7C4F">
      <w:pPr>
        <w:rPr>
          <w:rFonts w:ascii="Arial" w:hAnsi="Arial" w:cs="Arial"/>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3023"/>
        <w:gridCol w:w="604"/>
        <w:gridCol w:w="605"/>
        <w:gridCol w:w="605"/>
        <w:gridCol w:w="605"/>
        <w:gridCol w:w="605"/>
        <w:gridCol w:w="605"/>
        <w:gridCol w:w="605"/>
        <w:gridCol w:w="605"/>
        <w:gridCol w:w="605"/>
        <w:gridCol w:w="605"/>
      </w:tblGrid>
      <w:tr w:rsidR="00EC7C4F" w:rsidRPr="00066FAB" w:rsidTr="00E91627">
        <w:trPr>
          <w:trHeight w:val="20"/>
          <w:tblHeader/>
          <w:jc w:val="center"/>
        </w:trPr>
        <w:tc>
          <w:tcPr>
            <w:tcW w:w="2835" w:type="dxa"/>
            <w:tcBorders>
              <w:left w:val="single" w:sz="4" w:space="0" w:color="auto"/>
            </w:tcBorders>
            <w:shd w:val="clear" w:color="auto" w:fill="auto"/>
            <w:vAlign w:val="center"/>
          </w:tcPr>
          <w:p w:rsidR="00EC7C4F" w:rsidRPr="00066FAB" w:rsidRDefault="00EC7C4F" w:rsidP="00E91627">
            <w:pPr>
              <w:pStyle w:val="Tablehead0"/>
              <w:rPr>
                <w:rFonts w:ascii="Arial" w:hAnsi="Arial" w:cs="Arial"/>
                <w:b/>
                <w:sz w:val="20"/>
              </w:rPr>
            </w:pPr>
            <w:bookmarkStart w:id="6" w:name="_Toc231201284"/>
            <w:r w:rsidRPr="00066FAB">
              <w:rPr>
                <w:rFonts w:ascii="Arial" w:hAnsi="Arial" w:cs="Arial"/>
                <w:sz w:val="20"/>
                <w:lang w:val="en-GB"/>
              </w:rPr>
              <w:t>Structure</w:t>
            </w:r>
            <w:r w:rsidRPr="00066FAB">
              <w:rPr>
                <w:rFonts w:ascii="Arial" w:hAnsi="Arial" w:cs="Arial"/>
                <w:sz w:val="20"/>
              </w:rPr>
              <w:t xml:space="preserve"> (6 ,7) XYZ MCDU</w:t>
            </w:r>
            <w:bookmarkEnd w:id="6"/>
          </w:p>
        </w:tc>
        <w:tc>
          <w:tcPr>
            <w:tcW w:w="5670" w:type="dxa"/>
            <w:gridSpan w:val="10"/>
            <w:tcBorders>
              <w:right w:val="single" w:sz="4" w:space="0" w:color="auto"/>
            </w:tcBorders>
            <w:shd w:val="clear" w:color="auto" w:fill="auto"/>
            <w:vAlign w:val="center"/>
          </w:tcPr>
          <w:p w:rsidR="00EC7C4F" w:rsidRPr="00066FAB" w:rsidRDefault="00EC7C4F" w:rsidP="00E91627">
            <w:pPr>
              <w:pStyle w:val="Tablehead0"/>
              <w:rPr>
                <w:rFonts w:ascii="Arial" w:hAnsi="Arial" w:cs="Arial"/>
                <w:b/>
                <w:sz w:val="20"/>
              </w:rPr>
            </w:pPr>
            <w:r w:rsidRPr="00066FAB">
              <w:rPr>
                <w:rFonts w:ascii="Arial" w:hAnsi="Arial" w:cs="Arial"/>
                <w:sz w:val="20"/>
              </w:rPr>
              <w:t>Digit X</w:t>
            </w:r>
          </w:p>
        </w:tc>
      </w:tr>
      <w:tr w:rsidR="00EC7C4F" w:rsidRPr="00066FAB" w:rsidTr="00E91627">
        <w:trPr>
          <w:trHeight w:val="20"/>
          <w:tblHeader/>
          <w:jc w:val="center"/>
        </w:trPr>
        <w:tc>
          <w:tcPr>
            <w:tcW w:w="2835" w:type="dxa"/>
            <w:vAlign w:val="center"/>
          </w:tcPr>
          <w:p w:rsidR="00EC7C4F" w:rsidRPr="00066FAB" w:rsidRDefault="00EC7C4F" w:rsidP="00E91627">
            <w:pPr>
              <w:pStyle w:val="TableText1"/>
              <w:rPr>
                <w:rFonts w:ascii="Arial" w:hAnsi="Arial" w:cs="Arial"/>
                <w:b/>
                <w:sz w:val="20"/>
                <w:lang w:val="es-ES_tradnl"/>
              </w:rPr>
            </w:pPr>
            <w:bookmarkStart w:id="7" w:name="_Toc231201285"/>
            <w:proofErr w:type="spellStart"/>
            <w:r w:rsidRPr="00066FAB">
              <w:rPr>
                <w:rFonts w:ascii="Arial" w:hAnsi="Arial" w:cs="Arial"/>
                <w:sz w:val="20"/>
                <w:lang w:val="es-ES_tradnl"/>
              </w:rPr>
              <w:t>M</w:t>
            </w:r>
            <w:bookmarkEnd w:id="7"/>
            <w:r w:rsidRPr="00066FAB">
              <w:rPr>
                <w:rFonts w:ascii="Arial" w:hAnsi="Arial" w:cs="Arial"/>
                <w:sz w:val="20"/>
                <w:lang w:val="es-ES_tradnl"/>
              </w:rPr>
              <w:t>obiles</w:t>
            </w:r>
            <w:proofErr w:type="spellEnd"/>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0</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1</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2</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3</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4</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5</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6</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7</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8</w:t>
            </w:r>
          </w:p>
        </w:tc>
        <w:tc>
          <w:tcPr>
            <w:tcW w:w="567" w:type="dxa"/>
            <w:vAlign w:val="center"/>
          </w:tcPr>
          <w:p w:rsidR="00EC7C4F" w:rsidRPr="00066FAB" w:rsidRDefault="00EC7C4F" w:rsidP="00E91627">
            <w:pPr>
              <w:pStyle w:val="TableText1"/>
              <w:rPr>
                <w:rFonts w:ascii="Arial" w:hAnsi="Arial" w:cs="Arial"/>
                <w:b/>
                <w:sz w:val="20"/>
                <w:lang w:val="es-ES_tradnl"/>
              </w:rPr>
            </w:pPr>
            <w:r w:rsidRPr="00066FAB">
              <w:rPr>
                <w:rFonts w:ascii="Arial" w:hAnsi="Arial" w:cs="Arial"/>
                <w:sz w:val="20"/>
                <w:lang w:val="es-ES_tradnl"/>
              </w:rPr>
              <w:t>9</w:t>
            </w:r>
          </w:p>
        </w:tc>
      </w:tr>
    </w:tbl>
    <w:p w:rsidR="00EC7C4F" w:rsidRPr="00066FAB" w:rsidRDefault="00EC7C4F" w:rsidP="00EC7C4F">
      <w:pPr>
        <w:rPr>
          <w:rFonts w:ascii="Arial" w:hAnsi="Arial" w:cs="Arial"/>
          <w:b/>
        </w:rPr>
      </w:pPr>
      <w:bookmarkStart w:id="8" w:name="_Toc231201286"/>
      <w:r w:rsidRPr="00066FAB">
        <w:rPr>
          <w:rFonts w:ascii="Arial" w:hAnsi="Arial" w:cs="Arial"/>
          <w:lang w:val="en-US"/>
        </w:rPr>
        <w:t>•</w:t>
      </w:r>
      <w:r w:rsidRPr="00066FAB">
        <w:rPr>
          <w:rFonts w:ascii="Arial" w:hAnsi="Arial" w:cs="Arial"/>
          <w:lang w:val="en-US"/>
        </w:rPr>
        <w:tab/>
      </w:r>
      <w:bookmarkEnd w:id="8"/>
      <w:r w:rsidRPr="00066FAB">
        <w:rPr>
          <w:rFonts w:ascii="Arial" w:hAnsi="Arial" w:cs="Arial"/>
        </w:rPr>
        <w:t>International numbering with automatic dialling and length of number</w:t>
      </w:r>
    </w:p>
    <w:p w:rsidR="00EC7C4F" w:rsidRPr="00066FAB" w:rsidRDefault="00EC7C4F" w:rsidP="00EC7C4F">
      <w:pPr>
        <w:rPr>
          <w:rFonts w:ascii="Arial" w:hAnsi="Arial" w:cs="Arial"/>
        </w:rPr>
      </w:pPr>
      <w:bookmarkStart w:id="9" w:name="_Toc231201287"/>
      <w:r w:rsidRPr="00066FAB">
        <w:rPr>
          <w:rFonts w:ascii="Arial" w:hAnsi="Arial" w:cs="Arial"/>
        </w:rPr>
        <w:t>Recommendation ITU-T E.164 provides that the maximum number of digits for subscribers in the automatic international service should be 15, excluding the international prefix.</w:t>
      </w:r>
    </w:p>
    <w:p w:rsidR="00EC7C4F" w:rsidRPr="00066FAB" w:rsidRDefault="00EC7C4F" w:rsidP="00EC7C4F">
      <w:pPr>
        <w:rPr>
          <w:rFonts w:ascii="Arial" w:hAnsi="Arial" w:cs="Arial"/>
        </w:rPr>
      </w:pPr>
      <w:bookmarkStart w:id="10" w:name="_Toc231201288"/>
      <w:bookmarkEnd w:id="9"/>
      <w:r w:rsidRPr="00066FAB">
        <w:rPr>
          <w:rFonts w:ascii="Arial" w:hAnsi="Arial" w:cs="Arial"/>
        </w:rPr>
        <w:t>In the interests of harmonizing and facilitating the use of dialling structures within the region towards</w:t>
      </w:r>
      <w:r w:rsidRPr="00066FAB">
        <w:rPr>
          <w:rFonts w:ascii="Arial" w:hAnsi="Arial" w:cs="Arial"/>
          <w:color w:val="FF0000"/>
        </w:rPr>
        <w:t xml:space="preserve"> </w:t>
      </w:r>
      <w:r w:rsidRPr="00066FAB">
        <w:rPr>
          <w:rFonts w:ascii="Arial" w:hAnsi="Arial" w:cs="Arial"/>
        </w:rPr>
        <w:t>the rest of the world, El Salvador has adopted the prefix “00” for the automatic international service, in line with Recommendation ITU-T E.164, number 11, relating to the use of international prefixes and codes.</w:t>
      </w:r>
    </w:p>
    <w:p w:rsidR="00EC7C4F" w:rsidRPr="00066FAB" w:rsidRDefault="00EC7C4F" w:rsidP="00EC7C4F">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rPr>
      </w:pPr>
      <w:bookmarkStart w:id="11" w:name="_Toc231201289"/>
      <w:bookmarkEnd w:id="10"/>
    </w:p>
    <w:p w:rsidR="00EC7C4F" w:rsidRPr="00066FAB" w:rsidRDefault="00EC7C4F" w:rsidP="00EC7C4F">
      <w:pPr>
        <w:rPr>
          <w:rFonts w:ascii="Arial" w:hAnsi="Arial" w:cs="Arial"/>
        </w:rPr>
      </w:pPr>
      <w:r w:rsidRPr="00066FAB">
        <w:rPr>
          <w:rFonts w:ascii="Arial" w:hAnsi="Arial" w:cs="Arial"/>
        </w:rPr>
        <w:t xml:space="preserve">In El Salvador, the 15 digits do not include: two digits from the international prefix and three digits from the multicarrier system code; in other words, telephone exchanges must analyse a minimum of 20 digits. To this end, the owner of the destination telephone exchange must ensure that its equipment is capable of processing the </w:t>
      </w:r>
      <w:proofErr w:type="spellStart"/>
      <w:r w:rsidRPr="00066FAB">
        <w:rPr>
          <w:rFonts w:ascii="Arial" w:hAnsi="Arial" w:cs="Arial"/>
        </w:rPr>
        <w:t>said</w:t>
      </w:r>
      <w:proofErr w:type="spellEnd"/>
      <w:r w:rsidRPr="00066FAB">
        <w:rPr>
          <w:rFonts w:ascii="Arial" w:hAnsi="Arial" w:cs="Arial"/>
        </w:rPr>
        <w:t xml:space="preserve"> number of digits in a single segment or, failing that, and by agreement between the parties, in a number of segments.</w:t>
      </w:r>
    </w:p>
    <w:p w:rsidR="00EC7C4F" w:rsidRPr="00066FAB" w:rsidRDefault="00EC7C4F" w:rsidP="00EC7C4F">
      <w:pPr>
        <w:rPr>
          <w:rFonts w:ascii="Arial" w:hAnsi="Arial" w:cs="Arial"/>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2117"/>
        <w:gridCol w:w="6955"/>
      </w:tblGrid>
      <w:tr w:rsidR="00EC7C4F" w:rsidRPr="00066FAB" w:rsidTr="00E91627">
        <w:trPr>
          <w:trHeight w:val="20"/>
          <w:tblHeader/>
          <w:jc w:val="center"/>
        </w:trPr>
        <w:tc>
          <w:tcPr>
            <w:tcW w:w="1985" w:type="dxa"/>
            <w:shd w:val="clear" w:color="auto" w:fill="auto"/>
            <w:vAlign w:val="center"/>
          </w:tcPr>
          <w:p w:rsidR="00EC7C4F" w:rsidRPr="00066FAB" w:rsidRDefault="00EC7C4F" w:rsidP="00E91627">
            <w:pPr>
              <w:pStyle w:val="Tablehead0"/>
              <w:rPr>
                <w:rFonts w:ascii="Arial" w:hAnsi="Arial" w:cs="Arial"/>
                <w:b/>
                <w:sz w:val="20"/>
              </w:rPr>
            </w:pPr>
            <w:bookmarkStart w:id="12" w:name="_Toc231201290"/>
            <w:bookmarkEnd w:id="11"/>
            <w:r w:rsidRPr="00066FAB">
              <w:rPr>
                <w:rFonts w:ascii="Arial" w:hAnsi="Arial" w:cs="Arial"/>
                <w:sz w:val="20"/>
              </w:rPr>
              <w:t>Digit X</w:t>
            </w:r>
            <w:bookmarkEnd w:id="12"/>
          </w:p>
        </w:tc>
        <w:tc>
          <w:tcPr>
            <w:tcW w:w="6520" w:type="dxa"/>
            <w:shd w:val="clear" w:color="auto" w:fill="auto"/>
            <w:vAlign w:val="center"/>
          </w:tcPr>
          <w:p w:rsidR="00EC7C4F" w:rsidRPr="00066FAB" w:rsidRDefault="00EC7C4F" w:rsidP="00E91627">
            <w:pPr>
              <w:pStyle w:val="Tablehead0"/>
              <w:rPr>
                <w:rFonts w:ascii="Arial" w:hAnsi="Arial" w:cs="Arial"/>
                <w:b/>
                <w:sz w:val="20"/>
                <w:lang w:val="en-US"/>
              </w:rPr>
            </w:pPr>
            <w:bookmarkStart w:id="13" w:name="_Toc231201291"/>
            <w:r w:rsidRPr="00066FAB">
              <w:rPr>
                <w:rFonts w:ascii="Arial" w:hAnsi="Arial" w:cs="Arial"/>
                <w:sz w:val="20"/>
                <w:lang w:val="en-GB" w:eastAsia="es-ES"/>
              </w:rPr>
              <w:t xml:space="preserve">Use in the structure </w:t>
            </w:r>
            <w:r w:rsidRPr="00066FAB">
              <w:rPr>
                <w:rFonts w:ascii="Arial" w:hAnsi="Arial" w:cs="Arial"/>
                <w:sz w:val="20"/>
                <w:lang w:val="en-US"/>
              </w:rPr>
              <w:t>XYZ</w:t>
            </w:r>
            <w:bookmarkEnd w:id="13"/>
          </w:p>
        </w:tc>
      </w:tr>
      <w:tr w:rsidR="00EC7C4F" w:rsidRPr="00066FAB" w:rsidTr="00E91627">
        <w:trPr>
          <w:trHeight w:val="20"/>
          <w:tblHeader/>
          <w:jc w:val="center"/>
        </w:trPr>
        <w:tc>
          <w:tcPr>
            <w:tcW w:w="1985" w:type="dxa"/>
            <w:vAlign w:val="center"/>
          </w:tcPr>
          <w:p w:rsidR="00EC7C4F" w:rsidRPr="00066FAB" w:rsidRDefault="00EC7C4F" w:rsidP="00E91627">
            <w:pPr>
              <w:pStyle w:val="TableText1"/>
              <w:rPr>
                <w:rFonts w:ascii="Arial" w:hAnsi="Arial" w:cs="Arial"/>
                <w:b/>
                <w:sz w:val="20"/>
                <w:lang w:val="es-ES_tradnl" w:eastAsia="es-ES"/>
              </w:rPr>
            </w:pPr>
            <w:r w:rsidRPr="00066FAB">
              <w:rPr>
                <w:rFonts w:ascii="Arial" w:hAnsi="Arial" w:cs="Arial"/>
                <w:sz w:val="20"/>
                <w:lang w:val="es-ES_tradnl" w:eastAsia="es-ES"/>
              </w:rPr>
              <w:t>0, 2, 3, 4, 5, 6, 7, 8</w:t>
            </w:r>
          </w:p>
        </w:tc>
        <w:tc>
          <w:tcPr>
            <w:tcW w:w="6520" w:type="dxa"/>
            <w:vAlign w:val="center"/>
          </w:tcPr>
          <w:p w:rsidR="00EC7C4F" w:rsidRPr="00066FAB" w:rsidRDefault="00EC7C4F" w:rsidP="00E91627">
            <w:pPr>
              <w:pStyle w:val="TableText1"/>
              <w:rPr>
                <w:rFonts w:ascii="Arial" w:hAnsi="Arial" w:cs="Arial"/>
                <w:b/>
                <w:sz w:val="20"/>
                <w:lang w:val="en-US"/>
              </w:rPr>
            </w:pPr>
            <w:r w:rsidRPr="00066FAB">
              <w:rPr>
                <w:rFonts w:ascii="Arial" w:hAnsi="Arial" w:cs="Arial"/>
                <w:sz w:val="20"/>
              </w:rPr>
              <w:t>Not used in this structure</w:t>
            </w:r>
          </w:p>
        </w:tc>
      </w:tr>
      <w:tr w:rsidR="00EC7C4F" w:rsidRPr="00066FAB" w:rsidTr="00E91627">
        <w:trPr>
          <w:trHeight w:val="20"/>
          <w:tblHeader/>
          <w:jc w:val="center"/>
        </w:trPr>
        <w:tc>
          <w:tcPr>
            <w:tcW w:w="1985" w:type="dxa"/>
            <w:tcBorders>
              <w:bottom w:val="single" w:sz="4" w:space="0" w:color="auto"/>
            </w:tcBorders>
          </w:tcPr>
          <w:p w:rsidR="00EC7C4F" w:rsidRPr="00066FAB" w:rsidRDefault="00EC7C4F" w:rsidP="00E91627">
            <w:pPr>
              <w:pStyle w:val="TableText1"/>
              <w:rPr>
                <w:rFonts w:ascii="Arial" w:hAnsi="Arial" w:cs="Arial"/>
                <w:b/>
                <w:sz w:val="20"/>
                <w:lang w:val="es-ES_tradnl" w:eastAsia="es-ES"/>
              </w:rPr>
            </w:pPr>
            <w:r w:rsidRPr="00066FAB">
              <w:rPr>
                <w:rFonts w:ascii="Arial" w:hAnsi="Arial" w:cs="Arial"/>
                <w:sz w:val="20"/>
                <w:lang w:val="es-ES_tradnl" w:eastAsia="es-ES"/>
              </w:rPr>
              <w:t>1</w:t>
            </w:r>
          </w:p>
        </w:tc>
        <w:tc>
          <w:tcPr>
            <w:tcW w:w="6520" w:type="dxa"/>
            <w:tcBorders>
              <w:bottom w:val="single" w:sz="4" w:space="0" w:color="auto"/>
            </w:tcBorders>
          </w:tcPr>
          <w:p w:rsidR="00EC7C4F" w:rsidRPr="00066FAB" w:rsidRDefault="00EC7C4F" w:rsidP="00E91627">
            <w:pPr>
              <w:pStyle w:val="TableText1"/>
              <w:rPr>
                <w:rFonts w:ascii="Arial" w:hAnsi="Arial" w:cs="Arial"/>
                <w:b/>
                <w:sz w:val="20"/>
                <w:lang w:val="en-US"/>
              </w:rPr>
            </w:pPr>
            <w:r w:rsidRPr="00066FAB">
              <w:rPr>
                <w:rFonts w:ascii="Arial" w:hAnsi="Arial" w:cs="Arial"/>
                <w:sz w:val="20"/>
                <w:lang w:val="en-US"/>
              </w:rPr>
              <w:t>a)</w:t>
            </w:r>
            <w:r w:rsidRPr="00066FAB">
              <w:rPr>
                <w:rFonts w:ascii="Arial" w:hAnsi="Arial" w:cs="Arial"/>
                <w:sz w:val="20"/>
                <w:lang w:val="en-US"/>
              </w:rPr>
              <w:tab/>
            </w:r>
            <w:r w:rsidRPr="00066FAB">
              <w:rPr>
                <w:rFonts w:ascii="Arial" w:hAnsi="Arial" w:cs="Arial"/>
                <w:sz w:val="20"/>
              </w:rPr>
              <w:t>Used for the selection keys of the multicarrier system.</w:t>
            </w:r>
          </w:p>
          <w:p w:rsidR="00EC7C4F" w:rsidRPr="00066FAB" w:rsidRDefault="00EC7C4F" w:rsidP="00E91627">
            <w:pPr>
              <w:pStyle w:val="TableText1"/>
              <w:rPr>
                <w:rFonts w:ascii="Arial" w:hAnsi="Arial" w:cs="Arial"/>
                <w:b/>
                <w:sz w:val="20"/>
                <w:lang w:val="en-US"/>
              </w:rPr>
            </w:pPr>
            <w:r w:rsidRPr="00066FAB">
              <w:rPr>
                <w:rFonts w:ascii="Arial" w:hAnsi="Arial" w:cs="Arial"/>
                <w:sz w:val="20"/>
                <w:lang w:val="en-US"/>
              </w:rPr>
              <w:t xml:space="preserve">b) Used in special services for : </w:t>
            </w:r>
          </w:p>
          <w:p w:rsidR="00EC7C4F" w:rsidRPr="00066FAB" w:rsidRDefault="00EC7C4F" w:rsidP="00E91627">
            <w:pPr>
              <w:pStyle w:val="TableText1"/>
              <w:rPr>
                <w:rFonts w:ascii="Arial" w:hAnsi="Arial" w:cs="Arial"/>
                <w:b/>
                <w:sz w:val="20"/>
              </w:rPr>
            </w:pPr>
            <w:r w:rsidRPr="00066FAB">
              <w:rPr>
                <w:rFonts w:ascii="Arial" w:hAnsi="Arial" w:cs="Arial"/>
                <w:sz w:val="20"/>
              </w:rPr>
              <w:t>–</w:t>
            </w:r>
            <w:r w:rsidRPr="00066FAB">
              <w:rPr>
                <w:rFonts w:ascii="Arial" w:hAnsi="Arial" w:cs="Arial"/>
                <w:sz w:val="20"/>
              </w:rPr>
              <w:tab/>
              <w:t>government institutions;</w:t>
            </w:r>
          </w:p>
          <w:p w:rsidR="00EC7C4F" w:rsidRPr="00066FAB" w:rsidRDefault="00EC7C4F" w:rsidP="00E91627">
            <w:pPr>
              <w:pStyle w:val="TableText1"/>
              <w:rPr>
                <w:rFonts w:ascii="Arial" w:hAnsi="Arial" w:cs="Arial"/>
                <w:b/>
                <w:sz w:val="20"/>
              </w:rPr>
            </w:pPr>
            <w:r w:rsidRPr="00066FAB">
              <w:rPr>
                <w:rFonts w:ascii="Arial" w:hAnsi="Arial" w:cs="Arial"/>
                <w:sz w:val="20"/>
              </w:rPr>
              <w:t>–</w:t>
            </w:r>
            <w:r w:rsidRPr="00066FAB">
              <w:rPr>
                <w:rFonts w:ascii="Arial" w:hAnsi="Arial" w:cs="Arial"/>
                <w:sz w:val="20"/>
              </w:rPr>
              <w:tab/>
              <w:t>assistance to the population in cases of emergency or criminal acts;</w:t>
            </w:r>
          </w:p>
          <w:p w:rsidR="00EC7C4F" w:rsidRPr="00066FAB" w:rsidRDefault="00EC7C4F" w:rsidP="00E91627">
            <w:pPr>
              <w:pStyle w:val="TableText1"/>
              <w:rPr>
                <w:rFonts w:ascii="Arial" w:hAnsi="Arial" w:cs="Arial"/>
                <w:b/>
                <w:sz w:val="20"/>
              </w:rPr>
            </w:pPr>
            <w:r w:rsidRPr="00066FAB">
              <w:rPr>
                <w:rFonts w:ascii="Arial" w:hAnsi="Arial" w:cs="Arial"/>
                <w:sz w:val="20"/>
              </w:rPr>
              <w:t>–</w:t>
            </w:r>
            <w:r w:rsidRPr="00066FAB">
              <w:rPr>
                <w:rFonts w:ascii="Arial" w:hAnsi="Arial" w:cs="Arial"/>
                <w:sz w:val="20"/>
              </w:rPr>
              <w:tab/>
              <w:t>humanitarian aid;</w:t>
            </w:r>
          </w:p>
          <w:p w:rsidR="00EC7C4F" w:rsidRPr="00066FAB" w:rsidRDefault="00EC7C4F" w:rsidP="00E91627">
            <w:pPr>
              <w:pStyle w:val="TableText1"/>
              <w:rPr>
                <w:rFonts w:ascii="Arial" w:hAnsi="Arial" w:cs="Arial"/>
                <w:b/>
                <w:sz w:val="20"/>
              </w:rPr>
            </w:pPr>
            <w:r w:rsidRPr="00066FAB">
              <w:rPr>
                <w:rFonts w:ascii="Arial" w:hAnsi="Arial" w:cs="Arial"/>
                <w:sz w:val="20"/>
              </w:rPr>
              <w:t>–</w:t>
            </w:r>
            <w:r w:rsidRPr="00066FAB">
              <w:rPr>
                <w:rFonts w:ascii="Arial" w:hAnsi="Arial" w:cs="Arial"/>
                <w:sz w:val="20"/>
              </w:rPr>
              <w:tab/>
              <w:t>temporary arrangements to meet community needs;</w:t>
            </w:r>
            <w:r w:rsidRPr="00066FAB">
              <w:rPr>
                <w:rFonts w:ascii="Arial" w:hAnsi="Arial" w:cs="Arial"/>
                <w:sz w:val="20"/>
                <w:vertAlign w:val="superscript"/>
              </w:rPr>
              <w:t>1</w:t>
            </w:r>
          </w:p>
          <w:p w:rsidR="00EC7C4F" w:rsidRPr="00066FAB" w:rsidRDefault="00EC7C4F" w:rsidP="00E91627">
            <w:pPr>
              <w:pStyle w:val="TableText1"/>
              <w:rPr>
                <w:rFonts w:ascii="Arial" w:hAnsi="Arial" w:cs="Arial"/>
                <w:b/>
                <w:sz w:val="20"/>
              </w:rPr>
            </w:pPr>
            <w:r w:rsidRPr="00066FAB">
              <w:rPr>
                <w:rFonts w:ascii="Arial" w:hAnsi="Arial" w:cs="Arial"/>
                <w:sz w:val="20"/>
              </w:rPr>
              <w:t>–</w:t>
            </w:r>
            <w:r w:rsidRPr="00066FAB">
              <w:rPr>
                <w:rFonts w:ascii="Arial" w:hAnsi="Arial" w:cs="Arial"/>
                <w:sz w:val="20"/>
              </w:rPr>
              <w:tab/>
              <w:t>operators’ own internal services, and</w:t>
            </w:r>
          </w:p>
          <w:p w:rsidR="00EC7C4F" w:rsidRPr="00066FAB" w:rsidRDefault="00EC7C4F" w:rsidP="00E91627">
            <w:pPr>
              <w:pStyle w:val="TableText1"/>
              <w:rPr>
                <w:rFonts w:ascii="Arial" w:hAnsi="Arial" w:cs="Arial"/>
                <w:b/>
                <w:sz w:val="20"/>
              </w:rPr>
            </w:pPr>
            <w:r w:rsidRPr="00066FAB">
              <w:rPr>
                <w:rFonts w:ascii="Arial" w:hAnsi="Arial" w:cs="Arial"/>
                <w:sz w:val="20"/>
              </w:rPr>
              <w:t>c)</w:t>
            </w:r>
            <w:r w:rsidRPr="00066FAB">
              <w:rPr>
                <w:rFonts w:ascii="Arial" w:hAnsi="Arial" w:cs="Arial"/>
                <w:sz w:val="20"/>
              </w:rPr>
              <w:tab/>
              <w:t xml:space="preserve"> Future services to be determined by SIGET.</w:t>
            </w:r>
          </w:p>
        </w:tc>
      </w:tr>
      <w:tr w:rsidR="00EC7C4F" w:rsidRPr="00066FAB" w:rsidTr="00E91627">
        <w:trPr>
          <w:trHeight w:val="20"/>
          <w:tblHeader/>
          <w:jc w:val="center"/>
        </w:trPr>
        <w:tc>
          <w:tcPr>
            <w:tcW w:w="1985" w:type="dxa"/>
            <w:tcBorders>
              <w:top w:val="single" w:sz="4" w:space="0" w:color="auto"/>
              <w:left w:val="single" w:sz="4" w:space="0" w:color="auto"/>
              <w:bottom w:val="single" w:sz="4" w:space="0" w:color="auto"/>
              <w:right w:val="single" w:sz="4" w:space="0" w:color="auto"/>
            </w:tcBorders>
            <w:vAlign w:val="center"/>
          </w:tcPr>
          <w:p w:rsidR="00EC7C4F" w:rsidRPr="00066FAB" w:rsidRDefault="00EC7C4F" w:rsidP="00E91627">
            <w:pPr>
              <w:pStyle w:val="TableText1"/>
              <w:rPr>
                <w:rFonts w:ascii="Arial" w:hAnsi="Arial" w:cs="Arial"/>
                <w:b/>
                <w:sz w:val="20"/>
                <w:lang w:val="es-ES_tradnl" w:eastAsia="es-ES"/>
              </w:rPr>
            </w:pPr>
            <w:r w:rsidRPr="00066FAB">
              <w:rPr>
                <w:rFonts w:ascii="Arial" w:hAnsi="Arial" w:cs="Arial"/>
                <w:sz w:val="20"/>
                <w:lang w:val="es-ES_tradnl" w:eastAsia="es-ES"/>
              </w:rPr>
              <w:t>9</w:t>
            </w:r>
          </w:p>
        </w:tc>
        <w:tc>
          <w:tcPr>
            <w:tcW w:w="6520" w:type="dxa"/>
            <w:tcBorders>
              <w:top w:val="single" w:sz="4" w:space="0" w:color="auto"/>
              <w:left w:val="single" w:sz="4" w:space="0" w:color="auto"/>
              <w:bottom w:val="single" w:sz="4" w:space="0" w:color="auto"/>
              <w:right w:val="single" w:sz="4" w:space="0" w:color="auto"/>
            </w:tcBorders>
          </w:tcPr>
          <w:p w:rsidR="00EC7C4F" w:rsidRPr="00066FAB" w:rsidRDefault="00EC7C4F" w:rsidP="00E91627">
            <w:pPr>
              <w:pStyle w:val="TableText1"/>
              <w:rPr>
                <w:rFonts w:ascii="Arial" w:hAnsi="Arial" w:cs="Arial"/>
                <w:b/>
                <w:sz w:val="20"/>
                <w:lang w:val="en-US" w:eastAsia="es-ES"/>
              </w:rPr>
            </w:pPr>
            <w:r w:rsidRPr="00066FAB">
              <w:rPr>
                <w:rFonts w:ascii="Arial" w:hAnsi="Arial" w:cs="Arial"/>
                <w:sz w:val="20"/>
              </w:rPr>
              <w:t>Special services used by government institutions, where Y=1.</w:t>
            </w:r>
          </w:p>
        </w:tc>
      </w:tr>
      <w:tr w:rsidR="00EC7C4F" w:rsidRPr="00066FAB" w:rsidTr="00E91627">
        <w:trPr>
          <w:trHeight w:val="20"/>
          <w:tblHeader/>
          <w:jc w:val="center"/>
        </w:trPr>
        <w:tc>
          <w:tcPr>
            <w:tcW w:w="8505" w:type="dxa"/>
            <w:gridSpan w:val="2"/>
            <w:tcBorders>
              <w:top w:val="single" w:sz="4" w:space="0" w:color="auto"/>
              <w:left w:val="nil"/>
              <w:bottom w:val="nil"/>
              <w:right w:val="nil"/>
            </w:tcBorders>
            <w:vAlign w:val="center"/>
          </w:tcPr>
          <w:p w:rsidR="00EC7C4F" w:rsidRPr="00066FAB" w:rsidRDefault="00EC7C4F" w:rsidP="00E91627">
            <w:pPr>
              <w:pStyle w:val="Tabletext0"/>
              <w:tabs>
                <w:tab w:val="clear" w:pos="1276"/>
                <w:tab w:val="left" w:pos="322"/>
              </w:tabs>
              <w:jc w:val="both"/>
              <w:rPr>
                <w:rFonts w:ascii="Arial" w:hAnsi="Arial" w:cs="Arial"/>
                <w:b/>
                <w:sz w:val="20"/>
                <w:szCs w:val="20"/>
                <w:lang w:val="en-US"/>
              </w:rPr>
            </w:pPr>
            <w:r w:rsidRPr="00066FAB">
              <w:rPr>
                <w:rFonts w:ascii="Arial" w:hAnsi="Arial" w:cs="Arial"/>
                <w:sz w:val="20"/>
                <w:szCs w:val="20"/>
                <w:lang w:val="en-US"/>
              </w:rPr>
              <w:t>1</w:t>
            </w:r>
            <w:r w:rsidRPr="00066FAB">
              <w:rPr>
                <w:rFonts w:ascii="Arial" w:hAnsi="Arial" w:cs="Arial"/>
                <w:sz w:val="20"/>
                <w:szCs w:val="20"/>
                <w:lang w:val="en-US"/>
              </w:rPr>
              <w:tab/>
              <w:t xml:space="preserve">Emergencies caused by natural phenomena, public disaster situations, coordination efforts for humanitarian purposes, major national or regional events, and any unforeseen and duly acknowledged situations, calling for telephone access by means of a </w:t>
            </w:r>
            <w:r w:rsidRPr="00066FAB">
              <w:rPr>
                <w:rFonts w:ascii="Arial" w:hAnsi="Arial" w:cs="Arial"/>
                <w:bCs w:val="0"/>
                <w:sz w:val="20"/>
                <w:szCs w:val="20"/>
                <w:lang w:val="en-US" w:eastAsia="es-ES"/>
              </w:rPr>
              <w:t>short</w:t>
            </w:r>
            <w:r w:rsidRPr="00066FAB">
              <w:rPr>
                <w:rFonts w:ascii="Arial" w:hAnsi="Arial" w:cs="Arial"/>
                <w:sz w:val="20"/>
                <w:szCs w:val="20"/>
                <w:lang w:val="en-US"/>
              </w:rPr>
              <w:t xml:space="preserve"> number. Such numbers shall be assigned for a maximum period of three months, with any request for an extension to be assessed by SIGET.</w:t>
            </w:r>
          </w:p>
        </w:tc>
      </w:tr>
      <w:tr w:rsidR="00EC7C4F" w:rsidRPr="00066FAB" w:rsidTr="00E916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jc w:val="center"/>
        </w:trPr>
        <w:tc>
          <w:tcPr>
            <w:tcW w:w="8505" w:type="dxa"/>
            <w:gridSpan w:val="2"/>
            <w:vAlign w:val="center"/>
          </w:tcPr>
          <w:p w:rsidR="00EC7C4F" w:rsidRPr="00066FAB" w:rsidRDefault="00EC7C4F" w:rsidP="00E91627">
            <w:pPr>
              <w:pStyle w:val="Tabletext"/>
              <w:spacing w:before="240"/>
              <w:ind w:left="720" w:right="-85"/>
              <w:jc w:val="center"/>
              <w:rPr>
                <w:rFonts w:ascii="Arial" w:hAnsi="Arial" w:cs="Arial"/>
                <w:b w:val="0"/>
                <w:sz w:val="20"/>
                <w:szCs w:val="20"/>
                <w:lang w:val="es-ES_tradnl"/>
              </w:rPr>
            </w:pPr>
            <w:r w:rsidRPr="00066FAB">
              <w:rPr>
                <w:rFonts w:ascii="Arial" w:hAnsi="Arial" w:cs="Arial"/>
                <w:b w:val="0"/>
                <w:sz w:val="20"/>
                <w:szCs w:val="20"/>
                <w:lang w:val="es-ES_tradnl"/>
              </w:rPr>
              <w:lastRenderedPageBreak/>
              <w:t>CHILD HELPLINE</w:t>
            </w:r>
          </w:p>
          <w:tbl>
            <w:tblPr>
              <w:tblW w:w="83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2374"/>
              <w:gridCol w:w="1017"/>
              <w:gridCol w:w="4933"/>
            </w:tblGrid>
            <w:tr w:rsidR="00EC7C4F" w:rsidRPr="00066FAB" w:rsidTr="00E91627">
              <w:trPr>
                <w:trHeight w:val="346"/>
              </w:trPr>
              <w:tc>
                <w:tcPr>
                  <w:tcW w:w="2374" w:type="dxa"/>
                  <w:shd w:val="clear" w:color="auto" w:fill="auto"/>
                  <w:vAlign w:val="center"/>
                </w:tcPr>
                <w:p w:rsidR="00EC7C4F" w:rsidRPr="00066FAB" w:rsidRDefault="00EC7C4F" w:rsidP="00E91627">
                  <w:pPr>
                    <w:pStyle w:val="Tablehead0"/>
                    <w:rPr>
                      <w:rFonts w:ascii="Arial" w:hAnsi="Arial" w:cs="Arial"/>
                      <w:b/>
                      <w:sz w:val="20"/>
                    </w:rPr>
                  </w:pPr>
                  <w:r w:rsidRPr="00066FAB">
                    <w:rPr>
                      <w:rFonts w:ascii="Arial" w:hAnsi="Arial" w:cs="Arial"/>
                      <w:sz w:val="20"/>
                    </w:rPr>
                    <w:t>Type of service</w:t>
                  </w:r>
                </w:p>
              </w:tc>
              <w:tc>
                <w:tcPr>
                  <w:tcW w:w="1017" w:type="dxa"/>
                  <w:shd w:val="clear" w:color="auto" w:fill="auto"/>
                  <w:vAlign w:val="center"/>
                </w:tcPr>
                <w:p w:rsidR="00EC7C4F" w:rsidRPr="00066FAB" w:rsidRDefault="00EC7C4F" w:rsidP="00E91627">
                  <w:pPr>
                    <w:pStyle w:val="Tablehead0"/>
                    <w:rPr>
                      <w:rFonts w:ascii="Arial" w:hAnsi="Arial" w:cs="Arial"/>
                      <w:b/>
                      <w:sz w:val="20"/>
                    </w:rPr>
                  </w:pPr>
                  <w:proofErr w:type="spellStart"/>
                  <w:r w:rsidRPr="00066FAB">
                    <w:rPr>
                      <w:rFonts w:ascii="Arial" w:hAnsi="Arial" w:cs="Arial"/>
                      <w:sz w:val="20"/>
                    </w:rPr>
                    <w:t>Number</w:t>
                  </w:r>
                  <w:proofErr w:type="spellEnd"/>
                  <w:r w:rsidRPr="00066FAB">
                    <w:rPr>
                      <w:rFonts w:ascii="Arial" w:hAnsi="Arial" w:cs="Arial"/>
                      <w:sz w:val="20"/>
                    </w:rPr>
                    <w:t xml:space="preserve"> </w:t>
                  </w:r>
                </w:p>
              </w:tc>
              <w:tc>
                <w:tcPr>
                  <w:tcW w:w="4933" w:type="dxa"/>
                  <w:shd w:val="clear" w:color="auto" w:fill="auto"/>
                  <w:vAlign w:val="center"/>
                </w:tcPr>
                <w:p w:rsidR="00EC7C4F" w:rsidRPr="00066FAB" w:rsidRDefault="00EC7C4F" w:rsidP="00E91627">
                  <w:pPr>
                    <w:pStyle w:val="Tablehead0"/>
                    <w:rPr>
                      <w:rFonts w:ascii="Arial" w:hAnsi="Arial" w:cs="Arial"/>
                      <w:b/>
                      <w:sz w:val="20"/>
                    </w:rPr>
                  </w:pPr>
                  <w:r w:rsidRPr="00066FAB">
                    <w:rPr>
                      <w:rFonts w:ascii="Arial" w:hAnsi="Arial" w:cs="Arial"/>
                      <w:sz w:val="20"/>
                    </w:rPr>
                    <w:t>Use</w:t>
                  </w:r>
                </w:p>
              </w:tc>
            </w:tr>
            <w:tr w:rsidR="00EC7C4F" w:rsidRPr="00066FAB" w:rsidTr="00E91627">
              <w:trPr>
                <w:trHeight w:val="1171"/>
              </w:trPr>
              <w:tc>
                <w:tcPr>
                  <w:tcW w:w="2374" w:type="dxa"/>
                  <w:vAlign w:val="center"/>
                </w:tcPr>
                <w:p w:rsidR="00EC7C4F" w:rsidRPr="00066FAB" w:rsidRDefault="00EC7C4F" w:rsidP="00E91627">
                  <w:pPr>
                    <w:pStyle w:val="TableText1"/>
                    <w:rPr>
                      <w:rFonts w:ascii="Arial" w:hAnsi="Arial" w:cs="Arial"/>
                      <w:b/>
                      <w:sz w:val="20"/>
                      <w:lang w:val="es-ES_tradnl" w:eastAsia="es-ES"/>
                    </w:rPr>
                  </w:pPr>
                  <w:proofErr w:type="spellStart"/>
                  <w:r w:rsidRPr="00066FAB">
                    <w:rPr>
                      <w:rFonts w:ascii="Arial" w:hAnsi="Arial" w:cs="Arial"/>
                      <w:sz w:val="20"/>
                      <w:lang w:val="es-ES_tradnl" w:eastAsia="es-ES"/>
                    </w:rPr>
                    <w:t>Children</w:t>
                  </w:r>
                  <w:proofErr w:type="spellEnd"/>
                  <w:r w:rsidRPr="00066FAB">
                    <w:rPr>
                      <w:rFonts w:ascii="Arial" w:hAnsi="Arial" w:cs="Arial"/>
                      <w:sz w:val="20"/>
                      <w:lang w:val="es-ES_tradnl" w:eastAsia="es-ES"/>
                    </w:rPr>
                    <w:t xml:space="preserve"> </w:t>
                  </w:r>
                  <w:proofErr w:type="spellStart"/>
                  <w:r w:rsidRPr="00066FAB">
                    <w:rPr>
                      <w:rFonts w:ascii="Arial" w:hAnsi="Arial" w:cs="Arial"/>
                      <w:sz w:val="20"/>
                      <w:lang w:val="es-ES_tradnl" w:eastAsia="es-ES"/>
                    </w:rPr>
                    <w:t>Helpline</w:t>
                  </w:r>
                  <w:proofErr w:type="spellEnd"/>
                  <w:r w:rsidRPr="00066FAB">
                    <w:rPr>
                      <w:rFonts w:ascii="Arial" w:hAnsi="Arial" w:cs="Arial"/>
                      <w:sz w:val="20"/>
                      <w:lang w:val="es-ES_tradnl" w:eastAsia="es-ES"/>
                    </w:rPr>
                    <w:t>*</w:t>
                  </w:r>
                </w:p>
              </w:tc>
              <w:tc>
                <w:tcPr>
                  <w:tcW w:w="1017" w:type="dxa"/>
                  <w:vAlign w:val="center"/>
                </w:tcPr>
                <w:p w:rsidR="00EC7C4F" w:rsidRPr="00066FAB" w:rsidRDefault="00EC7C4F" w:rsidP="00E91627">
                  <w:pPr>
                    <w:pStyle w:val="TableText1"/>
                    <w:rPr>
                      <w:rFonts w:ascii="Arial" w:hAnsi="Arial" w:cs="Arial"/>
                      <w:b/>
                      <w:sz w:val="20"/>
                      <w:lang w:val="es-ES_tradnl" w:eastAsia="es-ES"/>
                    </w:rPr>
                  </w:pPr>
                  <w:r w:rsidRPr="00066FAB">
                    <w:rPr>
                      <w:rFonts w:ascii="Arial" w:hAnsi="Arial" w:cs="Arial"/>
                      <w:sz w:val="20"/>
                      <w:lang w:val="es-ES_tradnl" w:eastAsia="es-ES"/>
                    </w:rPr>
                    <w:t>116 111</w:t>
                  </w:r>
                </w:p>
              </w:tc>
              <w:tc>
                <w:tcPr>
                  <w:tcW w:w="4933" w:type="dxa"/>
                  <w:vAlign w:val="center"/>
                </w:tcPr>
                <w:p w:rsidR="00EC7C4F" w:rsidRPr="00066FAB" w:rsidRDefault="00EC7C4F" w:rsidP="00E91627">
                  <w:pPr>
                    <w:pStyle w:val="Tabletext0"/>
                    <w:rPr>
                      <w:rFonts w:ascii="Arial" w:hAnsi="Arial" w:cs="Arial"/>
                      <w:b/>
                      <w:sz w:val="20"/>
                      <w:szCs w:val="20"/>
                      <w:lang w:val="en-US" w:eastAsia="es-ES"/>
                    </w:rPr>
                  </w:pPr>
                  <w:r w:rsidRPr="00066FAB">
                    <w:rPr>
                      <w:rFonts w:ascii="Arial" w:hAnsi="Arial" w:cs="Arial"/>
                      <w:sz w:val="20"/>
                      <w:szCs w:val="20"/>
                      <w:lang w:val="en-US" w:eastAsia="es-ES"/>
                    </w:rPr>
                    <w:t>For use from any network access and from any terminal. It is a free service for users and free of interconnection charges. Enabling this service is mandatory for all operators and the government will be responsible for defining the institution providing the service. (ITU-T E.164 Supplement 5)</w:t>
                  </w:r>
                  <w:r w:rsidRPr="00066FAB">
                    <w:rPr>
                      <w:rFonts w:ascii="Arial" w:hAnsi="Arial" w:cs="Arial"/>
                      <w:spacing w:val="-2"/>
                      <w:sz w:val="20"/>
                      <w:szCs w:val="20"/>
                      <w:lang w:val="en-US"/>
                    </w:rPr>
                    <w:t xml:space="preserve"> </w:t>
                  </w:r>
                </w:p>
              </w:tc>
            </w:tr>
          </w:tbl>
          <w:p w:rsidR="00EC7C4F" w:rsidRPr="00066FAB" w:rsidRDefault="00EC7C4F" w:rsidP="00E91627">
            <w:pPr>
              <w:pStyle w:val="Tabletext0"/>
              <w:tabs>
                <w:tab w:val="clear" w:pos="1276"/>
                <w:tab w:val="left" w:pos="322"/>
              </w:tabs>
              <w:rPr>
                <w:rFonts w:ascii="Arial" w:hAnsi="Arial" w:cs="Arial"/>
                <w:b/>
                <w:sz w:val="20"/>
                <w:szCs w:val="20"/>
                <w:lang w:val="en-US"/>
              </w:rPr>
            </w:pPr>
            <w:r w:rsidRPr="00066FAB">
              <w:rPr>
                <w:rFonts w:ascii="Arial" w:hAnsi="Arial" w:cs="Arial"/>
                <w:spacing w:val="-2"/>
                <w:sz w:val="20"/>
                <w:szCs w:val="20"/>
                <w:lang w:val="en-US"/>
              </w:rPr>
              <w:t xml:space="preserve">* </w:t>
            </w:r>
            <w:r w:rsidRPr="00066FAB">
              <w:rPr>
                <w:rFonts w:ascii="Arial" w:hAnsi="Arial" w:cs="Arial"/>
                <w:spacing w:val="-2"/>
                <w:sz w:val="20"/>
                <w:szCs w:val="20"/>
                <w:lang w:val="en-US"/>
              </w:rPr>
              <w:tab/>
            </w:r>
            <w:r w:rsidRPr="00066FAB">
              <w:rPr>
                <w:rFonts w:ascii="Arial" w:hAnsi="Arial" w:cs="Arial"/>
                <w:sz w:val="20"/>
                <w:szCs w:val="20"/>
                <w:lang w:val="en-US"/>
              </w:rPr>
              <w:t>This numbering scheme will be operational six (6) months after the entry into force of this Plan.</w:t>
            </w:r>
          </w:p>
        </w:tc>
      </w:tr>
    </w:tbl>
    <w:p w:rsidR="00EC7C4F" w:rsidRDefault="00EC7C4F" w:rsidP="00EC7C4F">
      <w:pPr>
        <w:rPr>
          <w:rFonts w:ascii="Arial" w:hAnsi="Arial" w:cs="Arial"/>
        </w:rPr>
      </w:pPr>
    </w:p>
    <w:p w:rsidR="00066FAB" w:rsidRPr="00066FAB" w:rsidRDefault="00066FAB" w:rsidP="00EC7C4F">
      <w:pPr>
        <w:rPr>
          <w:rFonts w:ascii="Arial" w:hAnsi="Arial" w:cs="Arial"/>
        </w:rPr>
      </w:pPr>
    </w:p>
    <w:p w:rsidR="00EC7C4F" w:rsidRPr="00066FAB" w:rsidRDefault="00EC7C4F" w:rsidP="00EC7C4F">
      <w:pPr>
        <w:rPr>
          <w:rFonts w:ascii="Arial" w:hAnsi="Arial" w:cs="Arial"/>
        </w:rPr>
      </w:pPr>
      <w:r w:rsidRPr="00066FAB">
        <w:rPr>
          <w:rFonts w:ascii="Arial" w:hAnsi="Arial" w:cs="Arial"/>
        </w:rPr>
        <w:t>Further information on El Salvador’s numbering plan may be found at:</w:t>
      </w:r>
    </w:p>
    <w:p w:rsidR="00EC7C4F" w:rsidRPr="00066FAB" w:rsidRDefault="00EC7C4F" w:rsidP="00EC7C4F">
      <w:pPr>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C7C4F" w:rsidRPr="00066FAB" w:rsidTr="00E91627">
        <w:trPr>
          <w:tblHeader/>
          <w:jc w:val="center"/>
        </w:trPr>
        <w:tc>
          <w:tcPr>
            <w:tcW w:w="9697" w:type="dxa"/>
          </w:tcPr>
          <w:p w:rsidR="00EC7C4F" w:rsidRPr="00066FAB" w:rsidRDefault="00081303" w:rsidP="00E91627">
            <w:pPr>
              <w:spacing w:before="60" w:after="60"/>
              <w:ind w:left="-57" w:right="-57"/>
              <w:jc w:val="center"/>
              <w:rPr>
                <w:rFonts w:ascii="Arial" w:hAnsi="Arial" w:cs="Arial"/>
              </w:rPr>
            </w:pPr>
            <w:hyperlink r:id="rId4" w:history="1">
              <w:r w:rsidR="00EC7C4F" w:rsidRPr="00066FAB">
                <w:rPr>
                  <w:rStyle w:val="Hyperlink"/>
                  <w:rFonts w:ascii="Arial" w:hAnsi="Arial" w:cs="Arial"/>
                </w:rPr>
                <w:t>http://www.siget.gob.sv/index.php?option=com_content&amp;view=category&amp;id=102&amp;Itemid=144</w:t>
              </w:r>
            </w:hyperlink>
          </w:p>
        </w:tc>
      </w:tr>
    </w:tbl>
    <w:p w:rsidR="00EC7C4F" w:rsidRDefault="00EC7C4F" w:rsidP="00EC7C4F">
      <w:pPr>
        <w:rPr>
          <w:rFonts w:ascii="Arial" w:hAnsi="Arial" w:cs="Arial"/>
        </w:rPr>
      </w:pPr>
    </w:p>
    <w:p w:rsidR="00066FAB" w:rsidRPr="00066FAB" w:rsidRDefault="00066FAB" w:rsidP="00EC7C4F">
      <w:pPr>
        <w:rPr>
          <w:rFonts w:ascii="Arial" w:hAnsi="Arial" w:cs="Arial"/>
        </w:rPr>
      </w:pPr>
    </w:p>
    <w:p w:rsidR="00EC7C4F" w:rsidRPr="00066FAB" w:rsidRDefault="00EC7C4F" w:rsidP="00EC7C4F">
      <w:pPr>
        <w:rPr>
          <w:rFonts w:ascii="Arial" w:hAnsi="Arial" w:cs="Arial"/>
          <w:lang w:val="es-ES_tradnl"/>
        </w:rPr>
      </w:pPr>
      <w:proofErr w:type="spellStart"/>
      <w:r w:rsidRPr="00066FAB">
        <w:rPr>
          <w:rFonts w:ascii="Arial" w:hAnsi="Arial" w:cs="Arial"/>
          <w:lang w:val="es-ES_tradnl"/>
        </w:rPr>
        <w:t>Contact</w:t>
      </w:r>
      <w:proofErr w:type="spellEnd"/>
      <w:r w:rsidRPr="00066FAB">
        <w:rPr>
          <w:rFonts w:ascii="Arial" w:hAnsi="Arial" w:cs="Arial"/>
          <w:lang w:val="es-ES_tradnl"/>
        </w:rPr>
        <w:t>:</w:t>
      </w:r>
    </w:p>
    <w:p w:rsidR="00EC7C4F" w:rsidRPr="00066FAB" w:rsidRDefault="00EC7C4F" w:rsidP="00EC7C4F">
      <w:pPr>
        <w:ind w:left="567" w:hanging="567"/>
        <w:jc w:val="left"/>
        <w:rPr>
          <w:rFonts w:ascii="Arial" w:hAnsi="Arial" w:cs="Arial"/>
          <w:lang w:val="es-ES_tradnl"/>
        </w:rPr>
      </w:pPr>
      <w:r w:rsidRPr="00066FAB">
        <w:rPr>
          <w:rFonts w:ascii="Arial" w:hAnsi="Arial" w:cs="Arial"/>
          <w:lang w:val="es-ES_tradnl"/>
        </w:rPr>
        <w:tab/>
        <w:t>Sra. Rebeca Amaya de Pimentel</w:t>
      </w:r>
      <w:r w:rsidRPr="00066FAB">
        <w:rPr>
          <w:rFonts w:ascii="Arial" w:hAnsi="Arial" w:cs="Arial"/>
          <w:lang w:val="es-ES_tradnl"/>
        </w:rPr>
        <w:br/>
        <w:t>Gerencia de Telecomunicaciones</w:t>
      </w:r>
      <w:r w:rsidRPr="00066FAB">
        <w:rPr>
          <w:rFonts w:ascii="Arial" w:hAnsi="Arial" w:cs="Arial"/>
          <w:lang w:val="es-ES_tradnl"/>
        </w:rPr>
        <w:br/>
        <w:t>Superintendencia General de Electricidad y Telecomunicaciones (SIGET)</w:t>
      </w:r>
      <w:r w:rsidRPr="00066FAB">
        <w:rPr>
          <w:rFonts w:ascii="Arial" w:hAnsi="Arial" w:cs="Arial"/>
          <w:lang w:val="es-ES_tradnl"/>
        </w:rPr>
        <w:br/>
        <w:t>Sexta Décima calle poniente y 37 Av. Sur, N. 2001</w:t>
      </w:r>
      <w:r w:rsidRPr="00066FAB">
        <w:rPr>
          <w:rFonts w:ascii="Arial" w:hAnsi="Arial" w:cs="Arial"/>
          <w:lang w:val="es-ES_tradnl"/>
        </w:rPr>
        <w:br/>
        <w:t>Colonia Flor Blanca</w:t>
      </w:r>
      <w:r w:rsidRPr="00066FAB">
        <w:rPr>
          <w:rFonts w:ascii="Arial" w:hAnsi="Arial" w:cs="Arial"/>
          <w:lang w:val="es-ES_tradnl"/>
        </w:rPr>
        <w:br/>
        <w:t>SAN SALVADOR</w:t>
      </w:r>
      <w:r w:rsidRPr="00066FAB">
        <w:rPr>
          <w:rFonts w:ascii="Arial" w:hAnsi="Arial" w:cs="Arial"/>
          <w:lang w:val="es-ES_tradnl"/>
        </w:rPr>
        <w:br/>
        <w:t xml:space="preserve">El Salvador </w:t>
      </w:r>
      <w:r w:rsidRPr="00066FAB">
        <w:rPr>
          <w:rFonts w:ascii="Arial" w:hAnsi="Arial" w:cs="Arial"/>
          <w:lang w:val="es-ES_tradnl"/>
        </w:rPr>
        <w:br/>
        <w:t>Tel:</w:t>
      </w:r>
      <w:r w:rsidRPr="00066FAB">
        <w:rPr>
          <w:rFonts w:ascii="Arial" w:hAnsi="Arial" w:cs="Arial"/>
          <w:lang w:val="es-ES_tradnl"/>
        </w:rPr>
        <w:tab/>
        <w:t>+503 2257 4446</w:t>
      </w:r>
      <w:r w:rsidRPr="00066FAB">
        <w:rPr>
          <w:rFonts w:ascii="Arial" w:hAnsi="Arial" w:cs="Arial"/>
          <w:lang w:val="es-ES_tradnl"/>
        </w:rPr>
        <w:br/>
        <w:t>Fax:</w:t>
      </w:r>
      <w:r w:rsidRPr="00066FAB">
        <w:rPr>
          <w:rFonts w:ascii="Arial" w:hAnsi="Arial" w:cs="Arial"/>
          <w:lang w:val="es-ES_tradnl"/>
        </w:rPr>
        <w:tab/>
        <w:t>+503 2257 4495</w:t>
      </w:r>
      <w:r w:rsidRPr="00066FAB">
        <w:rPr>
          <w:rFonts w:ascii="Arial" w:hAnsi="Arial" w:cs="Arial"/>
          <w:lang w:val="es-ES_tradnl"/>
        </w:rPr>
        <w:br/>
        <w:t>E-mail:</w:t>
      </w:r>
      <w:r w:rsidRPr="00066FAB">
        <w:rPr>
          <w:rFonts w:ascii="Arial" w:hAnsi="Arial" w:cs="Arial"/>
          <w:lang w:val="es-ES_tradnl"/>
        </w:rPr>
        <w:tab/>
        <w:t>rebeca.pimentel@siget.gob.sv</w:t>
      </w:r>
    </w:p>
    <w:p w:rsidR="00EC7C4F" w:rsidRDefault="00EC7C4F" w:rsidP="00EC7C4F">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s-ES"/>
        </w:rPr>
      </w:pPr>
    </w:p>
    <w:p w:rsidR="00066FAB" w:rsidRDefault="00066FAB" w:rsidP="00EC7C4F">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s-ES"/>
        </w:rPr>
      </w:pPr>
    </w:p>
    <w:p w:rsidR="00066FAB" w:rsidRDefault="00066FAB" w:rsidP="00EC7C4F">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s-ES"/>
        </w:rPr>
      </w:pPr>
    </w:p>
    <w:p w:rsidR="00066FAB" w:rsidRPr="00066FAB" w:rsidRDefault="00066FAB" w:rsidP="00EC7C4F">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s-ES"/>
        </w:rPr>
      </w:pPr>
    </w:p>
    <w:p w:rsidR="00066FAB" w:rsidRDefault="00066FAB" w:rsidP="00EC7C4F">
      <w:pPr>
        <w:rPr>
          <w:rFonts w:ascii="Arial" w:hAnsi="Arial" w:cs="Arial"/>
        </w:rPr>
      </w:pPr>
    </w:p>
    <w:p w:rsidR="00066FAB" w:rsidRDefault="00066FAB" w:rsidP="00EC7C4F">
      <w:pPr>
        <w:rPr>
          <w:rFonts w:ascii="Arial" w:hAnsi="Arial" w:cs="Arial"/>
        </w:rPr>
      </w:pPr>
    </w:p>
    <w:p w:rsidR="00EC7C4F" w:rsidRPr="00066FAB" w:rsidRDefault="00EC7C4F" w:rsidP="00EC7C4F">
      <w:pPr>
        <w:rPr>
          <w:rFonts w:ascii="Arial" w:hAnsi="Arial" w:cs="Arial"/>
          <w:b/>
          <w:bCs/>
          <w:i/>
          <w:iCs/>
        </w:rPr>
      </w:pPr>
      <w:r w:rsidRPr="00066FAB">
        <w:rPr>
          <w:rFonts w:ascii="Arial" w:hAnsi="Arial" w:cs="Arial"/>
        </w:rPr>
        <w:t>Communication of 24.XI.2011:</w:t>
      </w:r>
    </w:p>
    <w:p w:rsidR="00066FAB" w:rsidRDefault="00066FAB" w:rsidP="00EC7C4F">
      <w:pPr>
        <w:tabs>
          <w:tab w:val="left" w:pos="540"/>
        </w:tabs>
        <w:rPr>
          <w:rFonts w:ascii="Arial" w:hAnsi="Arial" w:cs="Arial"/>
          <w:iCs/>
        </w:rPr>
      </w:pPr>
    </w:p>
    <w:p w:rsidR="00EC7C4F" w:rsidRPr="00066FAB" w:rsidRDefault="00EC7C4F" w:rsidP="00EC7C4F">
      <w:pPr>
        <w:tabs>
          <w:tab w:val="left" w:pos="540"/>
        </w:tabs>
        <w:rPr>
          <w:rFonts w:ascii="Arial" w:hAnsi="Arial" w:cs="Arial"/>
          <w:lang w:val="pt-BR"/>
        </w:rPr>
      </w:pPr>
      <w:r w:rsidRPr="00066FAB">
        <w:rPr>
          <w:rFonts w:ascii="Arial" w:hAnsi="Arial" w:cs="Arial"/>
          <w:iCs/>
        </w:rPr>
        <w:t>The</w:t>
      </w:r>
      <w:r w:rsidRPr="00066FAB">
        <w:rPr>
          <w:rFonts w:ascii="Arial" w:hAnsi="Arial" w:cs="Arial"/>
          <w:i/>
        </w:rPr>
        <w:t xml:space="preserve"> </w:t>
      </w:r>
      <w:proofErr w:type="spellStart"/>
      <w:r w:rsidRPr="00066FAB">
        <w:rPr>
          <w:rFonts w:ascii="Arial" w:hAnsi="Arial" w:cs="Arial"/>
          <w:i/>
          <w:lang w:val="pt-BR"/>
        </w:rPr>
        <w:t>Superintendencia</w:t>
      </w:r>
      <w:proofErr w:type="spellEnd"/>
      <w:r w:rsidRPr="00066FAB">
        <w:rPr>
          <w:rFonts w:ascii="Arial" w:hAnsi="Arial" w:cs="Arial"/>
          <w:i/>
          <w:lang w:val="pt-BR"/>
        </w:rPr>
        <w:t xml:space="preserve"> General de </w:t>
      </w:r>
      <w:proofErr w:type="spellStart"/>
      <w:r w:rsidRPr="00066FAB">
        <w:rPr>
          <w:rFonts w:ascii="Arial" w:hAnsi="Arial" w:cs="Arial"/>
          <w:i/>
          <w:lang w:val="pt-BR"/>
        </w:rPr>
        <w:t>Electricidad</w:t>
      </w:r>
      <w:proofErr w:type="spellEnd"/>
      <w:r w:rsidRPr="00066FAB">
        <w:rPr>
          <w:rFonts w:ascii="Arial" w:hAnsi="Arial" w:cs="Arial"/>
          <w:i/>
          <w:lang w:val="pt-BR"/>
        </w:rPr>
        <w:t xml:space="preserve"> y </w:t>
      </w:r>
      <w:proofErr w:type="spellStart"/>
      <w:r w:rsidRPr="00066FAB">
        <w:rPr>
          <w:rFonts w:ascii="Arial" w:hAnsi="Arial" w:cs="Arial"/>
          <w:i/>
          <w:lang w:val="pt-BR"/>
        </w:rPr>
        <w:t>Telecomunicaciones</w:t>
      </w:r>
      <w:proofErr w:type="spellEnd"/>
      <w:r w:rsidRPr="00066FAB">
        <w:rPr>
          <w:rFonts w:ascii="Arial" w:hAnsi="Arial" w:cs="Arial"/>
          <w:i/>
          <w:lang w:val="pt-BR"/>
        </w:rPr>
        <w:t xml:space="preserve"> (SIGET),</w:t>
      </w:r>
      <w:r w:rsidRPr="00066FAB">
        <w:rPr>
          <w:rFonts w:ascii="Arial" w:hAnsi="Arial" w:cs="Arial"/>
          <w:lang w:val="pt-BR"/>
        </w:rPr>
        <w:t xml:space="preserve"> </w:t>
      </w:r>
      <w:proofErr w:type="spellStart"/>
      <w:r w:rsidRPr="00066FAB">
        <w:rPr>
          <w:rFonts w:ascii="Arial" w:hAnsi="Arial" w:cs="Arial"/>
          <w:lang w:val="pt-BR"/>
        </w:rPr>
        <w:t>San</w:t>
      </w:r>
      <w:proofErr w:type="spellEnd"/>
      <w:r w:rsidRPr="00066FAB">
        <w:rPr>
          <w:rFonts w:ascii="Arial" w:hAnsi="Arial" w:cs="Arial"/>
          <w:lang w:val="pt-BR"/>
        </w:rPr>
        <w:t xml:space="preserve"> Salvador, </w:t>
      </w:r>
      <w:proofErr w:type="spellStart"/>
      <w:r w:rsidRPr="00066FAB">
        <w:rPr>
          <w:rFonts w:ascii="Arial" w:hAnsi="Arial" w:cs="Arial"/>
          <w:lang w:val="pt-BR"/>
        </w:rPr>
        <w:t>announces</w:t>
      </w:r>
      <w:proofErr w:type="spellEnd"/>
      <w:r w:rsidRPr="00066FAB">
        <w:rPr>
          <w:rFonts w:ascii="Arial" w:hAnsi="Arial" w:cs="Arial"/>
          <w:lang w:val="pt-BR"/>
        </w:rPr>
        <w:t xml:space="preserve"> </w:t>
      </w:r>
      <w:proofErr w:type="spellStart"/>
      <w:r w:rsidRPr="00066FAB">
        <w:rPr>
          <w:rFonts w:ascii="Arial" w:hAnsi="Arial" w:cs="Arial"/>
          <w:lang w:val="pt-BR"/>
        </w:rPr>
        <w:t>that</w:t>
      </w:r>
      <w:proofErr w:type="spellEnd"/>
      <w:r w:rsidRPr="00066FAB">
        <w:rPr>
          <w:rFonts w:ascii="Arial" w:hAnsi="Arial" w:cs="Arial"/>
          <w:lang w:val="pt-BR"/>
        </w:rPr>
        <w:t xml:space="preserve">, </w:t>
      </w:r>
      <w:proofErr w:type="spellStart"/>
      <w:r w:rsidRPr="00066FAB">
        <w:rPr>
          <w:rFonts w:ascii="Arial" w:hAnsi="Arial" w:cs="Arial"/>
          <w:lang w:val="pt-BR"/>
        </w:rPr>
        <w:t>owing</w:t>
      </w:r>
      <w:proofErr w:type="spellEnd"/>
      <w:r w:rsidRPr="00066FAB">
        <w:rPr>
          <w:rFonts w:ascii="Arial" w:hAnsi="Arial" w:cs="Arial"/>
          <w:lang w:val="pt-BR"/>
        </w:rPr>
        <w:t xml:space="preserve"> to </w:t>
      </w:r>
      <w:proofErr w:type="spellStart"/>
      <w:r w:rsidRPr="00066FAB">
        <w:rPr>
          <w:rFonts w:ascii="Arial" w:hAnsi="Arial" w:cs="Arial"/>
          <w:lang w:val="pt-BR"/>
        </w:rPr>
        <w:t>the</w:t>
      </w:r>
      <w:proofErr w:type="spellEnd"/>
      <w:r w:rsidRPr="00066FAB">
        <w:rPr>
          <w:rFonts w:ascii="Arial" w:hAnsi="Arial" w:cs="Arial"/>
          <w:lang w:val="pt-BR"/>
        </w:rPr>
        <w:t xml:space="preserve"> </w:t>
      </w:r>
      <w:proofErr w:type="spellStart"/>
      <w:r w:rsidRPr="00066FAB">
        <w:rPr>
          <w:rFonts w:ascii="Arial" w:hAnsi="Arial" w:cs="Arial"/>
          <w:lang w:val="pt-BR"/>
        </w:rPr>
        <w:t>increase</w:t>
      </w:r>
      <w:proofErr w:type="spellEnd"/>
      <w:r w:rsidRPr="00066FAB">
        <w:rPr>
          <w:rFonts w:ascii="Arial" w:hAnsi="Arial" w:cs="Arial"/>
          <w:lang w:val="pt-BR"/>
        </w:rPr>
        <w:t xml:space="preserve"> in </w:t>
      </w:r>
      <w:proofErr w:type="spellStart"/>
      <w:r w:rsidRPr="00066FAB">
        <w:rPr>
          <w:rFonts w:ascii="Arial" w:hAnsi="Arial" w:cs="Arial"/>
          <w:lang w:val="pt-BR"/>
        </w:rPr>
        <w:t>demand</w:t>
      </w:r>
      <w:proofErr w:type="spellEnd"/>
      <w:r w:rsidRPr="00066FAB">
        <w:rPr>
          <w:rFonts w:ascii="Arial" w:hAnsi="Arial" w:cs="Arial"/>
          <w:lang w:val="pt-BR"/>
        </w:rPr>
        <w:t xml:space="preserve"> for </w:t>
      </w:r>
      <w:proofErr w:type="spellStart"/>
      <w:r w:rsidRPr="00066FAB">
        <w:rPr>
          <w:rFonts w:ascii="Arial" w:hAnsi="Arial" w:cs="Arial"/>
          <w:lang w:val="pt-BR"/>
        </w:rPr>
        <w:t>mobile</w:t>
      </w:r>
      <w:proofErr w:type="spellEnd"/>
      <w:r w:rsidRPr="00066FAB">
        <w:rPr>
          <w:rFonts w:ascii="Arial" w:hAnsi="Arial" w:cs="Arial"/>
          <w:lang w:val="pt-BR"/>
        </w:rPr>
        <w:t xml:space="preserve"> </w:t>
      </w:r>
      <w:proofErr w:type="spellStart"/>
      <w:r w:rsidRPr="00066FAB">
        <w:rPr>
          <w:rFonts w:ascii="Arial" w:hAnsi="Arial" w:cs="Arial"/>
          <w:lang w:val="pt-BR"/>
        </w:rPr>
        <w:t>telephone</w:t>
      </w:r>
      <w:proofErr w:type="spellEnd"/>
      <w:r w:rsidRPr="00066FAB">
        <w:rPr>
          <w:rFonts w:ascii="Arial" w:hAnsi="Arial" w:cs="Arial"/>
          <w:lang w:val="pt-BR"/>
        </w:rPr>
        <w:t xml:space="preserve"> </w:t>
      </w:r>
      <w:proofErr w:type="spellStart"/>
      <w:r w:rsidRPr="00066FAB">
        <w:rPr>
          <w:rFonts w:ascii="Arial" w:hAnsi="Arial" w:cs="Arial"/>
          <w:lang w:val="pt-BR"/>
        </w:rPr>
        <w:t>services</w:t>
      </w:r>
      <w:proofErr w:type="spellEnd"/>
      <w:r w:rsidRPr="00066FAB">
        <w:rPr>
          <w:rFonts w:ascii="Arial" w:hAnsi="Arial" w:cs="Arial"/>
          <w:lang w:val="pt-BR"/>
        </w:rPr>
        <w:t xml:space="preserve"> in El Salvador, it </w:t>
      </w:r>
      <w:proofErr w:type="spellStart"/>
      <w:r w:rsidRPr="00066FAB">
        <w:rPr>
          <w:rFonts w:ascii="Arial" w:hAnsi="Arial" w:cs="Arial"/>
          <w:lang w:val="pt-BR"/>
        </w:rPr>
        <w:t>has</w:t>
      </w:r>
      <w:proofErr w:type="spellEnd"/>
      <w:r w:rsidRPr="00066FAB">
        <w:rPr>
          <w:rFonts w:ascii="Arial" w:hAnsi="Arial" w:cs="Arial"/>
          <w:lang w:val="pt-BR"/>
        </w:rPr>
        <w:t xml:space="preserve"> </w:t>
      </w:r>
      <w:proofErr w:type="spellStart"/>
      <w:r w:rsidRPr="00066FAB">
        <w:rPr>
          <w:rFonts w:ascii="Arial" w:hAnsi="Arial" w:cs="Arial"/>
          <w:lang w:val="pt-BR"/>
        </w:rPr>
        <w:t>decided</w:t>
      </w:r>
      <w:proofErr w:type="spellEnd"/>
      <w:r w:rsidRPr="00066FAB">
        <w:rPr>
          <w:rFonts w:ascii="Arial" w:hAnsi="Arial" w:cs="Arial"/>
          <w:lang w:val="pt-BR"/>
        </w:rPr>
        <w:t xml:space="preserve"> to </w:t>
      </w:r>
      <w:proofErr w:type="spellStart"/>
      <w:r w:rsidRPr="00066FAB">
        <w:rPr>
          <w:rFonts w:ascii="Arial" w:hAnsi="Arial" w:cs="Arial"/>
          <w:lang w:val="pt-BR"/>
        </w:rPr>
        <w:t>implement</w:t>
      </w:r>
      <w:proofErr w:type="spellEnd"/>
      <w:r w:rsidRPr="00066FAB">
        <w:rPr>
          <w:rFonts w:ascii="Arial" w:hAnsi="Arial" w:cs="Arial"/>
          <w:lang w:val="pt-BR"/>
        </w:rPr>
        <w:t xml:space="preserve"> </w:t>
      </w:r>
      <w:proofErr w:type="spellStart"/>
      <w:r w:rsidRPr="00066FAB">
        <w:rPr>
          <w:rFonts w:ascii="Arial" w:hAnsi="Arial" w:cs="Arial"/>
          <w:lang w:val="pt-BR"/>
        </w:rPr>
        <w:t>the</w:t>
      </w:r>
      <w:proofErr w:type="spellEnd"/>
      <w:r w:rsidRPr="00066FAB">
        <w:rPr>
          <w:rFonts w:ascii="Arial" w:hAnsi="Arial" w:cs="Arial"/>
          <w:lang w:val="pt-BR"/>
        </w:rPr>
        <w:t xml:space="preserve"> </w:t>
      </w:r>
      <w:proofErr w:type="spellStart"/>
      <w:r w:rsidRPr="00066FAB">
        <w:rPr>
          <w:rFonts w:ascii="Arial" w:hAnsi="Arial" w:cs="Arial"/>
          <w:lang w:val="pt-BR"/>
        </w:rPr>
        <w:t>number</w:t>
      </w:r>
      <w:proofErr w:type="spellEnd"/>
      <w:r w:rsidRPr="00066FAB">
        <w:rPr>
          <w:rFonts w:ascii="Arial" w:hAnsi="Arial" w:cs="Arial"/>
          <w:lang w:val="pt-BR"/>
        </w:rPr>
        <w:t xml:space="preserve"> 6 as a </w:t>
      </w:r>
      <w:proofErr w:type="spellStart"/>
      <w:r w:rsidRPr="00066FAB">
        <w:rPr>
          <w:rFonts w:ascii="Arial" w:hAnsi="Arial" w:cs="Arial"/>
          <w:lang w:val="pt-BR"/>
        </w:rPr>
        <w:t>new</w:t>
      </w:r>
      <w:proofErr w:type="spellEnd"/>
      <w:r w:rsidRPr="00066FAB">
        <w:rPr>
          <w:rFonts w:ascii="Arial" w:hAnsi="Arial" w:cs="Arial"/>
          <w:lang w:val="pt-BR"/>
        </w:rPr>
        <w:t xml:space="preserve"> NDC </w:t>
      </w:r>
      <w:r w:rsidRPr="00066FAB">
        <w:rPr>
          <w:rFonts w:ascii="Arial" w:hAnsi="Arial" w:cs="Arial"/>
        </w:rPr>
        <w:t>– National Destination Code</w:t>
      </w:r>
      <w:r w:rsidRPr="00066FAB">
        <w:rPr>
          <w:rFonts w:ascii="Arial" w:hAnsi="Arial" w:cs="Arial"/>
          <w:lang w:val="pt-BR"/>
        </w:rPr>
        <w:t xml:space="preserve"> in its </w:t>
      </w:r>
      <w:proofErr w:type="spellStart"/>
      <w:r w:rsidRPr="00066FAB">
        <w:rPr>
          <w:rFonts w:ascii="Arial" w:hAnsi="Arial" w:cs="Arial"/>
          <w:lang w:val="pt-BR"/>
        </w:rPr>
        <w:t>National</w:t>
      </w:r>
      <w:proofErr w:type="spellEnd"/>
      <w:r w:rsidRPr="00066FAB">
        <w:rPr>
          <w:rFonts w:ascii="Arial" w:hAnsi="Arial" w:cs="Arial"/>
          <w:lang w:val="pt-BR"/>
        </w:rPr>
        <w:t xml:space="preserve"> </w:t>
      </w:r>
      <w:proofErr w:type="spellStart"/>
      <w:r w:rsidRPr="00066FAB">
        <w:rPr>
          <w:rFonts w:ascii="Arial" w:hAnsi="Arial" w:cs="Arial"/>
          <w:lang w:val="pt-BR"/>
        </w:rPr>
        <w:t>numbering</w:t>
      </w:r>
      <w:proofErr w:type="spellEnd"/>
      <w:r w:rsidRPr="00066FAB">
        <w:rPr>
          <w:rFonts w:ascii="Arial" w:hAnsi="Arial" w:cs="Arial"/>
          <w:lang w:val="pt-BR"/>
        </w:rPr>
        <w:t xml:space="preserve">. </w:t>
      </w:r>
      <w:proofErr w:type="spellStart"/>
      <w:r w:rsidRPr="00066FAB">
        <w:rPr>
          <w:rFonts w:ascii="Arial" w:hAnsi="Arial" w:cs="Arial"/>
          <w:lang w:val="pt-BR"/>
        </w:rPr>
        <w:t>This</w:t>
      </w:r>
      <w:proofErr w:type="spellEnd"/>
      <w:r w:rsidRPr="00066FAB">
        <w:rPr>
          <w:rFonts w:ascii="Arial" w:hAnsi="Arial" w:cs="Arial"/>
          <w:lang w:val="pt-BR"/>
        </w:rPr>
        <w:t xml:space="preserve"> </w:t>
      </w:r>
      <w:proofErr w:type="spellStart"/>
      <w:r w:rsidRPr="00066FAB">
        <w:rPr>
          <w:rFonts w:ascii="Arial" w:hAnsi="Arial" w:cs="Arial"/>
          <w:lang w:val="pt-BR"/>
        </w:rPr>
        <w:t>will</w:t>
      </w:r>
      <w:proofErr w:type="spellEnd"/>
      <w:r w:rsidRPr="00066FAB">
        <w:rPr>
          <w:rFonts w:ascii="Arial" w:hAnsi="Arial" w:cs="Arial"/>
          <w:lang w:val="pt-BR"/>
        </w:rPr>
        <w:t xml:space="preserve"> come </w:t>
      </w:r>
      <w:proofErr w:type="spellStart"/>
      <w:r w:rsidRPr="00066FAB">
        <w:rPr>
          <w:rFonts w:ascii="Arial" w:hAnsi="Arial" w:cs="Arial"/>
          <w:lang w:val="pt-BR"/>
        </w:rPr>
        <w:t>into</w:t>
      </w:r>
      <w:proofErr w:type="spellEnd"/>
      <w:r w:rsidRPr="00066FAB">
        <w:rPr>
          <w:rFonts w:ascii="Arial" w:hAnsi="Arial" w:cs="Arial"/>
          <w:lang w:val="pt-BR"/>
        </w:rPr>
        <w:t xml:space="preserve"> </w:t>
      </w:r>
      <w:proofErr w:type="spellStart"/>
      <w:r w:rsidRPr="00066FAB">
        <w:rPr>
          <w:rFonts w:ascii="Arial" w:hAnsi="Arial" w:cs="Arial"/>
          <w:lang w:val="pt-BR"/>
        </w:rPr>
        <w:t>effect</w:t>
      </w:r>
      <w:proofErr w:type="spellEnd"/>
      <w:r w:rsidRPr="00066FAB">
        <w:rPr>
          <w:rFonts w:ascii="Arial" w:hAnsi="Arial" w:cs="Arial"/>
          <w:lang w:val="pt-BR"/>
        </w:rPr>
        <w:t xml:space="preserve"> </w:t>
      </w:r>
      <w:proofErr w:type="spellStart"/>
      <w:r w:rsidRPr="00066FAB">
        <w:rPr>
          <w:rFonts w:ascii="Arial" w:hAnsi="Arial" w:cs="Arial"/>
          <w:lang w:val="pt-BR"/>
        </w:rPr>
        <w:t>on</w:t>
      </w:r>
      <w:proofErr w:type="spellEnd"/>
      <w:r w:rsidRPr="00066FAB">
        <w:rPr>
          <w:rFonts w:ascii="Arial" w:hAnsi="Arial" w:cs="Arial"/>
          <w:lang w:val="pt-BR"/>
        </w:rPr>
        <w:t xml:space="preserve"> 23 </w:t>
      </w:r>
      <w:proofErr w:type="spellStart"/>
      <w:r w:rsidRPr="00066FAB">
        <w:rPr>
          <w:rFonts w:ascii="Arial" w:hAnsi="Arial" w:cs="Arial"/>
          <w:lang w:val="pt-BR"/>
        </w:rPr>
        <w:t>November</w:t>
      </w:r>
      <w:proofErr w:type="spellEnd"/>
      <w:r w:rsidRPr="00066FAB">
        <w:rPr>
          <w:rFonts w:ascii="Arial" w:hAnsi="Arial" w:cs="Arial"/>
          <w:lang w:val="pt-BR"/>
        </w:rPr>
        <w:t xml:space="preserve"> 2011 </w:t>
      </w:r>
      <w:proofErr w:type="spellStart"/>
      <w:r w:rsidRPr="00066FAB">
        <w:rPr>
          <w:rFonts w:ascii="Arial" w:hAnsi="Arial" w:cs="Arial"/>
          <w:lang w:val="pt-BR"/>
        </w:rPr>
        <w:t>at</w:t>
      </w:r>
      <w:proofErr w:type="spellEnd"/>
      <w:r w:rsidRPr="00066FAB">
        <w:rPr>
          <w:rFonts w:ascii="Arial" w:hAnsi="Arial" w:cs="Arial"/>
          <w:lang w:val="pt-BR"/>
        </w:rPr>
        <w:t xml:space="preserve"> 0000 </w:t>
      </w:r>
      <w:proofErr w:type="spellStart"/>
      <w:r w:rsidRPr="00066FAB">
        <w:rPr>
          <w:rFonts w:ascii="Arial" w:hAnsi="Arial" w:cs="Arial"/>
          <w:lang w:val="pt-BR"/>
        </w:rPr>
        <w:t>hours</w:t>
      </w:r>
      <w:proofErr w:type="spellEnd"/>
      <w:r w:rsidRPr="00066FAB">
        <w:rPr>
          <w:rFonts w:ascii="Arial" w:hAnsi="Arial" w:cs="Arial"/>
          <w:lang w:val="pt-BR"/>
        </w:rPr>
        <w:t xml:space="preserve"> (local time), </w:t>
      </w:r>
      <w:proofErr w:type="spellStart"/>
      <w:r w:rsidRPr="00066FAB">
        <w:rPr>
          <w:rFonts w:ascii="Arial" w:hAnsi="Arial" w:cs="Arial"/>
          <w:lang w:val="pt-BR"/>
        </w:rPr>
        <w:t>or</w:t>
      </w:r>
      <w:proofErr w:type="spellEnd"/>
      <w:r w:rsidRPr="00066FAB">
        <w:rPr>
          <w:rFonts w:ascii="Arial" w:hAnsi="Arial" w:cs="Arial"/>
          <w:lang w:val="pt-BR"/>
        </w:rPr>
        <w:t xml:space="preserve"> 0600 </w:t>
      </w:r>
      <w:proofErr w:type="spellStart"/>
      <w:r w:rsidRPr="00066FAB">
        <w:rPr>
          <w:rFonts w:ascii="Arial" w:hAnsi="Arial" w:cs="Arial"/>
          <w:lang w:val="pt-BR"/>
        </w:rPr>
        <w:t>hours</w:t>
      </w:r>
      <w:proofErr w:type="spellEnd"/>
      <w:r w:rsidRPr="00066FAB">
        <w:rPr>
          <w:rFonts w:ascii="Arial" w:hAnsi="Arial" w:cs="Arial"/>
          <w:lang w:val="pt-BR"/>
        </w:rPr>
        <w:t xml:space="preserve"> UTC.</w:t>
      </w:r>
    </w:p>
    <w:p w:rsidR="00EC7C4F" w:rsidRDefault="00EC7C4F" w:rsidP="00EC7C4F">
      <w:pPr>
        <w:rPr>
          <w:rFonts w:ascii="Arial" w:hAnsi="Arial" w:cs="Arial"/>
          <w:lang w:val="pt-BR"/>
        </w:rPr>
      </w:pPr>
    </w:p>
    <w:p w:rsidR="00066FAB" w:rsidRDefault="00066FAB" w:rsidP="00EC7C4F">
      <w:pPr>
        <w:rPr>
          <w:rFonts w:ascii="Arial" w:hAnsi="Arial" w:cs="Arial"/>
          <w:lang w:val="pt-BR"/>
        </w:rPr>
      </w:pPr>
    </w:p>
    <w:p w:rsidR="00066FAB" w:rsidRDefault="00066FAB">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lang w:val="pt-BR"/>
        </w:rPr>
      </w:pPr>
      <w:r>
        <w:rPr>
          <w:rFonts w:ascii="Arial" w:hAnsi="Arial" w:cs="Arial"/>
          <w:lang w:val="pt-BR"/>
        </w:rPr>
        <w:br w:type="page"/>
      </w:r>
    </w:p>
    <w:p w:rsidR="00EC7C4F" w:rsidRPr="00066FAB" w:rsidRDefault="00EC7C4F" w:rsidP="00EC7C4F">
      <w:pPr>
        <w:jc w:val="center"/>
        <w:rPr>
          <w:rFonts w:ascii="Arial" w:hAnsi="Arial" w:cs="Arial"/>
          <w:lang w:val="pt-BR"/>
        </w:rPr>
      </w:pPr>
      <w:proofErr w:type="spellStart"/>
      <w:r w:rsidRPr="00066FAB">
        <w:rPr>
          <w:rFonts w:ascii="Arial" w:hAnsi="Arial" w:cs="Arial"/>
          <w:lang w:val="pt-BR"/>
        </w:rPr>
        <w:lastRenderedPageBreak/>
        <w:t>Description</w:t>
      </w:r>
      <w:proofErr w:type="spellEnd"/>
      <w:r w:rsidRPr="00066FAB">
        <w:rPr>
          <w:rFonts w:ascii="Arial" w:hAnsi="Arial" w:cs="Arial"/>
          <w:lang w:val="pt-BR"/>
        </w:rPr>
        <w:t xml:space="preserve"> </w:t>
      </w:r>
      <w:proofErr w:type="spellStart"/>
      <w:r w:rsidRPr="00066FAB">
        <w:rPr>
          <w:rFonts w:ascii="Arial" w:hAnsi="Arial" w:cs="Arial"/>
          <w:lang w:val="pt-BR"/>
        </w:rPr>
        <w:t>of</w:t>
      </w:r>
      <w:proofErr w:type="spellEnd"/>
      <w:r w:rsidRPr="00066FAB">
        <w:rPr>
          <w:rFonts w:ascii="Arial" w:hAnsi="Arial" w:cs="Arial"/>
          <w:lang w:val="pt-BR"/>
        </w:rPr>
        <w:t xml:space="preserve"> </w:t>
      </w:r>
      <w:proofErr w:type="spellStart"/>
      <w:r w:rsidRPr="00066FAB">
        <w:rPr>
          <w:rFonts w:ascii="Arial" w:hAnsi="Arial" w:cs="Arial"/>
          <w:lang w:val="pt-BR"/>
        </w:rPr>
        <w:t>the</w:t>
      </w:r>
      <w:proofErr w:type="spellEnd"/>
      <w:r w:rsidRPr="00066FAB">
        <w:rPr>
          <w:rFonts w:ascii="Arial" w:hAnsi="Arial" w:cs="Arial"/>
          <w:lang w:val="pt-BR"/>
        </w:rPr>
        <w:t xml:space="preserve"> </w:t>
      </w:r>
      <w:proofErr w:type="spellStart"/>
      <w:r w:rsidRPr="00066FAB">
        <w:rPr>
          <w:rFonts w:ascii="Arial" w:hAnsi="Arial" w:cs="Arial"/>
          <w:lang w:val="pt-BR"/>
        </w:rPr>
        <w:t>implementation</w:t>
      </w:r>
      <w:proofErr w:type="spellEnd"/>
      <w:r w:rsidRPr="00066FAB">
        <w:rPr>
          <w:rFonts w:ascii="Arial" w:hAnsi="Arial" w:cs="Arial"/>
          <w:lang w:val="pt-BR"/>
        </w:rPr>
        <w:t xml:space="preserve"> </w:t>
      </w:r>
      <w:proofErr w:type="spellStart"/>
      <w:r w:rsidRPr="00066FAB">
        <w:rPr>
          <w:rFonts w:ascii="Arial" w:hAnsi="Arial" w:cs="Arial"/>
          <w:lang w:val="pt-BR"/>
        </w:rPr>
        <w:t>of</w:t>
      </w:r>
      <w:proofErr w:type="spellEnd"/>
      <w:r w:rsidRPr="00066FAB">
        <w:rPr>
          <w:rFonts w:ascii="Arial" w:hAnsi="Arial" w:cs="Arial"/>
          <w:lang w:val="pt-BR"/>
        </w:rPr>
        <w:t xml:space="preserve"> </w:t>
      </w:r>
      <w:proofErr w:type="spellStart"/>
      <w:r w:rsidRPr="00066FAB">
        <w:rPr>
          <w:rFonts w:ascii="Arial" w:hAnsi="Arial" w:cs="Arial"/>
          <w:lang w:val="pt-BR"/>
        </w:rPr>
        <w:t>the</w:t>
      </w:r>
      <w:proofErr w:type="spellEnd"/>
      <w:r w:rsidRPr="00066FAB">
        <w:rPr>
          <w:rFonts w:ascii="Arial" w:hAnsi="Arial" w:cs="Arial"/>
          <w:lang w:val="pt-BR"/>
        </w:rPr>
        <w:t xml:space="preserve">  </w:t>
      </w:r>
      <w:proofErr w:type="spellStart"/>
      <w:r w:rsidRPr="00066FAB">
        <w:rPr>
          <w:rFonts w:ascii="Arial" w:hAnsi="Arial" w:cs="Arial"/>
          <w:lang w:val="pt-BR"/>
        </w:rPr>
        <w:t>new</w:t>
      </w:r>
      <w:proofErr w:type="spellEnd"/>
      <w:r w:rsidRPr="00066FAB">
        <w:rPr>
          <w:rFonts w:ascii="Arial" w:hAnsi="Arial" w:cs="Arial"/>
          <w:lang w:val="pt-BR"/>
        </w:rPr>
        <w:t xml:space="preserve"> </w:t>
      </w:r>
      <w:proofErr w:type="spellStart"/>
      <w:r w:rsidRPr="00066FAB">
        <w:rPr>
          <w:rFonts w:ascii="Arial" w:hAnsi="Arial" w:cs="Arial"/>
          <w:lang w:val="pt-BR"/>
        </w:rPr>
        <w:t>number</w:t>
      </w:r>
      <w:proofErr w:type="spellEnd"/>
      <w:r w:rsidRPr="00066FAB">
        <w:rPr>
          <w:rFonts w:ascii="Arial" w:hAnsi="Arial" w:cs="Arial"/>
          <w:lang w:val="pt-BR"/>
        </w:rPr>
        <w:t xml:space="preserve">  NDC in </w:t>
      </w:r>
      <w:proofErr w:type="spellStart"/>
      <w:r w:rsidRPr="00066FAB">
        <w:rPr>
          <w:rFonts w:ascii="Arial" w:hAnsi="Arial" w:cs="Arial"/>
          <w:lang w:val="pt-BR"/>
        </w:rPr>
        <w:t>the</w:t>
      </w:r>
      <w:proofErr w:type="spellEnd"/>
      <w:r w:rsidRPr="00066FAB">
        <w:rPr>
          <w:rFonts w:ascii="Arial" w:hAnsi="Arial" w:cs="Arial"/>
          <w:lang w:val="pt-BR"/>
        </w:rPr>
        <w:t xml:space="preserve"> </w:t>
      </w:r>
      <w:proofErr w:type="spellStart"/>
      <w:r w:rsidRPr="00066FAB">
        <w:rPr>
          <w:rFonts w:ascii="Arial" w:hAnsi="Arial" w:cs="Arial"/>
          <w:lang w:val="pt-BR"/>
        </w:rPr>
        <w:t>National</w:t>
      </w:r>
      <w:proofErr w:type="spellEnd"/>
      <w:r w:rsidRPr="00066FAB">
        <w:rPr>
          <w:rFonts w:ascii="Arial" w:hAnsi="Arial" w:cs="Arial"/>
          <w:lang w:val="pt-BR"/>
        </w:rPr>
        <w:t xml:space="preserve"> </w:t>
      </w:r>
      <w:proofErr w:type="spellStart"/>
      <w:r w:rsidRPr="00066FAB">
        <w:rPr>
          <w:rFonts w:ascii="Arial" w:hAnsi="Arial" w:cs="Arial"/>
          <w:lang w:val="pt-BR"/>
        </w:rPr>
        <w:t>Numbering</w:t>
      </w:r>
      <w:proofErr w:type="spellEnd"/>
      <w:r w:rsidRPr="00066FAB">
        <w:rPr>
          <w:rFonts w:ascii="Arial" w:hAnsi="Arial" w:cs="Arial"/>
          <w:lang w:val="pt-BR"/>
        </w:rPr>
        <w:t xml:space="preserve"> </w:t>
      </w:r>
      <w:proofErr w:type="spellStart"/>
      <w:r w:rsidRPr="00066FAB">
        <w:rPr>
          <w:rFonts w:ascii="Arial" w:hAnsi="Arial" w:cs="Arial"/>
          <w:lang w:val="pt-BR"/>
        </w:rPr>
        <w:t>plan</w:t>
      </w:r>
      <w:proofErr w:type="spellEnd"/>
      <w:r w:rsidRPr="00066FAB">
        <w:rPr>
          <w:rFonts w:ascii="Arial" w:hAnsi="Arial" w:cs="Arial"/>
          <w:lang w:val="pt-BR"/>
        </w:rPr>
        <w:t xml:space="preserve"> (NNP) </w:t>
      </w:r>
      <w:r w:rsidRPr="00066FAB">
        <w:rPr>
          <w:rFonts w:ascii="Arial" w:hAnsi="Arial" w:cs="Arial"/>
          <w:lang w:val="pt-BR"/>
        </w:rPr>
        <w:br/>
        <w:t xml:space="preserve">for Country </w:t>
      </w:r>
      <w:proofErr w:type="spellStart"/>
      <w:r w:rsidRPr="00066FAB">
        <w:rPr>
          <w:rFonts w:ascii="Arial" w:hAnsi="Arial" w:cs="Arial"/>
          <w:lang w:val="pt-BR"/>
        </w:rPr>
        <w:t>Code</w:t>
      </w:r>
      <w:proofErr w:type="spellEnd"/>
      <w:r w:rsidRPr="00066FAB">
        <w:rPr>
          <w:rFonts w:ascii="Arial" w:hAnsi="Arial" w:cs="Arial"/>
          <w:lang w:val="pt-BR"/>
        </w:rPr>
        <w:t xml:space="preserve"> (CC) +503</w:t>
      </w:r>
    </w:p>
    <w:p w:rsidR="00EC7C4F" w:rsidRPr="00066FAB" w:rsidRDefault="00EC7C4F" w:rsidP="00EC7C4F">
      <w:pPr>
        <w:rPr>
          <w:rFonts w:ascii="Arial" w:hAnsi="Arial" w:cs="Arial"/>
          <w:lang w:val="pt-BR"/>
        </w:rPr>
      </w:pPr>
    </w:p>
    <w:tbl>
      <w:tblPr>
        <w:tblW w:w="9747" w:type="dxa"/>
        <w:jc w:val="center"/>
        <w:tblInd w:w="-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48"/>
        <w:gridCol w:w="946"/>
        <w:gridCol w:w="1701"/>
        <w:gridCol w:w="1276"/>
        <w:gridCol w:w="850"/>
        <w:gridCol w:w="709"/>
        <w:gridCol w:w="1134"/>
        <w:gridCol w:w="1383"/>
      </w:tblGrid>
      <w:tr w:rsidR="00EC7C4F" w:rsidRPr="00066FAB" w:rsidTr="00066FAB">
        <w:trPr>
          <w:cantSplit/>
          <w:tblHeader/>
          <w:jc w:val="center"/>
        </w:trPr>
        <w:tc>
          <w:tcPr>
            <w:tcW w:w="1748" w:type="dxa"/>
            <w:vMerge w:val="restart"/>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rPr>
            </w:pPr>
            <w:r w:rsidRPr="00066FAB">
              <w:rPr>
                <w:rFonts w:ascii="Arial" w:hAnsi="Arial" w:cs="Arial"/>
                <w:sz w:val="20"/>
                <w:lang w:val="en-US"/>
              </w:rPr>
              <w:t>Communicated date</w:t>
            </w:r>
            <w:r w:rsidRPr="00066FAB">
              <w:rPr>
                <w:rFonts w:ascii="Arial" w:hAnsi="Arial" w:cs="Arial"/>
                <w:sz w:val="20"/>
              </w:rPr>
              <w:t xml:space="preserve"> of </w:t>
            </w:r>
            <w:proofErr w:type="spellStart"/>
            <w:r w:rsidRPr="00066FAB">
              <w:rPr>
                <w:rFonts w:ascii="Arial" w:hAnsi="Arial" w:cs="Arial"/>
                <w:sz w:val="20"/>
              </w:rPr>
              <w:t>implementation</w:t>
            </w:r>
            <w:proofErr w:type="spellEnd"/>
            <w:r w:rsidRPr="00066FAB">
              <w:rPr>
                <w:rFonts w:ascii="Arial" w:hAnsi="Arial" w:cs="Arial"/>
                <w:sz w:val="20"/>
              </w:rPr>
              <w:br/>
              <w:t>(UTC)</w:t>
            </w:r>
          </w:p>
        </w:tc>
        <w:tc>
          <w:tcPr>
            <w:tcW w:w="2647" w:type="dxa"/>
            <w:gridSpan w:val="2"/>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lang w:val="en-US"/>
              </w:rPr>
            </w:pPr>
            <w:r w:rsidRPr="00066FAB">
              <w:rPr>
                <w:rFonts w:ascii="Arial" w:hAnsi="Arial" w:cs="Arial"/>
                <w:sz w:val="20"/>
                <w:lang w:val="en-US"/>
              </w:rPr>
              <w:t>N(S)N</w:t>
            </w:r>
            <w:r w:rsidRPr="00066FAB">
              <w:rPr>
                <w:rFonts w:ascii="Arial" w:hAnsi="Arial" w:cs="Arial"/>
                <w:sz w:val="20"/>
                <w:lang w:val="en-US"/>
              </w:rPr>
              <w:br/>
              <w:t>(National (Significant) Number)</w:t>
            </w:r>
          </w:p>
        </w:tc>
        <w:tc>
          <w:tcPr>
            <w:tcW w:w="1276" w:type="dxa"/>
            <w:vMerge w:val="restart"/>
            <w:tcBorders>
              <w:top w:val="single" w:sz="6" w:space="0" w:color="auto"/>
              <w:left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rPr>
            </w:pPr>
            <w:r w:rsidRPr="00066FAB">
              <w:rPr>
                <w:rFonts w:ascii="Arial" w:hAnsi="Arial" w:cs="Arial"/>
                <w:sz w:val="20"/>
                <w:lang w:val="en-US"/>
              </w:rPr>
              <w:t>Usage of E.164 number</w:t>
            </w:r>
          </w:p>
        </w:tc>
        <w:tc>
          <w:tcPr>
            <w:tcW w:w="1559" w:type="dxa"/>
            <w:gridSpan w:val="2"/>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rPr>
            </w:pPr>
            <w:r w:rsidRPr="00066FAB">
              <w:rPr>
                <w:rFonts w:ascii="Arial" w:hAnsi="Arial" w:cs="Arial"/>
                <w:sz w:val="20"/>
                <w:lang w:val="en-US"/>
              </w:rPr>
              <w:t>Parallel running</w:t>
            </w:r>
          </w:p>
        </w:tc>
        <w:tc>
          <w:tcPr>
            <w:tcW w:w="1134" w:type="dxa"/>
            <w:vMerge w:val="restart"/>
            <w:tcBorders>
              <w:top w:val="single" w:sz="6" w:space="0" w:color="auto"/>
              <w:left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rPr>
            </w:pPr>
            <w:r w:rsidRPr="00066FAB">
              <w:rPr>
                <w:rFonts w:ascii="Arial" w:hAnsi="Arial" w:cs="Arial"/>
                <w:sz w:val="20"/>
                <w:lang w:val="en-US"/>
              </w:rPr>
              <w:t>Operator</w:t>
            </w:r>
          </w:p>
        </w:tc>
        <w:tc>
          <w:tcPr>
            <w:tcW w:w="1383" w:type="dxa"/>
            <w:vMerge w:val="restart"/>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lang w:val="en-US"/>
              </w:rPr>
            </w:pPr>
            <w:r w:rsidRPr="00066FAB">
              <w:rPr>
                <w:rFonts w:ascii="Arial" w:hAnsi="Arial" w:cs="Arial"/>
                <w:sz w:val="20"/>
                <w:lang w:val="en-US"/>
              </w:rPr>
              <w:t>Proposed wording of announce-</w:t>
            </w:r>
            <w:proofErr w:type="spellStart"/>
            <w:r w:rsidRPr="00066FAB">
              <w:rPr>
                <w:rFonts w:ascii="Arial" w:hAnsi="Arial" w:cs="Arial"/>
                <w:sz w:val="20"/>
                <w:lang w:val="en-US"/>
              </w:rPr>
              <w:t>ment</w:t>
            </w:r>
            <w:proofErr w:type="spellEnd"/>
          </w:p>
        </w:tc>
      </w:tr>
      <w:tr w:rsidR="00EC7C4F" w:rsidRPr="00066FAB" w:rsidTr="00066FAB">
        <w:trPr>
          <w:cantSplit/>
          <w:tblHeader/>
          <w:jc w:val="center"/>
        </w:trPr>
        <w:tc>
          <w:tcPr>
            <w:tcW w:w="1748" w:type="dxa"/>
            <w:vMerge/>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rPr>
                <w:rFonts w:ascii="Arial" w:hAnsi="Arial" w:cs="Arial"/>
                <w:i/>
              </w:rPr>
            </w:pPr>
          </w:p>
        </w:tc>
        <w:tc>
          <w:tcPr>
            <w:tcW w:w="946" w:type="dxa"/>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lang w:val="es-ES"/>
              </w:rPr>
            </w:pPr>
            <w:proofErr w:type="spellStart"/>
            <w:r w:rsidRPr="00066FAB">
              <w:rPr>
                <w:rFonts w:ascii="Arial" w:hAnsi="Arial" w:cs="Arial"/>
                <w:sz w:val="20"/>
              </w:rPr>
              <w:t>Old</w:t>
            </w:r>
            <w:proofErr w:type="spellEnd"/>
            <w:r w:rsidRPr="00066FAB">
              <w:rPr>
                <w:rFonts w:ascii="Arial" w:hAnsi="Arial" w:cs="Arial"/>
                <w:sz w:val="20"/>
              </w:rPr>
              <w:t xml:space="preserve"> </w:t>
            </w:r>
            <w:proofErr w:type="spellStart"/>
            <w:r w:rsidRPr="00066FAB">
              <w:rPr>
                <w:rFonts w:ascii="Arial" w:hAnsi="Arial" w:cs="Arial"/>
                <w:sz w:val="20"/>
              </w:rPr>
              <w:t>number</w:t>
            </w:r>
            <w:proofErr w:type="spellEnd"/>
          </w:p>
        </w:tc>
        <w:tc>
          <w:tcPr>
            <w:tcW w:w="1701" w:type="dxa"/>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b/>
                <w:bCs/>
                <w:sz w:val="20"/>
                <w:lang w:val="es-ES"/>
              </w:rPr>
            </w:pPr>
            <w:r w:rsidRPr="00066FAB">
              <w:rPr>
                <w:rFonts w:ascii="Arial" w:hAnsi="Arial" w:cs="Arial"/>
                <w:sz w:val="20"/>
              </w:rPr>
              <w:t xml:space="preserve">New </w:t>
            </w:r>
            <w:proofErr w:type="spellStart"/>
            <w:r w:rsidRPr="00066FAB">
              <w:rPr>
                <w:rFonts w:ascii="Arial" w:hAnsi="Arial" w:cs="Arial"/>
                <w:sz w:val="20"/>
              </w:rPr>
              <w:t>number</w:t>
            </w:r>
            <w:proofErr w:type="spellEnd"/>
          </w:p>
        </w:tc>
        <w:tc>
          <w:tcPr>
            <w:tcW w:w="1276" w:type="dxa"/>
            <w:vMerge/>
            <w:tcBorders>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sz w:val="20"/>
              </w:rPr>
            </w:pPr>
          </w:p>
        </w:tc>
        <w:tc>
          <w:tcPr>
            <w:tcW w:w="850" w:type="dxa"/>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sz w:val="20"/>
              </w:rPr>
            </w:pPr>
            <w:r w:rsidRPr="00066FAB">
              <w:rPr>
                <w:rFonts w:ascii="Arial" w:hAnsi="Arial" w:cs="Arial"/>
                <w:sz w:val="20"/>
                <w:lang w:val="en-US"/>
              </w:rPr>
              <w:t>Begins</w:t>
            </w:r>
          </w:p>
        </w:tc>
        <w:tc>
          <w:tcPr>
            <w:tcW w:w="709" w:type="dxa"/>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pStyle w:val="Tablehead0"/>
              <w:rPr>
                <w:rFonts w:ascii="Arial" w:hAnsi="Arial" w:cs="Arial"/>
                <w:sz w:val="20"/>
              </w:rPr>
            </w:pPr>
            <w:r w:rsidRPr="00066FAB">
              <w:rPr>
                <w:rFonts w:ascii="Arial" w:hAnsi="Arial" w:cs="Arial"/>
                <w:sz w:val="20"/>
                <w:lang w:val="en-US"/>
              </w:rPr>
              <w:t>Ends</w:t>
            </w:r>
          </w:p>
        </w:tc>
        <w:tc>
          <w:tcPr>
            <w:tcW w:w="1134" w:type="dxa"/>
            <w:vMerge/>
            <w:tcBorders>
              <w:left w:val="single" w:sz="6" w:space="0" w:color="auto"/>
              <w:bottom w:val="single" w:sz="6" w:space="0" w:color="auto"/>
              <w:right w:val="single" w:sz="6" w:space="0" w:color="auto"/>
            </w:tcBorders>
            <w:vAlign w:val="center"/>
          </w:tcPr>
          <w:p w:rsidR="00EC7C4F" w:rsidRPr="00066FAB" w:rsidRDefault="00EC7C4F" w:rsidP="00E91627">
            <w:pPr>
              <w:pStyle w:val="Tablehead"/>
              <w:tabs>
                <w:tab w:val="left" w:pos="567"/>
              </w:tabs>
              <w:rPr>
                <w:rFonts w:ascii="Arial" w:hAnsi="Arial" w:cs="Arial"/>
                <w:b w:val="0"/>
                <w:bCs w:val="0"/>
                <w:sz w:val="20"/>
                <w:szCs w:val="20"/>
                <w:lang w:val="es-ES"/>
              </w:rPr>
            </w:pPr>
          </w:p>
        </w:tc>
        <w:tc>
          <w:tcPr>
            <w:tcW w:w="1383" w:type="dxa"/>
            <w:vMerge/>
            <w:tcBorders>
              <w:top w:val="single" w:sz="6" w:space="0" w:color="auto"/>
              <w:left w:val="single" w:sz="6" w:space="0" w:color="auto"/>
              <w:bottom w:val="single" w:sz="6" w:space="0" w:color="auto"/>
              <w:right w:val="single" w:sz="6" w:space="0" w:color="auto"/>
            </w:tcBorders>
            <w:vAlign w:val="center"/>
          </w:tcPr>
          <w:p w:rsidR="00EC7C4F" w:rsidRPr="00066FAB" w:rsidRDefault="00EC7C4F" w:rsidP="00E91627">
            <w:pPr>
              <w:rPr>
                <w:rFonts w:ascii="Arial" w:hAnsi="Arial" w:cs="Arial"/>
                <w:i/>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60XX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n-US"/>
              </w:rPr>
              <w:t>Non-geographic number</w:t>
            </w:r>
            <w:r w:rsidRPr="00066FAB">
              <w:rPr>
                <w:rFonts w:ascii="Arial" w:hAnsi="Arial" w:cs="Arial"/>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61XX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62XX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s-ES"/>
              </w:rPr>
              <w:t>Non-</w:t>
            </w:r>
            <w:proofErr w:type="spellStart"/>
            <w:r w:rsidRPr="00066FAB">
              <w:rPr>
                <w:rFonts w:ascii="Arial" w:hAnsi="Arial" w:cs="Arial"/>
                <w:color w:val="000000"/>
                <w:sz w:val="20"/>
                <w:lang w:val="es-ES"/>
              </w:rPr>
              <w:t>geographic</w:t>
            </w:r>
            <w:proofErr w:type="spellEnd"/>
            <w:r w:rsidRPr="00066FAB">
              <w:rPr>
                <w:rFonts w:ascii="Arial" w:hAnsi="Arial" w:cs="Arial"/>
                <w:color w:val="000000"/>
                <w:sz w:val="20"/>
                <w:lang w:val="es-ES"/>
              </w:rPr>
              <w:t xml:space="preserve"> </w:t>
            </w:r>
            <w:proofErr w:type="spellStart"/>
            <w:r w:rsidRPr="00066FAB">
              <w:rPr>
                <w:rFonts w:ascii="Arial" w:hAnsi="Arial" w:cs="Arial"/>
                <w:color w:val="000000"/>
                <w:sz w:val="20"/>
                <w:lang w:val="es-ES"/>
              </w:rPr>
              <w:t>number</w:t>
            </w:r>
            <w:proofErr w:type="spellEnd"/>
            <w:r w:rsidRPr="00066FAB">
              <w:rPr>
                <w:rFonts w:ascii="Arial" w:hAnsi="Arial" w:cs="Arial"/>
                <w:color w:val="000000"/>
                <w:sz w:val="20"/>
                <w:lang w:val="es-ES"/>
              </w:rPr>
              <w:br/>
              <w:t xml:space="preserve">Mobile </w:t>
            </w:r>
            <w:proofErr w:type="spellStart"/>
            <w:r w:rsidRPr="00066FAB">
              <w:rPr>
                <w:rFonts w:ascii="Arial" w:hAnsi="Arial" w:cs="Arial"/>
                <w:color w:val="000000"/>
                <w:sz w:val="20"/>
                <w:lang w:val="es-ES"/>
              </w:rPr>
              <w:t>telephony</w:t>
            </w:r>
            <w:proofErr w:type="spellEnd"/>
            <w:r w:rsidRPr="00066FAB">
              <w:rPr>
                <w:rFonts w:ascii="Arial" w:hAnsi="Arial" w:cs="Arial"/>
                <w:color w:val="000000"/>
                <w:sz w:val="20"/>
                <w:lang w:val="es-ES"/>
              </w:rPr>
              <w:t xml:space="preserve"> </w:t>
            </w:r>
            <w:proofErr w:type="spellStart"/>
            <w:r w:rsidRPr="00066FAB">
              <w:rPr>
                <w:rFonts w:ascii="Arial" w:hAnsi="Arial" w:cs="Arial"/>
                <w:color w:val="000000"/>
                <w:sz w:val="20"/>
                <w:lang w:val="es-ES"/>
              </w:rPr>
              <w:t>services</w:t>
            </w:r>
            <w:proofErr w:type="spellEnd"/>
            <w:r w:rsidRPr="00066FAB">
              <w:rPr>
                <w:rFonts w:ascii="Arial" w:hAnsi="Arial" w:cs="Arial"/>
                <w:sz w:val="20"/>
                <w:lang w:val="es-ES"/>
              </w:rPr>
              <w:t xml:space="preserve"> </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63XX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64XX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65XX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66XX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lastRenderedPageBreak/>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67XX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68XX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r w:rsidR="00EC7C4F" w:rsidRPr="00066FAB" w:rsidTr="00066FAB">
        <w:trPr>
          <w:cantSplit/>
          <w:jc w:val="center"/>
        </w:trPr>
        <w:tc>
          <w:tcPr>
            <w:tcW w:w="1748"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sz w:val="20"/>
                <w:lang w:val="es-ES"/>
              </w:rPr>
              <w:t>23.XI.2011</w:t>
            </w:r>
          </w:p>
        </w:tc>
        <w:tc>
          <w:tcPr>
            <w:tcW w:w="94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w:t>
            </w:r>
          </w:p>
        </w:tc>
        <w:tc>
          <w:tcPr>
            <w:tcW w:w="1701"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69XX XXXX</w:t>
            </w:r>
          </w:p>
        </w:tc>
        <w:tc>
          <w:tcPr>
            <w:tcW w:w="1276"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r w:rsidRPr="00066FAB">
              <w:rPr>
                <w:rFonts w:ascii="Arial" w:hAnsi="Arial" w:cs="Arial"/>
                <w:color w:val="000000"/>
                <w:sz w:val="20"/>
                <w:lang w:val="en-US"/>
              </w:rPr>
              <w:t>Non-geographic number</w:t>
            </w:r>
            <w:r w:rsidRPr="00066FAB">
              <w:rPr>
                <w:rFonts w:ascii="Arial" w:hAnsi="Arial" w:cs="Arial"/>
                <w:color w:val="000000"/>
                <w:sz w:val="20"/>
                <w:lang w:val="en-US"/>
              </w:rPr>
              <w:br/>
              <w:t>Mobile telephony services</w:t>
            </w:r>
          </w:p>
        </w:tc>
        <w:tc>
          <w:tcPr>
            <w:tcW w:w="850"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709"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134"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jc w:val="center"/>
              <w:rPr>
                <w:rFonts w:ascii="Arial" w:hAnsi="Arial" w:cs="Arial"/>
                <w:b/>
                <w:sz w:val="20"/>
                <w:lang w:val="es-ES"/>
              </w:rPr>
            </w:pPr>
            <w:r w:rsidRPr="00066FAB">
              <w:rPr>
                <w:rFonts w:ascii="Arial" w:hAnsi="Arial" w:cs="Arial"/>
                <w:sz w:val="20"/>
                <w:lang w:val="es-ES"/>
              </w:rPr>
              <w:t>N/A</w:t>
            </w:r>
          </w:p>
        </w:tc>
        <w:tc>
          <w:tcPr>
            <w:tcW w:w="1383" w:type="dxa"/>
            <w:tcBorders>
              <w:top w:val="single" w:sz="6" w:space="0" w:color="auto"/>
              <w:left w:val="single" w:sz="6" w:space="0" w:color="auto"/>
              <w:bottom w:val="single" w:sz="6" w:space="0" w:color="auto"/>
              <w:right w:val="single" w:sz="6" w:space="0" w:color="auto"/>
            </w:tcBorders>
          </w:tcPr>
          <w:p w:rsidR="00EC7C4F" w:rsidRPr="00066FAB" w:rsidRDefault="00EC7C4F" w:rsidP="00E91627">
            <w:pPr>
              <w:pStyle w:val="TableText1"/>
              <w:rPr>
                <w:rFonts w:ascii="Arial" w:hAnsi="Arial" w:cs="Arial"/>
                <w:b/>
                <w:sz w:val="20"/>
                <w:lang w:val="es-ES"/>
              </w:rPr>
            </w:pPr>
          </w:p>
        </w:tc>
      </w:tr>
    </w:tbl>
    <w:p w:rsidR="00EC7C4F" w:rsidRPr="00066FAB" w:rsidRDefault="00EC7C4F" w:rsidP="00EC7C4F">
      <w:pPr>
        <w:rPr>
          <w:rFonts w:ascii="Arial" w:hAnsi="Arial" w:cs="Arial"/>
          <w:lang w:val="es-ES"/>
        </w:rPr>
      </w:pPr>
      <w:r w:rsidRPr="00066FAB">
        <w:rPr>
          <w:rFonts w:ascii="Arial" w:hAnsi="Arial" w:cs="Arial"/>
          <w:lang w:val="es-ES"/>
        </w:rPr>
        <w:t>Contacto:</w:t>
      </w:r>
    </w:p>
    <w:p w:rsidR="00EC7C4F" w:rsidRPr="00066FAB" w:rsidRDefault="00EC7C4F" w:rsidP="00EC7C4F">
      <w:pPr>
        <w:ind w:left="567" w:hanging="567"/>
        <w:jc w:val="left"/>
        <w:rPr>
          <w:rFonts w:ascii="Arial" w:hAnsi="Arial" w:cs="Arial"/>
          <w:lang w:val="es-ES"/>
        </w:rPr>
      </w:pPr>
      <w:r w:rsidRPr="00066FAB">
        <w:rPr>
          <w:rFonts w:ascii="Arial" w:hAnsi="Arial" w:cs="Arial"/>
          <w:lang w:val="es-ES"/>
        </w:rPr>
        <w:tab/>
        <w:t xml:space="preserve">Sr. Luis </w:t>
      </w:r>
      <w:proofErr w:type="spellStart"/>
      <w:r w:rsidRPr="00066FAB">
        <w:rPr>
          <w:rFonts w:ascii="Arial" w:hAnsi="Arial" w:cs="Arial"/>
          <w:lang w:val="es-ES"/>
        </w:rPr>
        <w:t>Mendez</w:t>
      </w:r>
      <w:proofErr w:type="spellEnd"/>
      <w:r w:rsidRPr="00066FAB">
        <w:rPr>
          <w:rFonts w:ascii="Arial" w:hAnsi="Arial" w:cs="Arial"/>
          <w:lang w:val="es-ES"/>
        </w:rPr>
        <w:t xml:space="preserve"> Menéndez</w:t>
      </w:r>
      <w:r w:rsidRPr="00066FAB">
        <w:rPr>
          <w:rFonts w:ascii="Arial" w:hAnsi="Arial" w:cs="Arial"/>
          <w:lang w:val="es-ES"/>
        </w:rPr>
        <w:br/>
        <w:t>Superintendente</w:t>
      </w:r>
      <w:r w:rsidRPr="00066FAB">
        <w:rPr>
          <w:rFonts w:ascii="Arial" w:hAnsi="Arial" w:cs="Arial"/>
          <w:lang w:val="es-ES"/>
        </w:rPr>
        <w:br/>
        <w:t>Superintendencia General de Electricidad y Telecomunicaciones (SIGET)</w:t>
      </w:r>
      <w:r w:rsidRPr="00066FAB">
        <w:rPr>
          <w:rFonts w:ascii="Arial" w:hAnsi="Arial" w:cs="Arial"/>
          <w:lang w:val="es-ES"/>
        </w:rPr>
        <w:br/>
        <w:t xml:space="preserve">Sexta Décima Calle </w:t>
      </w:r>
      <w:proofErr w:type="spellStart"/>
      <w:r w:rsidRPr="00066FAB">
        <w:rPr>
          <w:rFonts w:ascii="Arial" w:hAnsi="Arial" w:cs="Arial"/>
          <w:lang w:val="es-ES"/>
        </w:rPr>
        <w:t>Pte</w:t>
      </w:r>
      <w:proofErr w:type="spellEnd"/>
      <w:r w:rsidRPr="00066FAB">
        <w:rPr>
          <w:rFonts w:ascii="Arial" w:hAnsi="Arial" w:cs="Arial"/>
          <w:lang w:val="es-ES"/>
        </w:rPr>
        <w:t>. Y 37e Sur #2001</w:t>
      </w:r>
      <w:r w:rsidRPr="00066FAB">
        <w:rPr>
          <w:rFonts w:ascii="Arial" w:hAnsi="Arial" w:cs="Arial"/>
          <w:lang w:val="es-ES"/>
        </w:rPr>
        <w:br/>
        <w:t>Colonia Flor Blanca</w:t>
      </w:r>
      <w:r w:rsidRPr="00066FAB">
        <w:rPr>
          <w:rFonts w:ascii="Arial" w:hAnsi="Arial" w:cs="Arial"/>
          <w:lang w:val="es-ES"/>
        </w:rPr>
        <w:br/>
        <w:t>SAN SALVADOR</w:t>
      </w:r>
      <w:r w:rsidRPr="00066FAB">
        <w:rPr>
          <w:rFonts w:ascii="Arial" w:hAnsi="Arial" w:cs="Arial"/>
          <w:lang w:val="es-ES"/>
        </w:rPr>
        <w:br/>
        <w:t>El Salvador C.A.</w:t>
      </w:r>
      <w:r w:rsidRPr="00066FAB">
        <w:rPr>
          <w:rFonts w:ascii="Arial" w:hAnsi="Arial" w:cs="Arial"/>
          <w:lang w:val="es-ES"/>
        </w:rPr>
        <w:br/>
        <w:t>Tel:</w:t>
      </w:r>
      <w:r w:rsidRPr="00066FAB">
        <w:rPr>
          <w:rFonts w:ascii="Arial" w:hAnsi="Arial" w:cs="Arial"/>
          <w:lang w:val="es-ES"/>
        </w:rPr>
        <w:tab/>
        <w:t>+503 2257 4438</w:t>
      </w:r>
      <w:r w:rsidRPr="00066FAB">
        <w:rPr>
          <w:rFonts w:ascii="Arial" w:hAnsi="Arial" w:cs="Arial"/>
          <w:lang w:val="es-ES"/>
        </w:rPr>
        <w:br/>
        <w:t>Fax:</w:t>
      </w:r>
      <w:r w:rsidRPr="00066FAB">
        <w:rPr>
          <w:rFonts w:ascii="Arial" w:hAnsi="Arial" w:cs="Arial"/>
          <w:lang w:val="es-ES"/>
        </w:rPr>
        <w:tab/>
        <w:t>+503 2257 4499</w:t>
      </w:r>
      <w:r w:rsidRPr="00066FAB">
        <w:rPr>
          <w:rFonts w:ascii="Arial" w:hAnsi="Arial" w:cs="Arial"/>
          <w:lang w:val="es-ES"/>
        </w:rPr>
        <w:br/>
        <w:t>E-mail:</w:t>
      </w:r>
      <w:r w:rsidRPr="00066FAB">
        <w:rPr>
          <w:rFonts w:ascii="Arial" w:hAnsi="Arial" w:cs="Arial"/>
          <w:lang w:val="es-ES"/>
        </w:rPr>
        <w:tab/>
        <w:t>siget@siget.gob.sv</w:t>
      </w:r>
    </w:p>
    <w:p w:rsidR="00EC7C4F" w:rsidRPr="00066FAB" w:rsidRDefault="00EC7C4F" w:rsidP="00EC7C4F">
      <w:pPr>
        <w:rPr>
          <w:rFonts w:ascii="Arial" w:hAnsi="Arial" w:cs="Arial"/>
          <w:lang w:val="es-ES"/>
        </w:rPr>
      </w:pPr>
    </w:p>
    <w:p w:rsidR="00EC7C4F" w:rsidRPr="00066FAB" w:rsidRDefault="00EC7C4F" w:rsidP="00EC7C4F">
      <w:pPr>
        <w:rPr>
          <w:rFonts w:ascii="Arial" w:hAnsi="Arial" w:cs="Arial"/>
          <w:lang w:val="es-ES"/>
        </w:rPr>
      </w:pPr>
    </w:p>
    <w:p w:rsidR="00A34642" w:rsidRPr="00066FAB" w:rsidRDefault="00A34642">
      <w:pPr>
        <w:rPr>
          <w:rFonts w:ascii="Arial" w:hAnsi="Arial" w:cs="Arial"/>
          <w:lang w:val="es-ES"/>
        </w:rPr>
      </w:pPr>
    </w:p>
    <w:sectPr w:rsidR="00A34642" w:rsidRPr="00066FAB" w:rsidSect="00A34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C7C4F"/>
    <w:rsid w:val="00066FAB"/>
    <w:rsid w:val="00081303"/>
    <w:rsid w:val="00A34642"/>
    <w:rsid w:val="00EC7C4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C4F"/>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lev1">
    <w:name w:val="enumlev1"/>
    <w:basedOn w:val="Normal"/>
    <w:link w:val="enumlev1Char"/>
    <w:rsid w:val="00EC7C4F"/>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EC7C4F"/>
    <w:rPr>
      <w:rFonts w:eastAsia="Times New Roman" w:cs="Times New Roman"/>
      <w:sz w:val="20"/>
      <w:szCs w:val="20"/>
      <w:lang w:val="en-GB" w:eastAsia="en-US"/>
    </w:rPr>
  </w:style>
  <w:style w:type="paragraph" w:customStyle="1" w:styleId="Tabletext">
    <w:name w:val="Table_text"/>
    <w:basedOn w:val="Normal"/>
    <w:link w:val="TabletextChar"/>
    <w:rsid w:val="00EC7C4F"/>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EC7C4F"/>
    <w:rPr>
      <w:rFonts w:ascii="Calibri" w:eastAsia="Times New Roman" w:hAnsi="Calibri" w:cs="Times New Roman"/>
      <w:b/>
      <w:sz w:val="18"/>
      <w:lang w:val="fr-FR" w:eastAsia="en-US"/>
    </w:rPr>
  </w:style>
  <w:style w:type="paragraph" w:customStyle="1" w:styleId="Tablehead">
    <w:name w:val="Table_head"/>
    <w:basedOn w:val="Normal"/>
    <w:next w:val="Normal"/>
    <w:rsid w:val="00EC7C4F"/>
    <w:pPr>
      <w:keepNext/>
      <w:tabs>
        <w:tab w:val="clear" w:pos="567"/>
        <w:tab w:val="clear" w:pos="5387"/>
        <w:tab w:val="clear" w:pos="5954"/>
      </w:tabs>
      <w:spacing w:before="80" w:after="80"/>
      <w:jc w:val="center"/>
    </w:pPr>
    <w:rPr>
      <w:b/>
      <w:bCs/>
      <w:i/>
      <w:sz w:val="18"/>
      <w:szCs w:val="22"/>
      <w:lang w:val="fr-FR"/>
    </w:rPr>
  </w:style>
  <w:style w:type="character" w:styleId="Hyperlink">
    <w:name w:val="Hyperlink"/>
    <w:basedOn w:val="DefaultParagraphFont"/>
    <w:rsid w:val="00EC7C4F"/>
    <w:rPr>
      <w:color w:val="0000FF"/>
      <w:u w:val="single"/>
    </w:rPr>
  </w:style>
  <w:style w:type="paragraph" w:customStyle="1" w:styleId="Tablehead0">
    <w:name w:val="Table head"/>
    <w:basedOn w:val="Tablehead"/>
    <w:rsid w:val="00EC7C4F"/>
    <w:pPr>
      <w:spacing w:before="60" w:after="60"/>
    </w:pPr>
    <w:rPr>
      <w:b w:val="0"/>
      <w:bCs w:val="0"/>
      <w:szCs w:val="20"/>
    </w:rPr>
  </w:style>
  <w:style w:type="paragraph" w:customStyle="1" w:styleId="Tabletext0">
    <w:name w:val="Table text"/>
    <w:basedOn w:val="Tabletext"/>
    <w:rsid w:val="00EC7C4F"/>
    <w:rPr>
      <w:b w:val="0"/>
      <w:bCs/>
    </w:rPr>
  </w:style>
  <w:style w:type="paragraph" w:customStyle="1" w:styleId="TableText1">
    <w:name w:val="Table_Text"/>
    <w:basedOn w:val="Normal"/>
    <w:rsid w:val="00EC7C4F"/>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get.gob.sv/index.php?option=com_content&amp;view=category&amp;id=102&amp;Itemid=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1098</Words>
  <Characters>6265</Characters>
  <Application>Microsoft Office Word</Application>
  <DocSecurity>0</DocSecurity>
  <Lines>52</Lines>
  <Paragraphs>14</Paragraphs>
  <ScaleCrop>false</ScaleCrop>
  <Company>ITU</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2012-01-04T09:54:00Z</dcterms:created>
  <dcterms:modified xsi:type="dcterms:W3CDTF">2012-01-04T10:00:00Z</dcterms:modified>
</cp:coreProperties>
</file>