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767"/>
        <w:gridCol w:w="751"/>
        <w:gridCol w:w="759"/>
        <w:gridCol w:w="759"/>
        <w:gridCol w:w="759"/>
        <w:gridCol w:w="759"/>
        <w:gridCol w:w="759"/>
        <w:gridCol w:w="759"/>
        <w:gridCol w:w="759"/>
        <w:gridCol w:w="769"/>
        <w:gridCol w:w="760"/>
      </w:tblGrid>
      <w:tr w:rsidR="00D361DB" w:rsidTr="00D361DB">
        <w:tc>
          <w:tcPr>
            <w:tcW w:w="990" w:type="dxa"/>
          </w:tcPr>
          <w:p w:rsidR="00D361DB" w:rsidRDefault="00D361DB" w:rsidP="00D361DB">
            <w:r>
              <w:t>Method</w:t>
            </w:r>
          </w:p>
        </w:tc>
        <w:tc>
          <w:tcPr>
            <w:tcW w:w="767" w:type="dxa"/>
          </w:tcPr>
          <w:p w:rsidR="00D361DB" w:rsidRDefault="00D361DB" w:rsidP="00D361DB">
            <w:r>
              <w:t>0</w:t>
            </w:r>
          </w:p>
        </w:tc>
        <w:tc>
          <w:tcPr>
            <w:tcW w:w="751" w:type="dxa"/>
          </w:tcPr>
          <w:p w:rsidR="00D361DB" w:rsidRDefault="00D361DB" w:rsidP="00D361DB">
            <w:r>
              <w:t>1</w:t>
            </w:r>
          </w:p>
        </w:tc>
        <w:tc>
          <w:tcPr>
            <w:tcW w:w="759" w:type="dxa"/>
          </w:tcPr>
          <w:p w:rsidR="00D361DB" w:rsidRDefault="00D361DB" w:rsidP="00D361DB">
            <w:r>
              <w:t>2</w:t>
            </w:r>
          </w:p>
        </w:tc>
        <w:tc>
          <w:tcPr>
            <w:tcW w:w="759" w:type="dxa"/>
          </w:tcPr>
          <w:p w:rsidR="00D361DB" w:rsidRDefault="00D361DB" w:rsidP="00D361DB">
            <w:r>
              <w:t>3</w:t>
            </w:r>
          </w:p>
        </w:tc>
        <w:tc>
          <w:tcPr>
            <w:tcW w:w="759" w:type="dxa"/>
          </w:tcPr>
          <w:p w:rsidR="00D361DB" w:rsidRDefault="00D361DB" w:rsidP="00D361DB">
            <w:r>
              <w:t>4</w:t>
            </w:r>
          </w:p>
        </w:tc>
        <w:tc>
          <w:tcPr>
            <w:tcW w:w="759" w:type="dxa"/>
          </w:tcPr>
          <w:p w:rsidR="00D361DB" w:rsidRDefault="00D361DB" w:rsidP="00D361DB">
            <w:r>
              <w:t>5</w:t>
            </w:r>
          </w:p>
        </w:tc>
        <w:tc>
          <w:tcPr>
            <w:tcW w:w="759" w:type="dxa"/>
          </w:tcPr>
          <w:p w:rsidR="00D361DB" w:rsidRDefault="00D361DB" w:rsidP="00D361DB">
            <w:r>
              <w:t>6</w:t>
            </w:r>
          </w:p>
        </w:tc>
        <w:tc>
          <w:tcPr>
            <w:tcW w:w="759" w:type="dxa"/>
          </w:tcPr>
          <w:p w:rsidR="00D361DB" w:rsidRDefault="00D361DB" w:rsidP="00D361DB">
            <w:r>
              <w:t>7</w:t>
            </w:r>
          </w:p>
        </w:tc>
        <w:tc>
          <w:tcPr>
            <w:tcW w:w="759" w:type="dxa"/>
          </w:tcPr>
          <w:p w:rsidR="00D361DB" w:rsidRDefault="00D361DB" w:rsidP="00D361DB">
            <w:r>
              <w:t>8</w:t>
            </w:r>
          </w:p>
        </w:tc>
        <w:tc>
          <w:tcPr>
            <w:tcW w:w="769" w:type="dxa"/>
          </w:tcPr>
          <w:p w:rsidR="00D361DB" w:rsidRDefault="00D361DB" w:rsidP="00D361DB">
            <w:r>
              <w:t>9</w:t>
            </w:r>
          </w:p>
        </w:tc>
        <w:tc>
          <w:tcPr>
            <w:tcW w:w="760" w:type="dxa"/>
          </w:tcPr>
          <w:p w:rsidR="00D361DB" w:rsidRDefault="00D361DB" w:rsidP="00D361DB">
            <w:r>
              <w:t>10</w:t>
            </w:r>
          </w:p>
        </w:tc>
      </w:tr>
      <w:tr w:rsidR="00D361DB" w:rsidTr="00D361DB">
        <w:tc>
          <w:tcPr>
            <w:tcW w:w="990" w:type="dxa"/>
          </w:tcPr>
          <w:p w:rsidR="00D361DB" w:rsidRDefault="00D361DB" w:rsidP="00D361DB">
            <w:r>
              <w:t>Chaining</w:t>
            </w:r>
          </w:p>
        </w:tc>
        <w:tc>
          <w:tcPr>
            <w:tcW w:w="767" w:type="dxa"/>
          </w:tcPr>
          <w:p w:rsidR="00D361DB" w:rsidRDefault="00D361DB" w:rsidP="00D361DB">
            <w:r>
              <w:rPr>
                <w:rFonts w:eastAsia="Arial Unicode MS"/>
              </w:rPr>
              <w:t xml:space="preserve">33 </w:t>
            </w:r>
            <w:r>
              <w:rPr>
                <w:rFonts w:eastAsia="Arial Unicode MS" w:cs="Arial Unicode MS" w:hint="eastAsia"/>
                <w:rtl/>
              </w:rPr>
              <w:t>→</w:t>
            </w:r>
            <w:r>
              <w:rPr>
                <w:rFonts w:eastAsia="Arial Unicode MS"/>
              </w:rPr>
              <w:t xml:space="preserve"> 11</w:t>
            </w:r>
            <w:r>
              <w:rPr>
                <w:rFonts w:eastAsia="Arial Unicode MS" w:cs="Arial Unicode MS" w:hint="eastAsia"/>
                <w:rtl/>
              </w:rPr>
              <w:t>→</w:t>
            </w:r>
            <w:r>
              <w:rPr>
                <w:rFonts w:eastAsia="Arial Unicode MS"/>
              </w:rPr>
              <w:t xml:space="preserve"> 22</w:t>
            </w:r>
          </w:p>
        </w:tc>
        <w:tc>
          <w:tcPr>
            <w:tcW w:w="751" w:type="dxa"/>
          </w:tcPr>
          <w:p w:rsidR="00D361DB" w:rsidRDefault="00D361DB" w:rsidP="00D361DB">
            <w:r>
              <w:rPr>
                <w:rFonts w:eastAsia="Arial Unicode MS"/>
              </w:rPr>
              <w:t>1</w:t>
            </w:r>
          </w:p>
        </w:tc>
        <w:tc>
          <w:tcPr>
            <w:tcW w:w="759" w:type="dxa"/>
          </w:tcPr>
          <w:p w:rsidR="00D361DB" w:rsidRDefault="00D361DB" w:rsidP="00D361DB">
            <w:r>
              <w:rPr>
                <w:rFonts w:eastAsia="Arial Unicode MS"/>
              </w:rPr>
              <w:t xml:space="preserve">24 </w:t>
            </w:r>
            <w:r>
              <w:rPr>
                <w:rFonts w:eastAsia="Arial Unicode MS" w:cs="Arial Unicode MS" w:hint="eastAsia"/>
                <w:rtl/>
              </w:rPr>
              <w:t>→</w:t>
            </w:r>
            <w:r>
              <w:rPr>
                <w:rFonts w:eastAsia="Arial Unicode MS"/>
              </w:rPr>
              <w:t xml:space="preserve"> 13</w:t>
            </w:r>
          </w:p>
        </w:tc>
        <w:tc>
          <w:tcPr>
            <w:tcW w:w="759" w:type="dxa"/>
          </w:tcPr>
          <w:p w:rsidR="00D361DB" w:rsidRDefault="00D361DB" w:rsidP="00D361DB"/>
        </w:tc>
        <w:tc>
          <w:tcPr>
            <w:tcW w:w="759" w:type="dxa"/>
          </w:tcPr>
          <w:p w:rsidR="00D361DB" w:rsidRDefault="00D361DB" w:rsidP="00D361DB"/>
        </w:tc>
        <w:tc>
          <w:tcPr>
            <w:tcW w:w="759" w:type="dxa"/>
          </w:tcPr>
          <w:p w:rsidR="00D361DB" w:rsidRDefault="00D361DB" w:rsidP="00D361DB"/>
        </w:tc>
        <w:tc>
          <w:tcPr>
            <w:tcW w:w="759" w:type="dxa"/>
          </w:tcPr>
          <w:p w:rsidR="00D361DB" w:rsidRDefault="00D361DB" w:rsidP="00D361DB"/>
        </w:tc>
        <w:tc>
          <w:tcPr>
            <w:tcW w:w="759" w:type="dxa"/>
          </w:tcPr>
          <w:p w:rsidR="00D361DB" w:rsidRDefault="00D361DB" w:rsidP="00D361DB">
            <w:r>
              <w:rPr>
                <w:rFonts w:eastAsia="Arial Unicode MS"/>
              </w:rPr>
              <w:t>18</w:t>
            </w:r>
          </w:p>
        </w:tc>
        <w:tc>
          <w:tcPr>
            <w:tcW w:w="759" w:type="dxa"/>
          </w:tcPr>
          <w:p w:rsidR="00D361DB" w:rsidRDefault="00D361DB" w:rsidP="00D361DB"/>
        </w:tc>
        <w:tc>
          <w:tcPr>
            <w:tcW w:w="769" w:type="dxa"/>
          </w:tcPr>
          <w:p w:rsidR="00D361DB" w:rsidRDefault="00D361DB" w:rsidP="00D361DB">
            <w:r>
              <w:rPr>
                <w:rFonts w:eastAsia="Arial Unicode MS"/>
              </w:rPr>
              <w:t>31</w:t>
            </w:r>
            <w:r>
              <w:rPr>
                <w:rFonts w:eastAsia="Arial Unicode MS" w:cs="Arial Unicode MS" w:hint="eastAsia"/>
                <w:rtl/>
              </w:rPr>
              <w:t>→</w:t>
            </w:r>
            <w:r>
              <w:rPr>
                <w:rFonts w:eastAsia="Arial Unicode MS"/>
              </w:rPr>
              <w:t xml:space="preserve"> 42</w:t>
            </w:r>
          </w:p>
        </w:tc>
        <w:tc>
          <w:tcPr>
            <w:tcW w:w="760" w:type="dxa"/>
          </w:tcPr>
          <w:p w:rsidR="00D361DB" w:rsidRDefault="00D361DB" w:rsidP="00D361DB"/>
        </w:tc>
      </w:tr>
      <w:tr w:rsidR="00D361DB" w:rsidTr="00D361DB">
        <w:tc>
          <w:tcPr>
            <w:tcW w:w="990" w:type="dxa"/>
          </w:tcPr>
          <w:p w:rsidR="00D361DB" w:rsidRDefault="00D361DB" w:rsidP="00D361DB">
            <w:r>
              <w:t>Lining probing</w:t>
            </w:r>
          </w:p>
        </w:tc>
        <w:tc>
          <w:tcPr>
            <w:tcW w:w="767" w:type="dxa"/>
          </w:tcPr>
          <w:p w:rsidR="00D361DB" w:rsidRDefault="00D361DB" w:rsidP="00D361DB">
            <w:r>
              <w:t>22</w:t>
            </w:r>
          </w:p>
        </w:tc>
        <w:tc>
          <w:tcPr>
            <w:tcW w:w="751" w:type="dxa"/>
          </w:tcPr>
          <w:p w:rsidR="00D361DB" w:rsidRDefault="00D361DB" w:rsidP="00D361DB">
            <w:r>
              <w:t>1</w:t>
            </w:r>
          </w:p>
        </w:tc>
        <w:tc>
          <w:tcPr>
            <w:tcW w:w="759" w:type="dxa"/>
          </w:tcPr>
          <w:p w:rsidR="00D361DB" w:rsidRDefault="00D361DB" w:rsidP="00D361DB">
            <w:r>
              <w:t>13</w:t>
            </w:r>
          </w:p>
        </w:tc>
        <w:tc>
          <w:tcPr>
            <w:tcW w:w="759" w:type="dxa"/>
          </w:tcPr>
          <w:p w:rsidR="00D361DB" w:rsidRDefault="00D361DB" w:rsidP="00D361DB">
            <w:r>
              <w:t>11</w:t>
            </w:r>
          </w:p>
        </w:tc>
        <w:tc>
          <w:tcPr>
            <w:tcW w:w="759" w:type="dxa"/>
          </w:tcPr>
          <w:p w:rsidR="00D361DB" w:rsidRDefault="00D361DB" w:rsidP="00D361DB">
            <w:r>
              <w:t>24</w:t>
            </w:r>
          </w:p>
        </w:tc>
        <w:tc>
          <w:tcPr>
            <w:tcW w:w="759" w:type="dxa"/>
          </w:tcPr>
          <w:p w:rsidR="00D361DB" w:rsidRDefault="00D361DB" w:rsidP="00D361DB">
            <w:r>
              <w:t>33</w:t>
            </w:r>
          </w:p>
        </w:tc>
        <w:tc>
          <w:tcPr>
            <w:tcW w:w="759" w:type="dxa"/>
          </w:tcPr>
          <w:p w:rsidR="00D361DB" w:rsidRDefault="00D361DB" w:rsidP="00D361DB"/>
        </w:tc>
        <w:tc>
          <w:tcPr>
            <w:tcW w:w="759" w:type="dxa"/>
          </w:tcPr>
          <w:p w:rsidR="00D361DB" w:rsidRDefault="00D361DB" w:rsidP="00D361DB">
            <w:r>
              <w:t>18</w:t>
            </w:r>
          </w:p>
        </w:tc>
        <w:tc>
          <w:tcPr>
            <w:tcW w:w="759" w:type="dxa"/>
          </w:tcPr>
          <w:p w:rsidR="00D361DB" w:rsidRDefault="00D361DB" w:rsidP="00D361DB"/>
        </w:tc>
        <w:tc>
          <w:tcPr>
            <w:tcW w:w="769" w:type="dxa"/>
          </w:tcPr>
          <w:p w:rsidR="00D361DB" w:rsidRDefault="00D361DB" w:rsidP="00D361DB">
            <w:r>
              <w:t>42</w:t>
            </w:r>
          </w:p>
        </w:tc>
        <w:tc>
          <w:tcPr>
            <w:tcW w:w="760" w:type="dxa"/>
          </w:tcPr>
          <w:p w:rsidR="00D361DB" w:rsidRDefault="00D361DB" w:rsidP="00D361DB">
            <w:r>
              <w:t>31</w:t>
            </w:r>
          </w:p>
        </w:tc>
      </w:tr>
      <w:tr w:rsidR="00D361DB" w:rsidTr="00D361DB">
        <w:tc>
          <w:tcPr>
            <w:tcW w:w="990" w:type="dxa"/>
          </w:tcPr>
          <w:p w:rsidR="00D361DB" w:rsidRDefault="00D361DB" w:rsidP="00D361DB">
            <w:r>
              <w:t>Double-Hashing</w:t>
            </w:r>
          </w:p>
        </w:tc>
        <w:tc>
          <w:tcPr>
            <w:tcW w:w="767" w:type="dxa"/>
          </w:tcPr>
          <w:p w:rsidR="00D361DB" w:rsidRDefault="00D361DB" w:rsidP="00D361DB">
            <w:r>
              <w:t>22</w:t>
            </w:r>
          </w:p>
        </w:tc>
        <w:tc>
          <w:tcPr>
            <w:tcW w:w="751" w:type="dxa"/>
          </w:tcPr>
          <w:p w:rsidR="00D361DB" w:rsidRDefault="00D361DB" w:rsidP="00D361DB">
            <w:r>
              <w:t>1</w:t>
            </w:r>
          </w:p>
        </w:tc>
        <w:tc>
          <w:tcPr>
            <w:tcW w:w="759" w:type="dxa"/>
          </w:tcPr>
          <w:p w:rsidR="00D361DB" w:rsidRDefault="00D361DB" w:rsidP="00D361DB">
            <w:r>
              <w:t>13</w:t>
            </w:r>
          </w:p>
        </w:tc>
        <w:tc>
          <w:tcPr>
            <w:tcW w:w="759" w:type="dxa"/>
          </w:tcPr>
          <w:p w:rsidR="00D361DB" w:rsidRDefault="00D361DB" w:rsidP="00D361DB"/>
        </w:tc>
        <w:tc>
          <w:tcPr>
            <w:tcW w:w="759" w:type="dxa"/>
          </w:tcPr>
          <w:p w:rsidR="00D361DB" w:rsidRDefault="00D361DB" w:rsidP="00D361DB">
            <w:r>
              <w:t>11</w:t>
            </w:r>
          </w:p>
        </w:tc>
        <w:tc>
          <w:tcPr>
            <w:tcW w:w="759" w:type="dxa"/>
          </w:tcPr>
          <w:p w:rsidR="00D361DB" w:rsidRDefault="00D361DB" w:rsidP="00D361DB">
            <w:r>
              <w:t>18</w:t>
            </w:r>
          </w:p>
        </w:tc>
        <w:tc>
          <w:tcPr>
            <w:tcW w:w="759" w:type="dxa"/>
          </w:tcPr>
          <w:p w:rsidR="00D361DB" w:rsidRDefault="00D361DB" w:rsidP="00D361DB">
            <w:r>
              <w:t>31</w:t>
            </w:r>
          </w:p>
        </w:tc>
        <w:tc>
          <w:tcPr>
            <w:tcW w:w="759" w:type="dxa"/>
          </w:tcPr>
          <w:p w:rsidR="00D361DB" w:rsidRDefault="00D361DB" w:rsidP="00D361DB">
            <w:r>
              <w:t>24</w:t>
            </w:r>
          </w:p>
        </w:tc>
        <w:tc>
          <w:tcPr>
            <w:tcW w:w="759" w:type="dxa"/>
          </w:tcPr>
          <w:p w:rsidR="00D361DB" w:rsidRDefault="00D361DB" w:rsidP="00D361DB">
            <w:r>
              <w:t>33</w:t>
            </w:r>
          </w:p>
        </w:tc>
        <w:tc>
          <w:tcPr>
            <w:tcW w:w="769" w:type="dxa"/>
          </w:tcPr>
          <w:p w:rsidR="00D361DB" w:rsidRDefault="00D361DB" w:rsidP="00D361DB">
            <w:r>
              <w:t>42</w:t>
            </w:r>
          </w:p>
        </w:tc>
        <w:tc>
          <w:tcPr>
            <w:tcW w:w="760" w:type="dxa"/>
          </w:tcPr>
          <w:p w:rsidR="00D361DB" w:rsidRDefault="00D361DB" w:rsidP="00D361DB"/>
        </w:tc>
      </w:tr>
    </w:tbl>
    <w:p w:rsidR="002354EE" w:rsidRDefault="002354EE" w:rsidP="00D361DB"/>
    <w:p w:rsidR="002E2C71" w:rsidRPr="002E2C71" w:rsidRDefault="00D361DB" w:rsidP="002E2C71">
      <w:pPr>
        <w:pStyle w:val="ListParagraph"/>
        <w:numPr>
          <w:ilvl w:val="0"/>
          <w:numId w:val="1"/>
        </w:numPr>
      </w:pPr>
      <w:r>
        <w:t>We cannot use h2 as a hash function and h1 as a step function. Because with h1 as a step f</w:t>
      </w:r>
      <w:r w:rsidR="002E2C71">
        <w:t>unction, we may get a result</w:t>
      </w:r>
      <w:r>
        <w:t xml:space="preserve"> of 0</w:t>
      </w:r>
      <w:r w:rsidRPr="00D361DB">
        <w:rPr>
          <w:rFonts w:cs="Arial"/>
          <w:bCs/>
        </w:rPr>
        <w:t xml:space="preserve"> and</w:t>
      </w:r>
      <w:r>
        <w:rPr>
          <w:rFonts w:cs="Arial"/>
          <w:bCs/>
        </w:rPr>
        <w:t xml:space="preserve"> all the collisions wont be solve</w:t>
      </w:r>
      <w:r w:rsidR="002E2C71">
        <w:rPr>
          <w:rFonts w:cs="Arial"/>
          <w:bCs/>
        </w:rPr>
        <w:t>d</w:t>
      </w:r>
      <w:r>
        <w:rPr>
          <w:rFonts w:cs="Arial"/>
          <w:bCs/>
        </w:rPr>
        <w:t xml:space="preserve"> as all nodes which mod 11 equal</w:t>
      </w:r>
      <w:r w:rsidR="002E2C71">
        <w:rPr>
          <w:rFonts w:cs="Arial"/>
          <w:bCs/>
        </w:rPr>
        <w:t>s 0 will go into the same place.</w:t>
      </w:r>
      <w:bookmarkStart w:id="0" w:name="_GoBack"/>
    </w:p>
    <w:p w:rsidR="00D361DB" w:rsidRPr="002E2C71" w:rsidRDefault="002E2C71" w:rsidP="00D361DB">
      <w:pPr>
        <w:pStyle w:val="ListParagraph"/>
        <w:numPr>
          <w:ilvl w:val="0"/>
          <w:numId w:val="1"/>
        </w:numPr>
      </w:pPr>
      <w:r>
        <w:rPr>
          <w:bCs/>
        </w:rPr>
        <w:t xml:space="preserve">Because </w:t>
      </w:r>
      <w:r w:rsidRPr="002E2C71">
        <w:rPr>
          <w:bCs/>
        </w:rPr>
        <w:t xml:space="preserve">the steps will always get us to the same cells. If those </w:t>
      </w:r>
      <w:bookmarkEnd w:id="0"/>
      <w:r w:rsidRPr="002E2C71">
        <w:rPr>
          <w:bCs/>
        </w:rPr>
        <w:t>cells are occupied we may not find an available slot even if the hast table if not full.</w:t>
      </w:r>
    </w:p>
    <w:p w:rsidR="002E2C71" w:rsidRPr="00377DED" w:rsidRDefault="00377DED" w:rsidP="00D361D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i/>
          <w:color w:val="252525"/>
          <w:sz w:val="21"/>
          <w:szCs w:val="21"/>
          <w:shd w:val="clear" w:color="auto" w:fill="FFFFFF"/>
        </w:rPr>
        <w:t>“</w:t>
      </w:r>
      <w:r w:rsidRPr="00377DED">
        <w:rPr>
          <w:rFonts w:ascii="Arial" w:hAnsi="Arial" w:cs="Arial"/>
          <w:b/>
          <w:bCs/>
          <w:i/>
          <w:color w:val="252525"/>
          <w:sz w:val="21"/>
          <w:szCs w:val="21"/>
          <w:shd w:val="clear" w:color="auto" w:fill="FFFFFF"/>
        </w:rPr>
        <w:t>Open addressing</w:t>
      </w:r>
      <w:r w:rsidRPr="00377DED">
        <w:rPr>
          <w:rFonts w:ascii="Arial" w:hAnsi="Arial" w:cs="Arial"/>
          <w:i/>
          <w:color w:val="252525"/>
          <w:sz w:val="21"/>
          <w:szCs w:val="21"/>
          <w:shd w:val="clear" w:color="auto" w:fill="FFFFFF"/>
        </w:rPr>
        <w:t>, or</w:t>
      </w:r>
      <w:r w:rsidRPr="00377DED">
        <w:rPr>
          <w:rStyle w:val="apple-converted-space"/>
          <w:rFonts w:ascii="Arial" w:hAnsi="Arial" w:cs="Arial"/>
          <w:i/>
          <w:color w:val="252525"/>
          <w:sz w:val="21"/>
          <w:szCs w:val="21"/>
          <w:shd w:val="clear" w:color="auto" w:fill="FFFFFF"/>
        </w:rPr>
        <w:t> </w:t>
      </w:r>
      <w:r w:rsidRPr="00377DED">
        <w:rPr>
          <w:rFonts w:ascii="Arial" w:hAnsi="Arial" w:cs="Arial"/>
          <w:b/>
          <w:bCs/>
          <w:i/>
          <w:color w:val="252525"/>
          <w:sz w:val="21"/>
          <w:szCs w:val="21"/>
          <w:shd w:val="clear" w:color="auto" w:fill="FFFFFF"/>
        </w:rPr>
        <w:t>closed hashing</w:t>
      </w:r>
      <w:r w:rsidRPr="00377DED">
        <w:rPr>
          <w:rFonts w:ascii="Arial" w:hAnsi="Arial" w:cs="Arial"/>
          <w:i/>
          <w:color w:val="252525"/>
          <w:sz w:val="21"/>
          <w:szCs w:val="21"/>
          <w:shd w:val="clear" w:color="auto" w:fill="FFFFFF"/>
        </w:rPr>
        <w:t>, is a method of</w:t>
      </w:r>
      <w:r w:rsidRPr="00377DED">
        <w:rPr>
          <w:rStyle w:val="apple-converted-space"/>
          <w:rFonts w:ascii="Arial" w:hAnsi="Arial" w:cs="Arial"/>
          <w:i/>
          <w:color w:val="252525"/>
          <w:sz w:val="21"/>
          <w:szCs w:val="21"/>
          <w:shd w:val="clear" w:color="auto" w:fill="FFFFFF"/>
        </w:rPr>
        <w:t> </w:t>
      </w:r>
      <w:hyperlink r:id="rId7" w:anchor="Collision_resolution" w:tooltip="Hash table" w:history="1">
        <w:r w:rsidRPr="00377DED">
          <w:rPr>
            <w:rStyle w:val="Hyperlink"/>
            <w:rFonts w:ascii="Arial" w:hAnsi="Arial" w:cs="Arial"/>
            <w:i/>
            <w:color w:val="0B0080"/>
            <w:sz w:val="21"/>
            <w:szCs w:val="21"/>
            <w:shd w:val="clear" w:color="auto" w:fill="FFFFFF"/>
          </w:rPr>
          <w:t>collision resolution in hash tables</w:t>
        </w:r>
      </w:hyperlink>
      <w:r w:rsidRPr="00377DED">
        <w:rPr>
          <w:rFonts w:ascii="Arial" w:hAnsi="Arial" w:cs="Arial"/>
          <w:i/>
          <w:color w:val="252525"/>
          <w:sz w:val="21"/>
          <w:szCs w:val="21"/>
          <w:shd w:val="clear" w:color="auto" w:fill="FFFFFF"/>
        </w:rPr>
        <w:t>. With this method a hash collision is resolved by</w:t>
      </w:r>
      <w:r w:rsidRPr="00377DED">
        <w:rPr>
          <w:rStyle w:val="apple-converted-space"/>
          <w:rFonts w:ascii="Arial" w:hAnsi="Arial" w:cs="Arial"/>
          <w:i/>
          <w:color w:val="252525"/>
          <w:sz w:val="21"/>
          <w:szCs w:val="21"/>
          <w:shd w:val="clear" w:color="auto" w:fill="FFFFFF"/>
        </w:rPr>
        <w:t> </w:t>
      </w:r>
      <w:r w:rsidRPr="00377DED">
        <w:rPr>
          <w:rFonts w:ascii="Arial" w:hAnsi="Arial" w:cs="Arial"/>
          <w:b/>
          <w:bCs/>
          <w:i/>
          <w:color w:val="252525"/>
          <w:sz w:val="21"/>
          <w:szCs w:val="21"/>
          <w:shd w:val="clear" w:color="auto" w:fill="FFFFFF"/>
        </w:rPr>
        <w:t>probing</w:t>
      </w:r>
      <w:r w:rsidRPr="00377DED">
        <w:rPr>
          <w:rFonts w:ascii="Arial" w:hAnsi="Arial" w:cs="Arial"/>
          <w:i/>
          <w:color w:val="252525"/>
          <w:sz w:val="21"/>
          <w:szCs w:val="21"/>
          <w:shd w:val="clear" w:color="auto" w:fill="FFFFFF"/>
        </w:rPr>
        <w:t>, or searching through alternate locations in the array (the</w:t>
      </w:r>
      <w:r w:rsidRPr="00377DED">
        <w:rPr>
          <w:rStyle w:val="apple-converted-space"/>
          <w:rFonts w:ascii="Arial" w:hAnsi="Arial" w:cs="Arial"/>
          <w:i/>
          <w:color w:val="252525"/>
          <w:sz w:val="21"/>
          <w:szCs w:val="21"/>
          <w:shd w:val="clear" w:color="auto" w:fill="FFFFFF"/>
        </w:rPr>
        <w:t> </w:t>
      </w:r>
      <w:r w:rsidRPr="00377DED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probe sequence</w:t>
      </w:r>
      <w:r w:rsidRPr="00377DED">
        <w:rPr>
          <w:rFonts w:ascii="Arial" w:hAnsi="Arial" w:cs="Arial"/>
          <w:i/>
          <w:color w:val="252525"/>
          <w:sz w:val="21"/>
          <w:szCs w:val="21"/>
          <w:shd w:val="clear" w:color="auto" w:fill="FFFFFF"/>
        </w:rPr>
        <w:t>) until either the target record is found, or an unused array slot is found, which indicates that there is no such key in the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table.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” – Wiki</w:t>
      </w:r>
    </w:p>
    <w:p w:rsidR="00377DED" w:rsidRPr="00377DED" w:rsidRDefault="00377DED" w:rsidP="00377DED">
      <w:pPr>
        <w:pStyle w:val="ListParagraph"/>
        <w:rPr>
          <w:sz w:val="24"/>
          <w:szCs w:val="24"/>
        </w:rPr>
      </w:pPr>
      <w:r w:rsidRPr="00377DED">
        <w:rPr>
          <w:rFonts w:cs="Arial"/>
          <w:bCs/>
          <w:color w:val="252525"/>
          <w:sz w:val="24"/>
          <w:szCs w:val="24"/>
          <w:shd w:val="clear" w:color="auto" w:fill="FFFFFF"/>
        </w:rPr>
        <w:t>To delete k in the hash ta</w:t>
      </w:r>
      <w:r w:rsidR="00507C13">
        <w:rPr>
          <w:rFonts w:cs="Arial"/>
          <w:bCs/>
          <w:color w:val="252525"/>
          <w:sz w:val="24"/>
          <w:szCs w:val="24"/>
          <w:shd w:val="clear" w:color="auto" w:fill="FFFFFF"/>
        </w:rPr>
        <w:t>ble which uses open addressing.</w:t>
      </w:r>
      <w:r w:rsidRPr="00377DED">
        <w:rPr>
          <w:rFonts w:cs="Arial"/>
          <w:bCs/>
          <w:color w:val="252525"/>
          <w:sz w:val="24"/>
          <w:szCs w:val="24"/>
          <w:shd w:val="clear" w:color="auto" w:fill="FFFFFF"/>
        </w:rPr>
        <w:t xml:space="preserve"> </w:t>
      </w:r>
      <w:r w:rsidRPr="00377DED">
        <w:rPr>
          <w:bCs/>
          <w:sz w:val="24"/>
          <w:szCs w:val="24"/>
        </w:rPr>
        <w:t>Each table entry will contain a special mark to indicate if it was deleted.</w:t>
      </w:r>
      <w:r w:rsidRPr="00377DED">
        <w:rPr>
          <w:bCs/>
          <w:sz w:val="24"/>
          <w:szCs w:val="24"/>
        </w:rPr>
        <w:br/>
        <w:t>While searching for a key, if we encounter an entry which is marked as deleted, we continue to search</w:t>
      </w:r>
      <w:r>
        <w:rPr>
          <w:bCs/>
          <w:sz w:val="24"/>
          <w:szCs w:val="24"/>
        </w:rPr>
        <w:t>.</w:t>
      </w:r>
    </w:p>
    <w:sectPr w:rsidR="00377DED" w:rsidRPr="00377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D79" w:rsidRDefault="00A04D79" w:rsidP="00D361DB">
      <w:pPr>
        <w:spacing w:after="0" w:line="240" w:lineRule="auto"/>
      </w:pPr>
      <w:r>
        <w:separator/>
      </w:r>
    </w:p>
  </w:endnote>
  <w:endnote w:type="continuationSeparator" w:id="0">
    <w:p w:rsidR="00A04D79" w:rsidRDefault="00A04D79" w:rsidP="00D36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D79" w:rsidRDefault="00A04D79" w:rsidP="00D361DB">
      <w:pPr>
        <w:spacing w:after="0" w:line="240" w:lineRule="auto"/>
      </w:pPr>
      <w:r>
        <w:separator/>
      </w:r>
    </w:p>
  </w:footnote>
  <w:footnote w:type="continuationSeparator" w:id="0">
    <w:p w:rsidR="00A04D79" w:rsidRDefault="00A04D79" w:rsidP="00D361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CA067E"/>
    <w:multiLevelType w:val="hybridMultilevel"/>
    <w:tmpl w:val="DD2EA8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1DB"/>
    <w:rsid w:val="002354EE"/>
    <w:rsid w:val="002E2C71"/>
    <w:rsid w:val="00377DED"/>
    <w:rsid w:val="00507C13"/>
    <w:rsid w:val="00A04D79"/>
    <w:rsid w:val="00D3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AF066-BC9C-4A35-8015-C3920F65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61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1DB"/>
  </w:style>
  <w:style w:type="paragraph" w:styleId="Footer">
    <w:name w:val="footer"/>
    <w:basedOn w:val="Normal"/>
    <w:link w:val="FooterChar"/>
    <w:uiPriority w:val="99"/>
    <w:unhideWhenUsed/>
    <w:rsid w:val="00D36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1DB"/>
  </w:style>
  <w:style w:type="paragraph" w:styleId="ListParagraph">
    <w:name w:val="List Paragraph"/>
    <w:basedOn w:val="Normal"/>
    <w:uiPriority w:val="34"/>
    <w:qFormat/>
    <w:rsid w:val="00D361D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77DED"/>
  </w:style>
  <w:style w:type="character" w:styleId="Hyperlink">
    <w:name w:val="Hyperlink"/>
    <w:basedOn w:val="DefaultParagraphFont"/>
    <w:uiPriority w:val="99"/>
    <w:semiHidden/>
    <w:unhideWhenUsed/>
    <w:rsid w:val="0037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ash_t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K501LB</dc:creator>
  <cp:keywords/>
  <dc:description/>
  <cp:lastModifiedBy>K501LB</cp:lastModifiedBy>
  <cp:revision>2</cp:revision>
  <dcterms:created xsi:type="dcterms:W3CDTF">2016-06-09T06:53:00Z</dcterms:created>
  <dcterms:modified xsi:type="dcterms:W3CDTF">2016-06-09T08:25:00Z</dcterms:modified>
</cp:coreProperties>
</file>