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E3972" w14:textId="17B252B2" w:rsidR="0060400B" w:rsidRPr="00E73FE0" w:rsidRDefault="00E73FE0" w:rsidP="00E73FE0">
      <w:pPr>
        <w:jc w:val="center"/>
        <w:rPr>
          <w:rFonts w:ascii="Times New Roman" w:hAnsi="Times New Roman"/>
          <w:b/>
          <w:bCs/>
          <w:color w:val="1D2125"/>
          <w:sz w:val="26"/>
          <w:szCs w:val="26"/>
          <w:shd w:val="clear" w:color="auto" w:fill="F8F9FA"/>
        </w:rPr>
      </w:pPr>
      <w:r>
        <w:rPr>
          <w:rFonts w:ascii="Times New Roman" w:hAnsi="Times New Roman"/>
          <w:b/>
          <w:bCs/>
          <w:color w:val="1D2125"/>
          <w:sz w:val="26"/>
          <w:szCs w:val="26"/>
          <w:shd w:val="clear" w:color="auto" w:fill="F8F9FA"/>
        </w:rPr>
        <w:t xml:space="preserve">Điểm </w:t>
      </w:r>
      <w:r w:rsidR="0060400B" w:rsidRPr="0060400B">
        <w:rPr>
          <w:rFonts w:ascii="Times New Roman" w:hAnsi="Times New Roman"/>
          <w:b/>
          <w:bCs/>
          <w:color w:val="1D2125"/>
          <w:sz w:val="26"/>
          <w:szCs w:val="26"/>
          <w:shd w:val="clear" w:color="auto" w:fill="F8F9FA"/>
          <w:lang w:val="vi-VN"/>
        </w:rPr>
        <w:t>khác nhau giữa văn bản quy phạm pháp luật và văn bản hành chính thông thường</w:t>
      </w:r>
      <w:r>
        <w:rPr>
          <w:rFonts w:ascii="Times New Roman" w:hAnsi="Times New Roman"/>
          <w:b/>
          <w:bCs/>
          <w:color w:val="1D2125"/>
          <w:sz w:val="26"/>
          <w:szCs w:val="26"/>
          <w:shd w:val="clear" w:color="auto" w:fill="F8F9FA"/>
        </w:rPr>
        <w:t>:</w:t>
      </w:r>
    </w:p>
    <w:tbl>
      <w:tblPr>
        <w:tblStyle w:val="TableGrid"/>
        <w:tblW w:w="0" w:type="auto"/>
        <w:jc w:val="center"/>
        <w:tblLook w:val="04A0" w:firstRow="1" w:lastRow="0" w:firstColumn="1" w:lastColumn="0" w:noHBand="0" w:noVBand="1"/>
      </w:tblPr>
      <w:tblGrid>
        <w:gridCol w:w="1413"/>
        <w:gridCol w:w="4819"/>
        <w:gridCol w:w="3112"/>
      </w:tblGrid>
      <w:tr w:rsidR="007803AB" w:rsidRPr="0060400B" w14:paraId="53E9E207" w14:textId="77777777" w:rsidTr="001B5B12">
        <w:trPr>
          <w:jc w:val="center"/>
        </w:trPr>
        <w:tc>
          <w:tcPr>
            <w:tcW w:w="1413" w:type="dxa"/>
            <w:vAlign w:val="center"/>
          </w:tcPr>
          <w:p w14:paraId="32851178" w14:textId="74817CC3" w:rsidR="00272721" w:rsidRPr="0060400B" w:rsidRDefault="00272721" w:rsidP="007803AB">
            <w:pPr>
              <w:jc w:val="center"/>
              <w:rPr>
                <w:rFonts w:ascii="Times New Roman" w:hAnsi="Times New Roman"/>
                <w:b/>
                <w:bCs/>
                <w:sz w:val="26"/>
                <w:szCs w:val="26"/>
              </w:rPr>
            </w:pPr>
            <w:r w:rsidRPr="0060400B">
              <w:rPr>
                <w:rFonts w:ascii="Times New Roman" w:hAnsi="Times New Roman"/>
                <w:b/>
                <w:bCs/>
                <w:sz w:val="26"/>
                <w:szCs w:val="26"/>
              </w:rPr>
              <w:t>Tiêu chí</w:t>
            </w:r>
          </w:p>
        </w:tc>
        <w:tc>
          <w:tcPr>
            <w:tcW w:w="4819" w:type="dxa"/>
          </w:tcPr>
          <w:p w14:paraId="35FC073B" w14:textId="5A7D9021" w:rsidR="00272721" w:rsidRPr="0060400B" w:rsidRDefault="00272721" w:rsidP="0060400B">
            <w:pPr>
              <w:rPr>
                <w:rFonts w:ascii="Times New Roman" w:hAnsi="Times New Roman"/>
                <w:b/>
                <w:bCs/>
                <w:sz w:val="26"/>
                <w:szCs w:val="26"/>
              </w:rPr>
            </w:pPr>
            <w:r w:rsidRPr="0060400B">
              <w:rPr>
                <w:rFonts w:ascii="Times New Roman" w:hAnsi="Times New Roman"/>
                <w:b/>
                <w:bCs/>
                <w:sz w:val="26"/>
                <w:szCs w:val="26"/>
              </w:rPr>
              <w:t>Văn bản quy phạm pháp luật</w:t>
            </w:r>
          </w:p>
        </w:tc>
        <w:tc>
          <w:tcPr>
            <w:tcW w:w="3112" w:type="dxa"/>
          </w:tcPr>
          <w:p w14:paraId="20AE25B9" w14:textId="3FDE6050" w:rsidR="00272721" w:rsidRPr="0060400B" w:rsidRDefault="00272721" w:rsidP="0060400B">
            <w:pPr>
              <w:rPr>
                <w:rFonts w:ascii="Times New Roman" w:hAnsi="Times New Roman"/>
                <w:b/>
                <w:bCs/>
                <w:sz w:val="26"/>
                <w:szCs w:val="26"/>
              </w:rPr>
            </w:pPr>
            <w:r w:rsidRPr="0060400B">
              <w:rPr>
                <w:rFonts w:ascii="Times New Roman" w:hAnsi="Times New Roman"/>
                <w:b/>
                <w:bCs/>
                <w:sz w:val="26"/>
                <w:szCs w:val="26"/>
              </w:rPr>
              <w:t>Văn bản hành chính</w:t>
            </w:r>
          </w:p>
        </w:tc>
      </w:tr>
      <w:tr w:rsidR="00272721" w:rsidRPr="0060400B" w14:paraId="718EA19A" w14:textId="77777777" w:rsidTr="001B5B12">
        <w:trPr>
          <w:jc w:val="center"/>
        </w:trPr>
        <w:tc>
          <w:tcPr>
            <w:tcW w:w="1413" w:type="dxa"/>
            <w:vAlign w:val="center"/>
          </w:tcPr>
          <w:p w14:paraId="1CD87D2A" w14:textId="13D7702F" w:rsidR="00272721" w:rsidRPr="0060400B" w:rsidRDefault="00272721" w:rsidP="007803AB">
            <w:pPr>
              <w:jc w:val="center"/>
              <w:rPr>
                <w:rFonts w:ascii="Times New Roman" w:hAnsi="Times New Roman"/>
                <w:sz w:val="26"/>
                <w:szCs w:val="26"/>
              </w:rPr>
            </w:pPr>
            <w:r w:rsidRPr="0060400B">
              <w:rPr>
                <w:rFonts w:ascii="Times New Roman" w:hAnsi="Times New Roman"/>
                <w:sz w:val="26"/>
                <w:szCs w:val="26"/>
              </w:rPr>
              <w:t>Khái niệm</w:t>
            </w:r>
          </w:p>
        </w:tc>
        <w:tc>
          <w:tcPr>
            <w:tcW w:w="4819" w:type="dxa"/>
          </w:tcPr>
          <w:p w14:paraId="3846638A" w14:textId="7F05518C" w:rsidR="00272721" w:rsidRPr="0060400B" w:rsidRDefault="001A036C">
            <w:pPr>
              <w:rPr>
                <w:rFonts w:ascii="Times New Roman" w:hAnsi="Times New Roman"/>
                <w:sz w:val="26"/>
                <w:szCs w:val="26"/>
              </w:rPr>
            </w:pPr>
            <w:r w:rsidRPr="0060400B">
              <w:rPr>
                <w:rFonts w:ascii="Times New Roman" w:hAnsi="Times New Roman"/>
                <w:color w:val="282828"/>
                <w:sz w:val="26"/>
                <w:szCs w:val="26"/>
                <w:shd w:val="clear" w:color="auto" w:fill="FFFFFF"/>
              </w:rPr>
              <w:t>Văn bản quy phạm pháp luật là văn bản có chứa quy phạm pháp luật, được ban hành theo đúng thẩm quyền, hình thức, trình tự, thủ tục quy định của Pháp luật. (Điều 2 Luật Ban hành văn bản quy phạm pháp luật 2015)</w:t>
            </w:r>
            <w:r w:rsidR="0060400B">
              <w:rPr>
                <w:rFonts w:ascii="Times New Roman" w:hAnsi="Times New Roman"/>
                <w:color w:val="282828"/>
                <w:sz w:val="26"/>
                <w:szCs w:val="26"/>
                <w:shd w:val="clear" w:color="auto" w:fill="FFFFFF"/>
              </w:rPr>
              <w:t>.</w:t>
            </w:r>
          </w:p>
        </w:tc>
        <w:tc>
          <w:tcPr>
            <w:tcW w:w="3112" w:type="dxa"/>
          </w:tcPr>
          <w:p w14:paraId="7F657035" w14:textId="1A6EEADF" w:rsidR="00272721" w:rsidRPr="0060400B" w:rsidRDefault="001A036C">
            <w:pPr>
              <w:rPr>
                <w:rFonts w:ascii="Times New Roman" w:hAnsi="Times New Roman"/>
                <w:sz w:val="26"/>
                <w:szCs w:val="26"/>
              </w:rPr>
            </w:pPr>
            <w:r w:rsidRPr="0060400B">
              <w:rPr>
                <w:rFonts w:ascii="Times New Roman" w:hAnsi="Times New Roman"/>
                <w:color w:val="282828"/>
                <w:sz w:val="26"/>
                <w:szCs w:val="26"/>
                <w:shd w:val="clear" w:color="auto" w:fill="FFFFFF"/>
              </w:rPr>
              <w:t xml:space="preserve">Văn bản hành chính được định nghĩa theo khoản 2 Điều 3 Nghị định 30/2020/NĐ-CP của chính phủ về công tác văn thư có nội dung như sau: </w:t>
            </w:r>
            <w:r w:rsidR="0060400B">
              <w:rPr>
                <w:rFonts w:ascii="Times New Roman" w:hAnsi="Times New Roman"/>
                <w:color w:val="282828"/>
                <w:sz w:val="26"/>
                <w:szCs w:val="26"/>
                <w:shd w:val="clear" w:color="auto" w:fill="FFFFFF"/>
              </w:rPr>
              <w:t>V</w:t>
            </w:r>
            <w:r w:rsidRPr="0060400B">
              <w:rPr>
                <w:rFonts w:ascii="Times New Roman" w:hAnsi="Times New Roman"/>
                <w:color w:val="282828"/>
                <w:sz w:val="26"/>
                <w:szCs w:val="26"/>
                <w:shd w:val="clear" w:color="auto" w:fill="FFFFFF"/>
              </w:rPr>
              <w:t>ăn bản hành chính là loại văn bản hình thành trong quá trình chỉ đạo, điều hành, giải quyết công việc của các cơ quan, tổ chức.</w:t>
            </w:r>
          </w:p>
        </w:tc>
      </w:tr>
      <w:tr w:rsidR="00272721" w:rsidRPr="0060400B" w14:paraId="014A201A" w14:textId="77777777" w:rsidTr="001B5B12">
        <w:trPr>
          <w:jc w:val="center"/>
        </w:trPr>
        <w:tc>
          <w:tcPr>
            <w:tcW w:w="1413" w:type="dxa"/>
            <w:vAlign w:val="center"/>
          </w:tcPr>
          <w:p w14:paraId="18B09B0D" w14:textId="2609E127" w:rsidR="00272721" w:rsidRPr="0060400B" w:rsidRDefault="00272721" w:rsidP="007803AB">
            <w:pPr>
              <w:ind w:left="-109"/>
              <w:jc w:val="center"/>
              <w:rPr>
                <w:rFonts w:ascii="Times New Roman" w:hAnsi="Times New Roman"/>
                <w:sz w:val="26"/>
                <w:szCs w:val="26"/>
              </w:rPr>
            </w:pPr>
            <w:r w:rsidRPr="0060400B">
              <w:rPr>
                <w:rFonts w:ascii="Times New Roman" w:hAnsi="Times New Roman"/>
                <w:sz w:val="26"/>
                <w:szCs w:val="26"/>
              </w:rPr>
              <w:t>Hiệu lực pháp lý</w:t>
            </w:r>
          </w:p>
        </w:tc>
        <w:tc>
          <w:tcPr>
            <w:tcW w:w="4819" w:type="dxa"/>
          </w:tcPr>
          <w:p w14:paraId="4A3907B5" w14:textId="2ED556FB" w:rsidR="00272721" w:rsidRPr="0060400B" w:rsidRDefault="001A036C">
            <w:pPr>
              <w:rPr>
                <w:rFonts w:ascii="Times New Roman" w:hAnsi="Times New Roman"/>
                <w:sz w:val="26"/>
                <w:szCs w:val="26"/>
              </w:rPr>
            </w:pPr>
            <w:r w:rsidRPr="0060400B">
              <w:rPr>
                <w:rFonts w:ascii="Times New Roman" w:hAnsi="Times New Roman"/>
                <w:color w:val="282828"/>
                <w:sz w:val="26"/>
                <w:szCs w:val="26"/>
                <w:shd w:val="clear" w:color="auto" w:fill="FFFFFF"/>
              </w:rPr>
              <w:t>Văn bản quy phạm pháp luật có hiệu lực pháp lý cao hơn văn bản hành chính.</w:t>
            </w:r>
            <w:r w:rsidRPr="0060400B">
              <w:rPr>
                <w:rFonts w:ascii="Times New Roman" w:hAnsi="Times New Roman"/>
                <w:sz w:val="26"/>
                <w:szCs w:val="26"/>
              </w:rPr>
              <w:t xml:space="preserve"> Á</w:t>
            </w:r>
            <w:r w:rsidRPr="0060400B">
              <w:rPr>
                <w:rFonts w:ascii="Times New Roman" w:hAnsi="Times New Roman"/>
                <w:color w:val="282828"/>
                <w:sz w:val="26"/>
                <w:szCs w:val="26"/>
                <w:shd w:val="clear" w:color="auto" w:fill="FFFFFF"/>
              </w:rPr>
              <w:t>p dụng rộng rãi trên toàn bộ lãnh thổ và dân cư. Các cá nhân và tổ chức phải tuân thủ và thực hiện các quy định trong văn bản QPPL.</w:t>
            </w:r>
          </w:p>
        </w:tc>
        <w:tc>
          <w:tcPr>
            <w:tcW w:w="3112" w:type="dxa"/>
          </w:tcPr>
          <w:p w14:paraId="08E982C3" w14:textId="730CA635" w:rsidR="00272721" w:rsidRPr="0060400B" w:rsidRDefault="0060400B">
            <w:pPr>
              <w:rPr>
                <w:rFonts w:ascii="Times New Roman" w:hAnsi="Times New Roman"/>
                <w:sz w:val="26"/>
                <w:szCs w:val="26"/>
              </w:rPr>
            </w:pPr>
            <w:r>
              <w:rPr>
                <w:rFonts w:ascii="Times New Roman" w:hAnsi="Times New Roman"/>
                <w:color w:val="282828"/>
                <w:sz w:val="26"/>
                <w:szCs w:val="26"/>
                <w:shd w:val="clear" w:color="auto" w:fill="FFFFFF"/>
              </w:rPr>
              <w:t>Văn bản hành chính c</w:t>
            </w:r>
            <w:r w:rsidR="001A036C" w:rsidRPr="0060400B">
              <w:rPr>
                <w:rFonts w:ascii="Times New Roman" w:hAnsi="Times New Roman"/>
                <w:color w:val="282828"/>
                <w:sz w:val="26"/>
                <w:szCs w:val="26"/>
                <w:shd w:val="clear" w:color="auto" w:fill="FFFFFF"/>
              </w:rPr>
              <w:t>ó hiệu lực thấp hơn văn bản quy phạm pháp luật. Áp dụng trong phạm vi cụ thể mà nó được ban hành.</w:t>
            </w:r>
            <w:r>
              <w:rPr>
                <w:rFonts w:ascii="Times New Roman" w:hAnsi="Times New Roman"/>
                <w:color w:val="282828"/>
                <w:sz w:val="26"/>
                <w:szCs w:val="26"/>
                <w:shd w:val="clear" w:color="auto" w:fill="FFFFFF"/>
              </w:rPr>
              <w:t xml:space="preserve"> Văn bản</w:t>
            </w:r>
            <w:r w:rsidR="001A036C" w:rsidRPr="0060400B">
              <w:rPr>
                <w:rFonts w:ascii="Times New Roman" w:hAnsi="Times New Roman"/>
                <w:color w:val="282828"/>
                <w:sz w:val="26"/>
                <w:szCs w:val="26"/>
                <w:shd w:val="clear" w:color="auto" w:fill="FFFFFF"/>
              </w:rPr>
              <w:t xml:space="preserve"> thường chỉ áp dụng cho các cơ quan nhà nước và tổ chức liên quan đến công việc cụ thể.</w:t>
            </w:r>
          </w:p>
        </w:tc>
      </w:tr>
      <w:tr w:rsidR="00272721" w:rsidRPr="0060400B" w14:paraId="5A23F012" w14:textId="77777777" w:rsidTr="001B5B12">
        <w:trPr>
          <w:trHeight w:val="739"/>
          <w:jc w:val="center"/>
        </w:trPr>
        <w:tc>
          <w:tcPr>
            <w:tcW w:w="1413" w:type="dxa"/>
            <w:vAlign w:val="center"/>
          </w:tcPr>
          <w:p w14:paraId="697B9659" w14:textId="4F43443D" w:rsidR="00272721" w:rsidRPr="0060400B" w:rsidRDefault="00272721" w:rsidP="007803AB">
            <w:pPr>
              <w:jc w:val="center"/>
              <w:rPr>
                <w:rFonts w:ascii="Times New Roman" w:hAnsi="Times New Roman"/>
                <w:sz w:val="26"/>
                <w:szCs w:val="26"/>
              </w:rPr>
            </w:pPr>
            <w:r w:rsidRPr="0060400B">
              <w:rPr>
                <w:rFonts w:ascii="Times New Roman" w:hAnsi="Times New Roman"/>
                <w:sz w:val="26"/>
                <w:szCs w:val="26"/>
              </w:rPr>
              <w:t>Nội dung</w:t>
            </w:r>
          </w:p>
        </w:tc>
        <w:tc>
          <w:tcPr>
            <w:tcW w:w="4819" w:type="dxa"/>
          </w:tcPr>
          <w:p w14:paraId="4543CDFA" w14:textId="7D12144C" w:rsidR="00272721" w:rsidRPr="0060400B" w:rsidRDefault="001A036C">
            <w:pPr>
              <w:rPr>
                <w:rFonts w:ascii="Times New Roman" w:hAnsi="Times New Roman"/>
                <w:sz w:val="26"/>
                <w:szCs w:val="26"/>
              </w:rPr>
            </w:pPr>
            <w:r w:rsidRPr="0060400B">
              <w:rPr>
                <w:rFonts w:ascii="Times New Roman" w:hAnsi="Times New Roman"/>
                <w:color w:val="282828"/>
                <w:sz w:val="26"/>
                <w:szCs w:val="26"/>
                <w:shd w:val="clear" w:color="auto" w:fill="FFFFFF"/>
              </w:rPr>
              <w:t>Chứa những quy tắc xử sự chung, có tính bắt buộc, được áp dụng nhiều lần đối với nhiều đối tượng.</w:t>
            </w:r>
          </w:p>
        </w:tc>
        <w:tc>
          <w:tcPr>
            <w:tcW w:w="3112" w:type="dxa"/>
          </w:tcPr>
          <w:p w14:paraId="5541D8B8" w14:textId="7A78C19D" w:rsidR="00272721" w:rsidRPr="0060400B" w:rsidRDefault="001A036C">
            <w:pPr>
              <w:rPr>
                <w:rFonts w:ascii="Times New Roman" w:hAnsi="Times New Roman"/>
                <w:sz w:val="26"/>
                <w:szCs w:val="26"/>
              </w:rPr>
            </w:pPr>
            <w:r w:rsidRPr="0060400B">
              <w:rPr>
                <w:rFonts w:ascii="Times New Roman" w:hAnsi="Times New Roman"/>
                <w:color w:val="282828"/>
                <w:sz w:val="26"/>
                <w:szCs w:val="26"/>
                <w:shd w:val="clear" w:color="auto" w:fill="FFFFFF"/>
              </w:rPr>
              <w:t>Nội dung chỉ mang tính chất thông tin để giải quyết các công việc cụ thể, trao đổi, ghi chép công việc…</w:t>
            </w:r>
          </w:p>
        </w:tc>
      </w:tr>
      <w:tr w:rsidR="00272721" w:rsidRPr="0060400B" w14:paraId="42485CD1" w14:textId="77777777" w:rsidTr="001B5B12">
        <w:trPr>
          <w:jc w:val="center"/>
        </w:trPr>
        <w:tc>
          <w:tcPr>
            <w:tcW w:w="1413" w:type="dxa"/>
            <w:vAlign w:val="center"/>
          </w:tcPr>
          <w:p w14:paraId="761A7495" w14:textId="4230D233" w:rsidR="0060400B" w:rsidRDefault="00272721" w:rsidP="007803AB">
            <w:pPr>
              <w:ind w:left="33"/>
              <w:jc w:val="center"/>
              <w:rPr>
                <w:rStyle w:val="Strong"/>
                <w:rFonts w:ascii="Times New Roman" w:hAnsi="Times New Roman"/>
                <w:b w:val="0"/>
                <w:bCs w:val="0"/>
                <w:color w:val="282828"/>
                <w:sz w:val="26"/>
                <w:szCs w:val="26"/>
                <w:shd w:val="clear" w:color="auto" w:fill="FFFFFF"/>
              </w:rPr>
            </w:pPr>
            <w:r w:rsidRPr="0060400B">
              <w:rPr>
                <w:rStyle w:val="Strong"/>
                <w:rFonts w:ascii="Times New Roman" w:hAnsi="Times New Roman"/>
                <w:b w:val="0"/>
                <w:bCs w:val="0"/>
                <w:color w:val="282828"/>
                <w:sz w:val="26"/>
                <w:szCs w:val="26"/>
                <w:shd w:val="clear" w:color="auto" w:fill="FFFFFF"/>
              </w:rPr>
              <w:t>Thủ tục</w:t>
            </w:r>
            <w:r w:rsidR="007803AB">
              <w:rPr>
                <w:rStyle w:val="Strong"/>
                <w:rFonts w:ascii="Times New Roman" w:hAnsi="Times New Roman"/>
                <w:b w:val="0"/>
                <w:bCs w:val="0"/>
                <w:color w:val="282828"/>
                <w:sz w:val="26"/>
                <w:szCs w:val="26"/>
                <w:shd w:val="clear" w:color="auto" w:fill="FFFFFF"/>
              </w:rPr>
              <w:t xml:space="preserve"> </w:t>
            </w:r>
            <w:r w:rsidRPr="0060400B">
              <w:rPr>
                <w:rStyle w:val="Strong"/>
                <w:rFonts w:ascii="Times New Roman" w:hAnsi="Times New Roman"/>
                <w:b w:val="0"/>
                <w:bCs w:val="0"/>
                <w:color w:val="282828"/>
                <w:sz w:val="26"/>
                <w:szCs w:val="26"/>
                <w:shd w:val="clear" w:color="auto" w:fill="FFFFFF"/>
              </w:rPr>
              <w:t>xây dựng,</w:t>
            </w:r>
          </w:p>
          <w:p w14:paraId="6D844AA7" w14:textId="6FF75CFB" w:rsidR="00272721" w:rsidRPr="0060400B" w:rsidRDefault="00272721" w:rsidP="007803AB">
            <w:pPr>
              <w:jc w:val="center"/>
              <w:rPr>
                <w:rFonts w:ascii="Times New Roman" w:hAnsi="Times New Roman"/>
                <w:sz w:val="26"/>
                <w:szCs w:val="26"/>
              </w:rPr>
            </w:pPr>
            <w:r w:rsidRPr="0060400B">
              <w:rPr>
                <w:rStyle w:val="Strong"/>
                <w:rFonts w:ascii="Times New Roman" w:hAnsi="Times New Roman"/>
                <w:b w:val="0"/>
                <w:bCs w:val="0"/>
                <w:color w:val="282828"/>
                <w:sz w:val="26"/>
                <w:szCs w:val="26"/>
                <w:shd w:val="clear" w:color="auto" w:fill="FFFFFF"/>
              </w:rPr>
              <w:t>ban hành</w:t>
            </w:r>
          </w:p>
        </w:tc>
        <w:tc>
          <w:tcPr>
            <w:tcW w:w="4819" w:type="dxa"/>
          </w:tcPr>
          <w:p w14:paraId="0730E8CD" w14:textId="00AA64E1" w:rsidR="00272721" w:rsidRPr="0060400B" w:rsidRDefault="001A036C">
            <w:pPr>
              <w:rPr>
                <w:rFonts w:ascii="Times New Roman" w:hAnsi="Times New Roman"/>
                <w:sz w:val="26"/>
                <w:szCs w:val="26"/>
              </w:rPr>
            </w:pPr>
            <w:r w:rsidRPr="0060400B">
              <w:rPr>
                <w:rFonts w:ascii="Times New Roman" w:hAnsi="Times New Roman"/>
                <w:color w:val="282828"/>
                <w:sz w:val="26"/>
                <w:szCs w:val="26"/>
                <w:shd w:val="clear" w:color="auto" w:fill="FFFFFF"/>
              </w:rPr>
              <w:t>Phải được xây dựng theo đúng trình tự, thủ tục quy định tại Luật Ban hành văn bản quy phạm pháp luật 2015.</w:t>
            </w:r>
          </w:p>
        </w:tc>
        <w:tc>
          <w:tcPr>
            <w:tcW w:w="3112" w:type="dxa"/>
          </w:tcPr>
          <w:p w14:paraId="7A5FA4F6" w14:textId="5414206D" w:rsidR="00272721" w:rsidRPr="0060400B" w:rsidRDefault="001A036C" w:rsidP="001A036C">
            <w:pPr>
              <w:rPr>
                <w:rFonts w:ascii="Times New Roman" w:hAnsi="Times New Roman"/>
                <w:sz w:val="26"/>
                <w:szCs w:val="26"/>
              </w:rPr>
            </w:pPr>
            <w:r w:rsidRPr="0060400B">
              <w:rPr>
                <w:rFonts w:ascii="Times New Roman" w:hAnsi="Times New Roman"/>
                <w:color w:val="282828"/>
                <w:sz w:val="26"/>
                <w:szCs w:val="26"/>
                <w:shd w:val="clear" w:color="auto" w:fill="FFFFFF"/>
              </w:rPr>
              <w:t>Các cơ quan, đơn vị, cá nhân nào ban hành thì sẽ tự soạn thảo và ban hành mà không cần tuân theo trình tự, thủ tục luật định nào.</w:t>
            </w:r>
          </w:p>
        </w:tc>
      </w:tr>
      <w:tr w:rsidR="00272721" w:rsidRPr="0060400B" w14:paraId="366FD761" w14:textId="77777777" w:rsidTr="001B5B12">
        <w:trPr>
          <w:jc w:val="center"/>
        </w:trPr>
        <w:tc>
          <w:tcPr>
            <w:tcW w:w="1413" w:type="dxa"/>
            <w:vAlign w:val="center"/>
          </w:tcPr>
          <w:p w14:paraId="142954A8" w14:textId="5A7844A2" w:rsidR="00272721" w:rsidRPr="0060400B" w:rsidRDefault="00272721" w:rsidP="007803AB">
            <w:pPr>
              <w:jc w:val="center"/>
              <w:rPr>
                <w:rStyle w:val="Strong"/>
                <w:rFonts w:ascii="Times New Roman" w:hAnsi="Times New Roman"/>
                <w:b w:val="0"/>
                <w:bCs w:val="0"/>
                <w:color w:val="282828"/>
                <w:sz w:val="26"/>
                <w:szCs w:val="26"/>
                <w:shd w:val="clear" w:color="auto" w:fill="FFFFFF"/>
              </w:rPr>
            </w:pPr>
            <w:r w:rsidRPr="0060400B">
              <w:rPr>
                <w:rStyle w:val="Strong"/>
                <w:rFonts w:ascii="Times New Roman" w:hAnsi="Times New Roman"/>
                <w:b w:val="0"/>
                <w:bCs w:val="0"/>
                <w:color w:val="282828"/>
                <w:sz w:val="26"/>
                <w:szCs w:val="26"/>
                <w:shd w:val="clear" w:color="auto" w:fill="FFFFFF"/>
              </w:rPr>
              <w:t>Thể thức</w:t>
            </w:r>
            <w:r w:rsidR="007803AB">
              <w:rPr>
                <w:rStyle w:val="Strong"/>
                <w:rFonts w:ascii="Times New Roman" w:hAnsi="Times New Roman"/>
                <w:b w:val="0"/>
                <w:bCs w:val="0"/>
                <w:color w:val="282828"/>
                <w:sz w:val="26"/>
                <w:szCs w:val="26"/>
                <w:shd w:val="clear" w:color="auto" w:fill="FFFFFF"/>
              </w:rPr>
              <w:t xml:space="preserve"> </w:t>
            </w:r>
            <w:r w:rsidRPr="0060400B">
              <w:rPr>
                <w:rStyle w:val="Strong"/>
                <w:rFonts w:ascii="Times New Roman" w:hAnsi="Times New Roman"/>
                <w:b w:val="0"/>
                <w:bCs w:val="0"/>
                <w:color w:val="282828"/>
                <w:sz w:val="26"/>
                <w:szCs w:val="26"/>
                <w:shd w:val="clear" w:color="auto" w:fill="FFFFFF"/>
              </w:rPr>
              <w:t>trình bày</w:t>
            </w:r>
          </w:p>
        </w:tc>
        <w:tc>
          <w:tcPr>
            <w:tcW w:w="4819" w:type="dxa"/>
          </w:tcPr>
          <w:p w14:paraId="10A15A9F" w14:textId="55EBC205" w:rsidR="00272721" w:rsidRPr="0060400B" w:rsidRDefault="001A036C" w:rsidP="001A036C">
            <w:pPr>
              <w:tabs>
                <w:tab w:val="left" w:pos="988"/>
              </w:tabs>
              <w:rPr>
                <w:rFonts w:ascii="Times New Roman" w:hAnsi="Times New Roman"/>
                <w:sz w:val="26"/>
                <w:szCs w:val="26"/>
              </w:rPr>
            </w:pPr>
            <w:r w:rsidRPr="0060400B">
              <w:rPr>
                <w:rFonts w:ascii="Times New Roman" w:hAnsi="Times New Roman"/>
                <w:color w:val="282828"/>
                <w:sz w:val="26"/>
                <w:szCs w:val="26"/>
                <w:shd w:val="clear" w:color="auto" w:fill="FFFFFF"/>
              </w:rPr>
              <w:t>Văn bản quy phạm pháp luật được trình bày theo quy định tại Luật Ban hành văn bản quy phạm pháp luật 2015 và Nghị định 34/2016/NĐ-CP.</w:t>
            </w:r>
          </w:p>
        </w:tc>
        <w:tc>
          <w:tcPr>
            <w:tcW w:w="3112" w:type="dxa"/>
          </w:tcPr>
          <w:p w14:paraId="191E31F9" w14:textId="6B7DD89C" w:rsidR="00272721" w:rsidRPr="0060400B" w:rsidRDefault="001A036C" w:rsidP="001A036C">
            <w:pPr>
              <w:rPr>
                <w:rFonts w:ascii="Times New Roman" w:hAnsi="Times New Roman"/>
                <w:sz w:val="26"/>
                <w:szCs w:val="26"/>
              </w:rPr>
            </w:pPr>
            <w:r w:rsidRPr="0060400B">
              <w:rPr>
                <w:rFonts w:ascii="Times New Roman" w:hAnsi="Times New Roman"/>
                <w:color w:val="282828"/>
                <w:sz w:val="26"/>
                <w:szCs w:val="26"/>
                <w:shd w:val="clear" w:color="auto" w:fill="FFFFFF"/>
              </w:rPr>
              <w:t>Văn bản hành chính thông thường được trình bày theo quy định tại Nghị định 30/2020/NĐ-CP.</w:t>
            </w:r>
          </w:p>
        </w:tc>
      </w:tr>
      <w:tr w:rsidR="00272721" w:rsidRPr="0060400B" w14:paraId="3D082896" w14:textId="77777777" w:rsidTr="001B5B12">
        <w:trPr>
          <w:jc w:val="center"/>
        </w:trPr>
        <w:tc>
          <w:tcPr>
            <w:tcW w:w="1413" w:type="dxa"/>
            <w:vAlign w:val="center"/>
          </w:tcPr>
          <w:p w14:paraId="08376DC0" w14:textId="74259C6B" w:rsidR="00272721" w:rsidRPr="0060400B" w:rsidRDefault="00272721" w:rsidP="007803AB">
            <w:pPr>
              <w:jc w:val="center"/>
              <w:rPr>
                <w:rStyle w:val="Strong"/>
                <w:rFonts w:ascii="Times New Roman" w:hAnsi="Times New Roman"/>
                <w:b w:val="0"/>
                <w:bCs w:val="0"/>
                <w:color w:val="282828"/>
                <w:sz w:val="26"/>
                <w:szCs w:val="26"/>
                <w:shd w:val="clear" w:color="auto" w:fill="FFFFFF"/>
              </w:rPr>
            </w:pPr>
            <w:r w:rsidRPr="0060400B">
              <w:rPr>
                <w:rStyle w:val="Strong"/>
                <w:rFonts w:ascii="Times New Roman" w:hAnsi="Times New Roman"/>
                <w:b w:val="0"/>
                <w:bCs w:val="0"/>
                <w:color w:val="282828"/>
                <w:sz w:val="26"/>
                <w:szCs w:val="26"/>
                <w:shd w:val="clear" w:color="auto" w:fill="FFFFFF"/>
              </w:rPr>
              <w:t>Ví dụ</w:t>
            </w:r>
          </w:p>
        </w:tc>
        <w:tc>
          <w:tcPr>
            <w:tcW w:w="4819" w:type="dxa"/>
          </w:tcPr>
          <w:p w14:paraId="517A14D9" w14:textId="27F1CA0A" w:rsidR="00272721" w:rsidRPr="0060400B" w:rsidRDefault="001A036C">
            <w:pPr>
              <w:rPr>
                <w:rFonts w:ascii="Times New Roman" w:hAnsi="Times New Roman"/>
                <w:sz w:val="26"/>
                <w:szCs w:val="26"/>
              </w:rPr>
            </w:pPr>
            <w:r w:rsidRPr="0060400B">
              <w:rPr>
                <w:rFonts w:ascii="Times New Roman" w:hAnsi="Times New Roman"/>
                <w:b/>
                <w:bCs/>
                <w:sz w:val="26"/>
                <w:szCs w:val="26"/>
              </w:rPr>
              <w:t>Bộ luật lao động:</w:t>
            </w:r>
            <w:r w:rsidRPr="0060400B">
              <w:rPr>
                <w:rFonts w:ascii="Times New Roman" w:hAnsi="Times New Roman"/>
                <w:sz w:val="26"/>
                <w:szCs w:val="26"/>
              </w:rPr>
              <w:t xml:space="preserve"> Luật lao động của một quốc gia được ban hành bởi Quốc hội. Đây là một văn bản quy phạm pháp luật có tính pháp lý cao và có hiệu lực pháp lý rộng rãi trên toàn quốc. Luật lao động quy định về quyền và nghĩa vụ của người lao động, quyền và trách nhiệm của nhà tuyển dụng, điều kiện làm việc, bảo vệ lao động và các vấn đề liên quan khác. Nó áp dụng cho tất cả các ngành nghề và tổ chức trong quốc gia đó.</w:t>
            </w:r>
          </w:p>
        </w:tc>
        <w:tc>
          <w:tcPr>
            <w:tcW w:w="3112" w:type="dxa"/>
          </w:tcPr>
          <w:p w14:paraId="537EA837" w14:textId="6FF1FFE0" w:rsidR="00272721" w:rsidRPr="0060400B" w:rsidRDefault="0060400B">
            <w:pPr>
              <w:rPr>
                <w:rFonts w:ascii="Times New Roman" w:hAnsi="Times New Roman"/>
                <w:sz w:val="26"/>
                <w:szCs w:val="26"/>
              </w:rPr>
            </w:pPr>
            <w:r w:rsidRPr="0060400B">
              <w:rPr>
                <w:rFonts w:ascii="Times New Roman" w:hAnsi="Times New Roman"/>
                <w:b/>
                <w:bCs/>
                <w:sz w:val="26"/>
                <w:szCs w:val="26"/>
              </w:rPr>
              <w:t>Thông báo về thay đổi giờ làm việc:</w:t>
            </w:r>
            <w:r w:rsidRPr="0060400B">
              <w:rPr>
                <w:rFonts w:ascii="Times New Roman" w:hAnsi="Times New Roman"/>
                <w:sz w:val="26"/>
                <w:szCs w:val="26"/>
              </w:rPr>
              <w:t xml:space="preserve"> Một công ty ban hành một thông báo về thay đổi giờ làm việc cho nhân viên. Đây là một văn bản hành chính thông thường, được ban hành bởi cơ quan quản lý nội bộ của công ty.</w:t>
            </w:r>
          </w:p>
        </w:tc>
      </w:tr>
    </w:tbl>
    <w:p w14:paraId="1B8CDD19" w14:textId="09D3BB66" w:rsidR="003C750F" w:rsidRPr="003C750F" w:rsidRDefault="003C750F" w:rsidP="001B5B12">
      <w:pPr>
        <w:rPr>
          <w:rFonts w:ascii="Times New Roman" w:hAnsi="Times New Roman"/>
          <w:sz w:val="26"/>
          <w:szCs w:val="26"/>
        </w:rPr>
      </w:pPr>
    </w:p>
    <w:sectPr w:rsidR="003C750F" w:rsidRPr="003C750F" w:rsidSect="00E61699">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0F"/>
    <w:rsid w:val="00082E32"/>
    <w:rsid w:val="001A036C"/>
    <w:rsid w:val="001B5B12"/>
    <w:rsid w:val="00272721"/>
    <w:rsid w:val="003C750F"/>
    <w:rsid w:val="00566DA2"/>
    <w:rsid w:val="005C6359"/>
    <w:rsid w:val="006008BF"/>
    <w:rsid w:val="0060400B"/>
    <w:rsid w:val="006E6872"/>
    <w:rsid w:val="007803AB"/>
    <w:rsid w:val="00781042"/>
    <w:rsid w:val="00903EAA"/>
    <w:rsid w:val="00C06127"/>
    <w:rsid w:val="00CC5D22"/>
    <w:rsid w:val="00E61699"/>
    <w:rsid w:val="00E73FE0"/>
    <w:rsid w:val="00EF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F3E8"/>
  <w15:chartTrackingRefBased/>
  <w15:docId w15:val="{E08CC2E7-8E1A-4AEE-A08C-3EABF99AB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727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92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4</cp:revision>
  <dcterms:created xsi:type="dcterms:W3CDTF">2024-04-05T00:00:00Z</dcterms:created>
  <dcterms:modified xsi:type="dcterms:W3CDTF">2024-04-05T01:42:00Z</dcterms:modified>
</cp:coreProperties>
</file>