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D603" w14:textId="157850A5" w:rsidR="00E76210" w:rsidRPr="0027498D" w:rsidRDefault="00E76210" w:rsidP="00E76210">
      <w:pPr>
        <w:spacing w:before="60" w:after="60" w:line="312" w:lineRule="auto"/>
        <w:ind w:left="360"/>
        <w:jc w:val="center"/>
        <w:rPr>
          <w:b/>
          <w:sz w:val="52"/>
          <w:szCs w:val="86"/>
          <w:lang w:val="pl-PL"/>
        </w:rPr>
      </w:pPr>
      <w:r>
        <w:rPr>
          <w:b/>
          <w:sz w:val="52"/>
          <w:szCs w:val="86"/>
          <w:lang w:val="pl-PL"/>
        </w:rPr>
        <w:t>G</w:t>
      </w:r>
      <w:r w:rsidR="003708C1">
        <w:rPr>
          <w:b/>
          <w:color w:val="ED7D31" w:themeColor="accent2"/>
          <w:sz w:val="52"/>
          <w:szCs w:val="86"/>
          <w:lang w:val="pl-PL"/>
        </w:rPr>
        <w:t>7</w:t>
      </w:r>
      <w:r>
        <w:rPr>
          <w:b/>
          <w:sz w:val="52"/>
          <w:szCs w:val="86"/>
          <w:lang w:val="pl-PL"/>
        </w:rPr>
        <w:t>_</w:t>
      </w:r>
      <w:r w:rsidR="00610D96">
        <w:rPr>
          <w:b/>
          <w:sz w:val="52"/>
          <w:szCs w:val="86"/>
          <w:lang w:val="pl-PL"/>
        </w:rPr>
        <w:t>14</w:t>
      </w:r>
    </w:p>
    <w:p w14:paraId="5C16EED4" w14:textId="3B7B5477" w:rsidR="00E76210" w:rsidRPr="00EA0C94" w:rsidRDefault="00610D96" w:rsidP="00E76210">
      <w:pPr>
        <w:spacing w:before="60" w:after="60" w:line="312" w:lineRule="auto"/>
        <w:ind w:left="360"/>
        <w:rPr>
          <w:b/>
          <w:color w:val="F4B083" w:themeColor="accent2" w:themeTint="99"/>
          <w:szCs w:val="18"/>
          <w:lang w:val="pl-PL"/>
        </w:rPr>
      </w:pPr>
      <w:r>
        <w:rPr>
          <w:b/>
          <w:szCs w:val="18"/>
          <w:lang w:val="pl-PL"/>
        </w:rPr>
        <w:t xml:space="preserve">HỌ TÊN: </w:t>
      </w:r>
      <w:r>
        <w:rPr>
          <w:b/>
          <w:szCs w:val="18"/>
          <w:lang w:val="pl-PL"/>
        </w:rPr>
        <w:tab/>
        <w:t>VÕ VĂN ĐỨC</w:t>
      </w:r>
      <w:r w:rsidR="00E76210" w:rsidRPr="000C53CC">
        <w:rPr>
          <w:b/>
          <w:szCs w:val="18"/>
          <w:lang w:val="pl-PL"/>
        </w:rPr>
        <w:tab/>
        <w:t>MSSV:</w:t>
      </w:r>
      <w:r>
        <w:rPr>
          <w:b/>
          <w:szCs w:val="18"/>
          <w:lang w:val="pl-PL"/>
        </w:rPr>
        <w:t xml:space="preserve"> 20110635</w:t>
      </w:r>
      <w:r w:rsidR="00E76210" w:rsidRPr="000C53CC">
        <w:rPr>
          <w:b/>
          <w:szCs w:val="18"/>
          <w:lang w:val="pl-PL"/>
        </w:rPr>
        <w:tab/>
      </w:r>
      <w:r w:rsidR="00E76210" w:rsidRPr="000C53CC">
        <w:rPr>
          <w:b/>
          <w:szCs w:val="18"/>
          <w:lang w:val="pl-PL"/>
        </w:rPr>
        <w:tab/>
      </w:r>
      <w:r w:rsidR="00E76210" w:rsidRPr="00EA0C94">
        <w:rPr>
          <w:b/>
          <w:color w:val="F4B083" w:themeColor="accent2" w:themeTint="99"/>
          <w:szCs w:val="18"/>
          <w:lang w:val="pl-PL"/>
        </w:rPr>
        <w:t>KÝ TÊN:</w:t>
      </w:r>
    </w:p>
    <w:p w14:paraId="76D52EA1" w14:textId="77777777" w:rsidR="00E76210" w:rsidRPr="00EA0C94" w:rsidRDefault="00E76210" w:rsidP="00E76210">
      <w:pPr>
        <w:spacing w:before="60" w:after="60" w:line="312" w:lineRule="auto"/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</w:r>
      <w:r w:rsidRPr="00EA0C94">
        <w:rPr>
          <w:bCs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  <w:r>
        <w:rPr>
          <w:bCs/>
          <w:szCs w:val="18"/>
          <w:lang w:val="pl-PL"/>
        </w:rPr>
        <w:tab/>
      </w:r>
    </w:p>
    <w:p w14:paraId="6B6ABABD" w14:textId="77777777" w:rsidR="00E76210" w:rsidRPr="000C53CC" w:rsidRDefault="00E76210" w:rsidP="00E76210">
      <w:pPr>
        <w:spacing w:before="60" w:after="60" w:line="312" w:lineRule="auto"/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>MÔN: eCOM (TMĐT)</w:t>
      </w:r>
    </w:p>
    <w:p w14:paraId="788AE65C" w14:textId="7A0517D2" w:rsidR="00E76210" w:rsidRDefault="00610D96" w:rsidP="00E76210">
      <w:pPr>
        <w:spacing w:before="120" w:after="120" w:line="360" w:lineRule="auto"/>
        <w:rPr>
          <w:b/>
          <w:color w:val="ED7D31" w:themeColor="accent2"/>
          <w:szCs w:val="18"/>
          <w:lang w:val="pl-PL"/>
        </w:rPr>
      </w:pPr>
      <w:r>
        <w:rPr>
          <w:b/>
          <w:szCs w:val="18"/>
          <w:lang w:val="pl-PL"/>
        </w:rPr>
        <w:t>NGÀY:  4/11/2022   (BUỔI HỌC SỐ 10</w:t>
      </w:r>
      <w:bookmarkStart w:id="0" w:name="_GoBack"/>
      <w:bookmarkEnd w:id="0"/>
      <w:r w:rsidR="00E76210" w:rsidRPr="000C53CC">
        <w:rPr>
          <w:b/>
          <w:szCs w:val="18"/>
          <w:lang w:val="pl-PL"/>
        </w:rPr>
        <w:t>)</w:t>
      </w:r>
      <w:r w:rsidR="00E76210">
        <w:rPr>
          <w:b/>
          <w:szCs w:val="18"/>
          <w:lang w:val="pl-PL"/>
        </w:rPr>
        <w:t xml:space="preserve">: </w:t>
      </w:r>
      <w:r w:rsidR="00E76210" w:rsidRPr="00EF7E96">
        <w:rPr>
          <w:b/>
          <w:color w:val="ED7D31" w:themeColor="accent2"/>
          <w:szCs w:val="18"/>
          <w:lang w:val="pl-PL"/>
        </w:rPr>
        <w:t>HỌC BÙ BUỔI ? VỚI G???</w:t>
      </w:r>
    </w:p>
    <w:p w14:paraId="4A967D69" w14:textId="205620DF" w:rsidR="00A010F4" w:rsidRDefault="00A010F4" w:rsidP="00A010F4">
      <w:pPr>
        <w:spacing w:before="120" w:after="120" w:line="360" w:lineRule="auto"/>
        <w:rPr>
          <w:b/>
          <w:color w:val="0000FF"/>
          <w:sz w:val="26"/>
          <w:szCs w:val="26"/>
        </w:rPr>
      </w:pPr>
      <w:r w:rsidRPr="00A010F4">
        <w:rPr>
          <w:b/>
          <w:sz w:val="26"/>
          <w:szCs w:val="26"/>
        </w:rPr>
        <w:t>Bài buổi 10:</w:t>
      </w:r>
      <w:r w:rsidRPr="00A010F4">
        <w:rPr>
          <w:b/>
          <w:color w:val="0000FF"/>
          <w:sz w:val="26"/>
          <w:szCs w:val="26"/>
        </w:rPr>
        <w:t xml:space="preserve"> HOẠCH ĐỊNH HỆ THỐNG CSDL CỦA HT TMĐT &amp; MỘT SỐ YẾU TỐ KỸ THUẬT VỀ “GIỎ HÀNG”||”PHIẾU ĐĂNG KÝ|GIỮ CHỔ” LIÊN QUAN CSDL</w:t>
      </w:r>
    </w:p>
    <w:p w14:paraId="2337CD8D" w14:textId="30592BD5" w:rsidR="00A010F4" w:rsidRPr="00A010F4" w:rsidRDefault="00761D31" w:rsidP="00A010F4">
      <w:pPr>
        <w:spacing w:before="120" w:after="120" w:line="360" w:lineRule="auto"/>
        <w:rPr>
          <w:bCs/>
          <w:sz w:val="20"/>
          <w:szCs w:val="20"/>
          <w:lang w:val="de-DE"/>
        </w:rPr>
      </w:pPr>
      <w:r w:rsidRPr="00761D31">
        <w:rPr>
          <w:bCs/>
          <w:color w:val="0000FF"/>
          <w:highlight w:val="yellow"/>
        </w:rPr>
        <w:t>Dựa váo Hướng dẫn sau Hoạch định cho đề tài HT TMĐT đã đăng ký ĐAHP = Chương 4</w:t>
      </w:r>
    </w:p>
    <w:p w14:paraId="0A55F28D" w14:textId="77777777" w:rsidR="00A010F4" w:rsidRPr="00A010F4" w:rsidRDefault="00A010F4" w:rsidP="00A010F4">
      <w:pPr>
        <w:keepNext/>
        <w:numPr>
          <w:ilvl w:val="0"/>
          <w:numId w:val="6"/>
        </w:numPr>
        <w:tabs>
          <w:tab w:val="left" w:pos="432"/>
        </w:tabs>
        <w:spacing w:before="120" w:after="120" w:line="360" w:lineRule="auto"/>
        <w:outlineLvl w:val="1"/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</w:pP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Hoạch định hệ thống CSDL của Website TMĐT …...</w:t>
      </w:r>
    </w:p>
    <w:p w14:paraId="1E46B0B0" w14:textId="74C79E20" w:rsidR="00A010F4" w:rsidRPr="00A010F4" w:rsidRDefault="00B76537" w:rsidP="00A010F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* </w:t>
      </w:r>
      <w:r w:rsidR="00A010F4" w:rsidRPr="00A010F4">
        <w:rPr>
          <w:bCs/>
          <w:sz w:val="26"/>
          <w:szCs w:val="26"/>
        </w:rPr>
        <w:t>Mục tiêu</w:t>
      </w:r>
      <w:r>
        <w:rPr>
          <w:bCs/>
          <w:sz w:val="26"/>
          <w:szCs w:val="26"/>
        </w:rPr>
        <w:t xml:space="preserve">: </w:t>
      </w:r>
      <w:r w:rsidR="00A010F4" w:rsidRPr="00A010F4">
        <w:rPr>
          <w:bCs/>
          <w:sz w:val="26"/>
          <w:szCs w:val="26"/>
        </w:rPr>
        <w:t>hoạch định được tổng quan HT CSDL = ERD, Vậy lý (cài Diagram SQL,…)</w:t>
      </w:r>
    </w:p>
    <w:p w14:paraId="18F522E3" w14:textId="77777777" w:rsidR="00A010F4" w:rsidRPr="00A010F4" w:rsidRDefault="00A010F4" w:rsidP="00A010F4">
      <w:pPr>
        <w:spacing w:line="360" w:lineRule="auto"/>
        <w:jc w:val="both"/>
        <w:rPr>
          <w:sz w:val="20"/>
          <w:szCs w:val="20"/>
          <w:lang w:val="de-DE"/>
        </w:rPr>
      </w:pPr>
      <w:r w:rsidRPr="00A010F4">
        <w:rPr>
          <w:bCs/>
          <w:sz w:val="26"/>
          <w:szCs w:val="26"/>
        </w:rPr>
        <w:t xml:space="preserve">=&gt; nhận diện khác biệt cơ bản CSDL </w:t>
      </w:r>
      <w:r w:rsidRPr="00A010F4">
        <w:rPr>
          <w:bCs/>
          <w:sz w:val="26"/>
          <w:szCs w:val="26"/>
          <w:u w:val="single"/>
        </w:rPr>
        <w:t>eCOM</w:t>
      </w:r>
      <w:r w:rsidRPr="00A010F4">
        <w:rPr>
          <w:bCs/>
          <w:sz w:val="26"/>
          <w:szCs w:val="26"/>
        </w:rPr>
        <w:t xml:space="preserve"> &lt;&gt; </w:t>
      </w:r>
      <w:r w:rsidRPr="00A010F4">
        <w:rPr>
          <w:bCs/>
          <w:sz w:val="26"/>
          <w:szCs w:val="26"/>
          <w:u w:val="single"/>
        </w:rPr>
        <w:t>CSDL</w:t>
      </w:r>
      <w:r w:rsidRPr="00A010F4">
        <w:rPr>
          <w:bCs/>
          <w:sz w:val="26"/>
          <w:szCs w:val="26"/>
        </w:rPr>
        <w:t xml:space="preserve"> kinh doanh bán hàng truyền thống </w:t>
      </w:r>
    </w:p>
    <w:p w14:paraId="0F4814DE" w14:textId="77777777" w:rsidR="00A010F4" w:rsidRPr="00A010F4" w:rsidRDefault="00A010F4" w:rsidP="00A010F4">
      <w:pPr>
        <w:spacing w:line="360" w:lineRule="auto"/>
        <w:jc w:val="both"/>
        <w:rPr>
          <w:lang w:val="de-DE"/>
        </w:rPr>
      </w:pPr>
      <w:r w:rsidRPr="00A010F4">
        <w:rPr>
          <w:lang w:val="de-DE"/>
        </w:rPr>
        <w:t>* HÃY QUAN SÁT DIAGRAM VL CSDL BÁN HÀNG ONLINE (Ecom) : "trích"</w:t>
      </w:r>
    </w:p>
    <w:p w14:paraId="5B55372D" w14:textId="77777777" w:rsidR="00A010F4" w:rsidRPr="00A010F4" w:rsidRDefault="00A010F4" w:rsidP="00A010F4">
      <w:pPr>
        <w:spacing w:line="360" w:lineRule="auto"/>
        <w:jc w:val="both"/>
        <w:rPr>
          <w:lang w:val="de-DE"/>
        </w:rPr>
      </w:pPr>
    </w:p>
    <w:p w14:paraId="6F32B1D4" w14:textId="46D41C4A" w:rsidR="00A010F4" w:rsidRPr="00A010F4" w:rsidRDefault="00A010F4" w:rsidP="00A010F4">
      <w:pPr>
        <w:spacing w:line="360" w:lineRule="auto"/>
        <w:jc w:val="both"/>
        <w:rPr>
          <w:lang w:val="de-DE"/>
        </w:rPr>
      </w:pPr>
      <w:r w:rsidRPr="00A010F4">
        <w:rPr>
          <w:noProof/>
        </w:rPr>
        <w:drawing>
          <wp:inline distT="0" distB="0" distL="0" distR="0" wp14:anchorId="647AAAF2" wp14:editId="50FCF45C">
            <wp:extent cx="6448425" cy="3077845"/>
            <wp:effectExtent l="0" t="0" r="9525" b="8255"/>
            <wp:docPr id="234" name="Picture 234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33B" w14:textId="77777777" w:rsidR="00A010F4" w:rsidRPr="00A010F4" w:rsidRDefault="00A010F4" w:rsidP="00A010F4">
      <w:pPr>
        <w:rPr>
          <w:bCs/>
          <w:sz w:val="30"/>
          <w:szCs w:val="30"/>
        </w:rPr>
      </w:pPr>
    </w:p>
    <w:p w14:paraId="2A66C4D5" w14:textId="77777777" w:rsidR="00A010F4" w:rsidRPr="00A010F4" w:rsidRDefault="00A010F4" w:rsidP="00A010F4">
      <w:pPr>
        <w:keepNext/>
        <w:numPr>
          <w:ilvl w:val="0"/>
          <w:numId w:val="6"/>
        </w:numPr>
        <w:tabs>
          <w:tab w:val="left" w:pos="432"/>
        </w:tabs>
        <w:spacing w:before="120" w:after="120" w:line="360" w:lineRule="auto"/>
        <w:outlineLvl w:val="1"/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</w:pP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lastRenderedPageBreak/>
        <w:t xml:space="preserve">Yếu tố kỹ thuật về 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“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giỏ h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à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ng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”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||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”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 xml:space="preserve">phiếu 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đă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ng k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ý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|giữ chổ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”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 xml:space="preserve"> li</w:t>
      </w:r>
      <w:r w:rsidRPr="00A010F4">
        <w:rPr>
          <w:rFonts w:ascii="Times New Roman Bold" w:hAnsi="Times New Roman Bold" w:cs="Arial" w:hint="eastAsia"/>
          <w:b/>
          <w:bCs/>
          <w:iCs/>
          <w:color w:val="0000FF"/>
          <w:sz w:val="26"/>
          <w:szCs w:val="28"/>
        </w:rPr>
        <w:t>ê</w:t>
      </w: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n quan CSDL</w:t>
      </w:r>
    </w:p>
    <w:p w14:paraId="4399F446" w14:textId="77777777" w:rsidR="00A010F4" w:rsidRPr="00A010F4" w:rsidRDefault="00A010F4" w:rsidP="00A010F4">
      <w:r w:rsidRPr="00A010F4">
        <w:rPr>
          <w:b/>
          <w:bCs/>
          <w:u w:val="single"/>
        </w:rPr>
        <w:t>Cart</w:t>
      </w:r>
      <w:r w:rsidRPr="00A010F4">
        <w:t>:   KH chọn hàng bỏ vào “giỏ”: hiện trong cart đang có</w:t>
      </w:r>
    </w:p>
    <w:p w14:paraId="043CF38E" w14:textId="77777777" w:rsidR="00A010F4" w:rsidRPr="00A010F4" w:rsidRDefault="00A010F4" w:rsidP="00A010F4">
      <w:r w:rsidRPr="00A010F4">
        <w:t>Mã    Tên hàng              số lượng</w:t>
      </w:r>
    </w:p>
    <w:p w14:paraId="3158450F" w14:textId="77777777" w:rsidR="00A010F4" w:rsidRPr="00A010F4" w:rsidRDefault="00A010F4" w:rsidP="00A010F4">
      <w:r w:rsidRPr="00A010F4">
        <w:t xml:space="preserve"> 01        A   …                   5</w:t>
      </w:r>
    </w:p>
    <w:p w14:paraId="225E2C50" w14:textId="77777777" w:rsidR="00A010F4" w:rsidRPr="00A010F4" w:rsidRDefault="00A010F4" w:rsidP="00A010F4">
      <w:r w:rsidRPr="00A010F4">
        <w:t xml:space="preserve"> 02        B……                   7</w:t>
      </w:r>
    </w:p>
    <w:p w14:paraId="11D6C711" w14:textId="77777777" w:rsidR="00A010F4" w:rsidRPr="00A010F4" w:rsidRDefault="00A010F4" w:rsidP="00A010F4"/>
    <w:p w14:paraId="779F8E05" w14:textId="77777777" w:rsidR="00A010F4" w:rsidRPr="00A010F4" w:rsidRDefault="00A010F4" w:rsidP="00A010F4">
      <w:r w:rsidRPr="00A010F4">
        <w:t>===giả sử KH tiếp tục thực hiện chọn hàng để mua</w:t>
      </w:r>
    </w:p>
    <w:p w14:paraId="3F185485" w14:textId="77777777" w:rsidR="00A010F4" w:rsidRPr="00A010F4" w:rsidRDefault="00A010F4" w:rsidP="00A010F4">
      <w:r w:rsidRPr="00A010F4">
        <w:t>. Xác định các tình huống có thể xảy ra =&gt; Thủ tục xử lý Cart giải quyết ntn?</w:t>
      </w:r>
    </w:p>
    <w:p w14:paraId="5EEB4DC7" w14:textId="77777777" w:rsidR="00A010F4" w:rsidRPr="00A010F4" w:rsidRDefault="00A010F4" w:rsidP="00A010F4">
      <w:r w:rsidRPr="00A010F4">
        <w:rPr>
          <w:b/>
          <w:bCs/>
        </w:rPr>
        <w:t>Invoice</w:t>
      </w:r>
      <w:r w:rsidRPr="00A010F4">
        <w:t>:  có cần giải quyết tình huống trên hay không? vì sao?</w:t>
      </w:r>
    </w:p>
    <w:p w14:paraId="6E97C5F8" w14:textId="77777777" w:rsidR="00A010F4" w:rsidRPr="00A010F4" w:rsidRDefault="00A010F4" w:rsidP="00A010F4">
      <w:pPr>
        <w:keepNext/>
        <w:numPr>
          <w:ilvl w:val="0"/>
          <w:numId w:val="6"/>
        </w:numPr>
        <w:tabs>
          <w:tab w:val="left" w:pos="432"/>
        </w:tabs>
        <w:spacing w:before="120" w:after="120" w:line="360" w:lineRule="auto"/>
        <w:outlineLvl w:val="1"/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</w:pPr>
      <w:r w:rsidRPr="00A010F4">
        <w:rPr>
          <w:rFonts w:ascii="Times New Roman Bold" w:hAnsi="Times New Roman Bold" w:cs="Arial"/>
          <w:b/>
          <w:bCs/>
          <w:iCs/>
          <w:color w:val="0000FF"/>
          <w:sz w:val="26"/>
          <w:szCs w:val="28"/>
        </w:rPr>
        <w:t>Các phân hệ cơ bản của HT TMĐT</w:t>
      </w:r>
    </w:p>
    <w:p w14:paraId="4F92BC7F" w14:textId="77777777" w:rsidR="00A010F4" w:rsidRPr="00A010F4" w:rsidRDefault="00A010F4" w:rsidP="00A010F4">
      <w:pPr>
        <w:numPr>
          <w:ilvl w:val="0"/>
          <w:numId w:val="5"/>
        </w:numPr>
        <w:spacing w:line="360" w:lineRule="auto"/>
        <w:contextualSpacing/>
        <w:jc w:val="both"/>
        <w:rPr>
          <w:lang w:val="de-DE"/>
        </w:rPr>
      </w:pPr>
      <w:r w:rsidRPr="00A010F4">
        <w:rPr>
          <w:lang w:val="de-DE"/>
        </w:rPr>
        <w:t>LẬP TRÌNH PT HT TMĐT = THÔNG THƯỜNG PHẢI CÓ NHƯNG PHÂN HỆ / e-COM</w:t>
      </w:r>
    </w:p>
    <w:p w14:paraId="4B562249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Giao dịch của KH = "Giỏ hàng“ &amp; "Phiếu đặt hàng“</w:t>
      </w:r>
    </w:p>
    <w:p w14:paraId="426E35AB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Marketing online + e-Marketing</w:t>
      </w:r>
    </w:p>
    <w:p w14:paraId="190DB139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hàng hóa dịch vụ: chính sách, giá cả..: NV = Thêm, Xóa[RBTV], Sửa Records DB</w:t>
      </w:r>
    </w:p>
    <w:p w14:paraId="3D5491DA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nguồn cung ứng &amp; đối tác = thương hiệu &amp; an toàn + sở hữu trí tuệ.</w:t>
      </w:r>
    </w:p>
    <w:p w14:paraId="706C303C" w14:textId="77777777" w:rsidR="00A010F4" w:rsidRPr="00A010F4" w:rsidRDefault="00A010F4" w:rsidP="00331F38">
      <w:pPr>
        <w:spacing w:line="360" w:lineRule="auto"/>
        <w:ind w:left="360"/>
        <w:contextualSpacing/>
        <w:rPr>
          <w:lang w:val="de-DE"/>
        </w:rPr>
      </w:pPr>
      <w:r w:rsidRPr="00A010F4">
        <w:rPr>
          <w:lang w:val="de-DE"/>
        </w:rPr>
        <w:t xml:space="preserve">. Quản lý công nợ = hàng đang giao &amp; đã giao (tiền) </w:t>
      </w:r>
      <w:r w:rsidRPr="00A010F4">
        <w:rPr>
          <w:lang w:val="de-DE"/>
        </w:rPr>
        <w:br/>
        <w:t xml:space="preserve">                -&gt; tự động = |phải thủ - phải trả| -&gt;chênh lệch: an toàn</w:t>
      </w:r>
    </w:p>
    <w:p w14:paraId="0183580D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kho hàng và giao hàng -&gt;</w:t>
      </w:r>
    </w:p>
    <w:p w14:paraId="26D58DB7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Thanh toán: cash , e-payment, . . .</w:t>
      </w:r>
    </w:p>
    <w:p w14:paraId="69AA78A6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nhân sự _ Chấm công _chính sách lương _ tuyển dụng</w:t>
      </w:r>
    </w:p>
    <w:p w14:paraId="4BE37579" w14:textId="77777777" w:rsidR="00A010F4" w:rsidRPr="00A010F4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Hậu mãi + khiếu nại...</w:t>
      </w:r>
      <w:r w:rsidRPr="00A010F4">
        <w:rPr>
          <w:sz w:val="19"/>
          <w:szCs w:val="14"/>
        </w:rPr>
        <w:t xml:space="preserve">               </w:t>
      </w:r>
    </w:p>
    <w:p w14:paraId="521EDAD4" w14:textId="77777777" w:rsidR="00331F38" w:rsidRDefault="00A010F4" w:rsidP="00331F38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Hệ thống (Admin)</w:t>
      </w:r>
    </w:p>
    <w:p w14:paraId="5C41D44E" w14:textId="172E0781" w:rsidR="00A010F4" w:rsidRDefault="00331F38" w:rsidP="00331F38">
      <w:pPr>
        <w:spacing w:line="360" w:lineRule="auto"/>
        <w:ind w:left="360"/>
        <w:contextualSpacing/>
        <w:jc w:val="both"/>
        <w:rPr>
          <w:lang w:val="de-DE"/>
        </w:rPr>
      </w:pPr>
      <w:r>
        <w:rPr>
          <w:lang w:val="de-DE"/>
        </w:rPr>
        <w:t xml:space="preserve">. </w:t>
      </w:r>
      <w:r w:rsidR="00A010F4" w:rsidRPr="00A010F4">
        <w:rPr>
          <w:lang w:val="de-DE"/>
        </w:rPr>
        <w:t>Bảo mật</w:t>
      </w:r>
    </w:p>
    <w:p w14:paraId="5BE2A47F" w14:textId="02D54334" w:rsidR="00331F38" w:rsidRPr="00A010F4" w:rsidRDefault="00331F38" w:rsidP="00331F38">
      <w:pPr>
        <w:spacing w:line="360" w:lineRule="auto"/>
        <w:ind w:left="360"/>
        <w:contextualSpacing/>
        <w:jc w:val="both"/>
        <w:rPr>
          <w:lang w:val="de-DE"/>
        </w:rPr>
      </w:pPr>
      <w:r>
        <w:rPr>
          <w:lang w:val="de-DE"/>
        </w:rPr>
        <w:t>. Khai phá dữ liệu và Datawarehouse =&gt; Big Data</w:t>
      </w:r>
    </w:p>
    <w:sectPr w:rsidR="00331F38" w:rsidRPr="00A0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2BE1E" w14:textId="77777777" w:rsidR="00B7213C" w:rsidRDefault="00B7213C" w:rsidP="00E76210">
      <w:r>
        <w:separator/>
      </w:r>
    </w:p>
  </w:endnote>
  <w:endnote w:type="continuationSeparator" w:id="0">
    <w:p w14:paraId="1345C488" w14:textId="77777777" w:rsidR="00B7213C" w:rsidRDefault="00B7213C" w:rsidP="00E7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7DC09" w14:textId="77777777" w:rsidR="00B7213C" w:rsidRDefault="00B7213C" w:rsidP="00E76210">
      <w:r>
        <w:separator/>
      </w:r>
    </w:p>
  </w:footnote>
  <w:footnote w:type="continuationSeparator" w:id="0">
    <w:p w14:paraId="392E6B0E" w14:textId="77777777" w:rsidR="00B7213C" w:rsidRDefault="00B7213C" w:rsidP="00E76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3E2"/>
    <w:multiLevelType w:val="hybridMultilevel"/>
    <w:tmpl w:val="31FACEFE"/>
    <w:lvl w:ilvl="0" w:tplc="80722FB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381"/>
    <w:multiLevelType w:val="hybridMultilevel"/>
    <w:tmpl w:val="259A0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83E05"/>
    <w:multiLevelType w:val="hybridMultilevel"/>
    <w:tmpl w:val="85301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610336"/>
    <w:multiLevelType w:val="hybridMultilevel"/>
    <w:tmpl w:val="F4784D68"/>
    <w:lvl w:ilvl="0" w:tplc="F574E68A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4933"/>
    <w:multiLevelType w:val="hybridMultilevel"/>
    <w:tmpl w:val="E940C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A9710C"/>
    <w:multiLevelType w:val="hybridMultilevel"/>
    <w:tmpl w:val="DFE4C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C4"/>
    <w:rsid w:val="00002394"/>
    <w:rsid w:val="00016C85"/>
    <w:rsid w:val="001B7377"/>
    <w:rsid w:val="001D6A85"/>
    <w:rsid w:val="001F6EA3"/>
    <w:rsid w:val="00204914"/>
    <w:rsid w:val="00227F38"/>
    <w:rsid w:val="00273B9E"/>
    <w:rsid w:val="002847C7"/>
    <w:rsid w:val="0029469E"/>
    <w:rsid w:val="002D548B"/>
    <w:rsid w:val="003153F4"/>
    <w:rsid w:val="00331F38"/>
    <w:rsid w:val="0035579C"/>
    <w:rsid w:val="003708C1"/>
    <w:rsid w:val="00377C4C"/>
    <w:rsid w:val="00382011"/>
    <w:rsid w:val="00396214"/>
    <w:rsid w:val="003B4AE8"/>
    <w:rsid w:val="003F7C3D"/>
    <w:rsid w:val="00411C31"/>
    <w:rsid w:val="00426A1A"/>
    <w:rsid w:val="00530B6B"/>
    <w:rsid w:val="00586290"/>
    <w:rsid w:val="005B738F"/>
    <w:rsid w:val="005E0D51"/>
    <w:rsid w:val="00610D96"/>
    <w:rsid w:val="006C65CD"/>
    <w:rsid w:val="006F0B77"/>
    <w:rsid w:val="00761D31"/>
    <w:rsid w:val="00784E99"/>
    <w:rsid w:val="007A6E34"/>
    <w:rsid w:val="0086421A"/>
    <w:rsid w:val="00867FB9"/>
    <w:rsid w:val="00896C16"/>
    <w:rsid w:val="008B09C9"/>
    <w:rsid w:val="008D4407"/>
    <w:rsid w:val="00912D2B"/>
    <w:rsid w:val="00913725"/>
    <w:rsid w:val="009802BD"/>
    <w:rsid w:val="009B28D8"/>
    <w:rsid w:val="009C4F77"/>
    <w:rsid w:val="00A010F4"/>
    <w:rsid w:val="00A53676"/>
    <w:rsid w:val="00AF0280"/>
    <w:rsid w:val="00B7213C"/>
    <w:rsid w:val="00B7469C"/>
    <w:rsid w:val="00B76537"/>
    <w:rsid w:val="00B866AC"/>
    <w:rsid w:val="00C307C4"/>
    <w:rsid w:val="00C37350"/>
    <w:rsid w:val="00C54297"/>
    <w:rsid w:val="00C6556E"/>
    <w:rsid w:val="00D10425"/>
    <w:rsid w:val="00D8498D"/>
    <w:rsid w:val="00D955D5"/>
    <w:rsid w:val="00DD31FA"/>
    <w:rsid w:val="00E51F67"/>
    <w:rsid w:val="00E76210"/>
    <w:rsid w:val="00ED1687"/>
    <w:rsid w:val="00EF0180"/>
    <w:rsid w:val="00E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E53"/>
  <w15:chartTrackingRefBased/>
  <w15:docId w15:val="{835A216B-96DC-4969-AA66-25109859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7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3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239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rsid w:val="00E762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621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7621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E762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vxthe vxthe</dc:creator>
  <cp:keywords/>
  <dc:description/>
  <cp:lastModifiedBy>WINDOWS 10</cp:lastModifiedBy>
  <cp:revision>4</cp:revision>
  <dcterms:created xsi:type="dcterms:W3CDTF">2022-11-04T03:11:00Z</dcterms:created>
  <dcterms:modified xsi:type="dcterms:W3CDTF">2022-11-13T13:19:00Z</dcterms:modified>
</cp:coreProperties>
</file>