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how words get input.</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anyone has a piece of text on homepage—piece of text on pdf, type it directly to upload text, upload document through Microsoft word or pdf(most likely), to have evaluated word by word.</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Machine color codes based on what category they belong to.</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OCR recognition software spits out words in color-coded operation.</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be done: clicking on the left-hand navigation bar—analyze text: color coding text into correct categories.</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completely convinced that categories are set up right (sifting to be done accurately)—he has to send us the latest configuration of the word lists.</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Corpus: grouping of ten million words (over 100 textbooks, half from Florida and Cali). If we teach most frequently used vocab words to new language learners, they can presumably learn the language faster.</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Numbers and swear words are learned fastest, since they are used the most.</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Human-predictability of which words are the most often wears down.</w:t>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 Animals—not the most commonly used words, although fun.</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 process, examine are words we use in academic contexts. Make sure they get taught rather than overlooked.</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Native-English peer interaction.</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Try to make sure people are not so far behind when learning a new language.</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Essential learning list (K1, K2, K3—K1 first one thousand, k2 next 1000 and so forth). Learn the most 3000 used words in a language, set to go to college.</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Words that are not popular but that are used in many areas of school (compose, infer, imply). Helping English learners navigate the school system.</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Words to be sifted (text, doc, pdf) and color-coded.</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Putting through a peer-review in writing a paper—feedback (happy to have corpus but it is not useful yet). Evaluators want something aligned grade by grade from kindergarten to 12</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grade.</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Essential words list and stem words to k-12 list. Entails sending 13 lists that get sorted.</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Eric has not configured yet how it would look good on a computer screen—open to suggestions.</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Presentation in front of us? Accomplished by predecessors. Build upon it.</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website: add space for 13 grades.</w:t>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