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01" w:rsidRDefault="008E1A06" w:rsidP="008E1A06">
      <w:pPr>
        <w:pStyle w:val="Heading1"/>
      </w:pPr>
      <w:r>
        <w:t>Articles:</w:t>
      </w:r>
    </w:p>
    <w:p w:rsidR="008E1A06" w:rsidRDefault="008E1A06" w:rsidP="008E1A06"/>
    <w:p w:rsidR="008E1A06" w:rsidRDefault="008E1A06" w:rsidP="008E1A06">
      <w:pPr>
        <w:pStyle w:val="Heading2"/>
      </w:pPr>
      <w:r>
        <w:t>Effect of Pressure on solidification of metallic materials (2012):</w:t>
      </w:r>
    </w:p>
    <w:p w:rsidR="008E1A06" w:rsidRDefault="008E1A06" w:rsidP="008E1A06">
      <w:r>
        <w:t xml:space="preserve">JJ </w:t>
      </w:r>
      <w:proofErr w:type="spellStart"/>
      <w:r>
        <w:t>Sobczak</w:t>
      </w:r>
      <w:proofErr w:type="spellEnd"/>
      <w:r>
        <w:t xml:space="preserve">, L </w:t>
      </w:r>
      <w:proofErr w:type="spellStart"/>
      <w:r>
        <w:t>Drenchev</w:t>
      </w:r>
      <w:proofErr w:type="spellEnd"/>
      <w:r>
        <w:t xml:space="preserve">, R Asthana </w:t>
      </w:r>
    </w:p>
    <w:p w:rsidR="008E1A06" w:rsidRDefault="008E1A06" w:rsidP="008E1A06">
      <w:pPr>
        <w:pStyle w:val="ListParagraph"/>
        <w:numPr>
          <w:ilvl w:val="0"/>
          <w:numId w:val="1"/>
        </w:numPr>
      </w:pPr>
      <w:r w:rsidRPr="008E1A06">
        <w:t>196 MPa</w:t>
      </w:r>
      <w:r>
        <w:t xml:space="preserve"> pressure</w:t>
      </w:r>
      <w:r w:rsidRPr="008E1A06">
        <w:t xml:space="preserve"> increases the heat transfer by factor of 15 (for al-</w:t>
      </w:r>
      <w:proofErr w:type="spellStart"/>
      <w:r w:rsidRPr="008E1A06">
        <w:t>si</w:t>
      </w:r>
      <w:proofErr w:type="spellEnd"/>
      <w:r w:rsidRPr="008E1A06">
        <w:t>) compared to atmosphere pressure, because of improved thermal contact between mould and metal. </w:t>
      </w:r>
    </w:p>
    <w:p w:rsidR="008E1A06" w:rsidRPr="008E1A06" w:rsidRDefault="008E1A06" w:rsidP="008E1A06">
      <w:pPr>
        <w:pStyle w:val="ListParagraph"/>
      </w:pPr>
    </w:p>
    <w:p w:rsidR="008E1A06" w:rsidRDefault="008E1A06" w:rsidP="008E1A06">
      <w:pPr>
        <w:pStyle w:val="ListParagraph"/>
        <w:numPr>
          <w:ilvl w:val="0"/>
          <w:numId w:val="1"/>
        </w:numPr>
      </w:pPr>
      <w:r w:rsidRPr="008E1A06">
        <w:t>Effect of 34 MPa  in casting 413 Al-Si:</w:t>
      </w:r>
    </w:p>
    <w:p w:rsidR="008E1A06" w:rsidRDefault="008E1A06" w:rsidP="008E1A06">
      <w:pPr>
        <w:pStyle w:val="ListParagraph"/>
      </w:pPr>
    </w:p>
    <w:p w:rsidR="008E1A06" w:rsidRDefault="008E1A06" w:rsidP="008E1A06">
      <w:pPr>
        <w:pStyle w:val="ListParagraph"/>
        <w:numPr>
          <w:ilvl w:val="1"/>
          <w:numId w:val="1"/>
        </w:numPr>
      </w:pPr>
      <w:r>
        <w:t xml:space="preserve"> Alpha-phase volume increased from 21.87% to 46.23 %. </w:t>
      </w:r>
    </w:p>
    <w:p w:rsidR="008E1A06" w:rsidRDefault="008E1A06" w:rsidP="008E1A06">
      <w:pPr>
        <w:pStyle w:val="ListParagraph"/>
        <w:numPr>
          <w:ilvl w:val="1"/>
          <w:numId w:val="1"/>
        </w:numPr>
      </w:pPr>
      <w:r>
        <w:t xml:space="preserve"> Eutectic Si content increased by ~20 </w:t>
      </w:r>
      <w:proofErr w:type="spellStart"/>
      <w:r>
        <w:t>wt</w:t>
      </w:r>
      <w:proofErr w:type="spellEnd"/>
      <w:r>
        <w:t>%.</w:t>
      </w:r>
    </w:p>
    <w:p w:rsidR="008E1A06" w:rsidRDefault="008E1A06" w:rsidP="008E1A06">
      <w:pPr>
        <w:pStyle w:val="ListParagraph"/>
        <w:numPr>
          <w:ilvl w:val="1"/>
          <w:numId w:val="1"/>
        </w:numPr>
      </w:pPr>
      <w:r>
        <w:t xml:space="preserve"> Eutectic temperature increased by 5 degrees C.</w:t>
      </w:r>
    </w:p>
    <w:p w:rsidR="008E1A06" w:rsidRPr="008E1A06" w:rsidRDefault="008E1A06" w:rsidP="008E1A06">
      <w:pPr>
        <w:pStyle w:val="ListParagraph"/>
        <w:ind w:left="1440"/>
      </w:pPr>
    </w:p>
    <w:p w:rsidR="008E1A06" w:rsidRPr="008E1A06" w:rsidRDefault="008E1A06" w:rsidP="008E1A06">
      <w:pPr>
        <w:pStyle w:val="ListParagraph"/>
        <w:numPr>
          <w:ilvl w:val="0"/>
          <w:numId w:val="1"/>
        </w:numPr>
      </w:pPr>
      <w:r w:rsidRPr="008E1A06">
        <w:t xml:space="preserve">formula for estimating the effect of pressure and ultrasonic vibration on nucleation using the </w:t>
      </w:r>
      <w:proofErr w:type="spellStart"/>
      <w:r w:rsidRPr="008E1A06">
        <w:t>Clausius-Clapeyron</w:t>
      </w:r>
      <w:proofErr w:type="spellEnd"/>
      <w:r w:rsidRPr="008E1A06">
        <w:t xml:space="preserve"> equa</w:t>
      </w:r>
      <w:r>
        <w:t>tion</w:t>
      </w:r>
    </w:p>
    <w:p w:rsidR="008E1A06" w:rsidRDefault="008E1A06" w:rsidP="008E1A06"/>
    <w:p w:rsidR="008E1A06" w:rsidRDefault="00AC464E" w:rsidP="00AC464E">
      <w:pPr>
        <w:pStyle w:val="Heading2"/>
      </w:pPr>
      <w:r>
        <w:t>Solidifying pressure and microstructure of AlSi10Cu3 in die sleeve in high pressure casting</w:t>
      </w:r>
    </w:p>
    <w:p w:rsidR="00AC464E" w:rsidRDefault="00AC464E" w:rsidP="00AC464E">
      <w:r>
        <w:t>X. P. Hu, G. Q. Zhao &amp; W. M. Wang</w:t>
      </w:r>
    </w:p>
    <w:p w:rsidR="00AC464E" w:rsidRDefault="00AC464E" w:rsidP="00AC464E">
      <w:pPr>
        <w:pStyle w:val="ListParagraph"/>
        <w:numPr>
          <w:ilvl w:val="0"/>
          <w:numId w:val="2"/>
        </w:numPr>
      </w:pPr>
      <w:r>
        <w:t>nothing</w:t>
      </w:r>
    </w:p>
    <w:p w:rsidR="00AC464E" w:rsidRDefault="00AC464E" w:rsidP="00AC464E"/>
    <w:p w:rsidR="00AC464E" w:rsidRDefault="00AC464E" w:rsidP="00AC464E">
      <w:pPr>
        <w:pStyle w:val="Heading1"/>
      </w:pPr>
      <w:r>
        <w:t xml:space="preserve">Effects of </w:t>
      </w:r>
      <w:proofErr w:type="spellStart"/>
      <w:r>
        <w:t>Sr</w:t>
      </w:r>
      <w:proofErr w:type="spellEnd"/>
      <w:r>
        <w:t xml:space="preserve"> and pressure on microstructure, mechanical and wear properties of near eutectic Al–Si piston alloys</w:t>
      </w:r>
    </w:p>
    <w:p w:rsidR="00AC464E" w:rsidRDefault="00E90A40" w:rsidP="00AC464E">
      <w:proofErr w:type="spellStart"/>
      <w:r>
        <w:t>Pratheesh</w:t>
      </w:r>
      <w:proofErr w:type="spellEnd"/>
      <w:r>
        <w:t xml:space="preserve"> et al.</w:t>
      </w:r>
    </w:p>
    <w:p w:rsidR="00E90A40" w:rsidRDefault="00E90A40" w:rsidP="00E90A40">
      <w:pPr>
        <w:pStyle w:val="ListParagraph"/>
        <w:numPr>
          <w:ilvl w:val="0"/>
          <w:numId w:val="2"/>
        </w:numPr>
      </w:pPr>
      <w:proofErr w:type="spellStart"/>
      <w:r>
        <w:t>Sr</w:t>
      </w:r>
      <w:proofErr w:type="spellEnd"/>
      <w:r>
        <w:t xml:space="preserve"> 0.04% changes silicon morphology from platelets to finer </w:t>
      </w:r>
      <w:proofErr w:type="spellStart"/>
      <w:r>
        <w:t>fiber</w:t>
      </w:r>
      <w:proofErr w:type="spellEnd"/>
      <w:r>
        <w:t>-like structures.</w:t>
      </w:r>
    </w:p>
    <w:p w:rsidR="00E90A40" w:rsidRDefault="00E90A40" w:rsidP="00E90A40">
      <w:pPr>
        <w:pStyle w:val="ListParagraph"/>
        <w:numPr>
          <w:ilvl w:val="0"/>
          <w:numId w:val="2"/>
        </w:numPr>
      </w:pPr>
      <w:r>
        <w:t xml:space="preserve">UTS 155 MPa </w:t>
      </w:r>
      <w:r>
        <w:sym w:font="Wingdings" w:char="F0E0"/>
      </w:r>
      <w:r>
        <w:t xml:space="preserve"> 180 MPa</w:t>
      </w:r>
    </w:p>
    <w:p w:rsidR="00E90A40" w:rsidRDefault="00E90A40" w:rsidP="00E90A40">
      <w:pPr>
        <w:pStyle w:val="ListParagraph"/>
        <w:numPr>
          <w:ilvl w:val="0"/>
          <w:numId w:val="2"/>
        </w:numPr>
      </w:pPr>
      <w:r>
        <w:t xml:space="preserve">Hardness 100 HB </w:t>
      </w:r>
      <w:r>
        <w:sym w:font="Wingdings" w:char="F0E0"/>
      </w:r>
      <w:r>
        <w:t xml:space="preserve"> 115 HB</w:t>
      </w:r>
    </w:p>
    <w:p w:rsidR="00E90A40" w:rsidRDefault="00E90A40" w:rsidP="00E90A40">
      <w:pPr>
        <w:pStyle w:val="ListParagraph"/>
        <w:numPr>
          <w:ilvl w:val="0"/>
          <w:numId w:val="2"/>
        </w:numPr>
      </w:pPr>
      <w:r>
        <w:t xml:space="preserve">Elongation 2.5% </w:t>
      </w:r>
      <w:r>
        <w:sym w:font="Wingdings" w:char="F0E0"/>
      </w:r>
      <w:r>
        <w:t xml:space="preserve"> 2.2% (2% for squeeze cast)</w:t>
      </w:r>
    </w:p>
    <w:p w:rsidR="00E90A40" w:rsidRDefault="00E90A40" w:rsidP="00E90A40">
      <w:pPr>
        <w:pStyle w:val="ListParagraph"/>
        <w:numPr>
          <w:ilvl w:val="0"/>
          <w:numId w:val="2"/>
        </w:numPr>
      </w:pPr>
      <w:r>
        <w:t xml:space="preserve">T6 heat treatment: Si coarsening </w:t>
      </w:r>
      <w:r>
        <w:sym w:font="Wingdings" w:char="F0E0"/>
      </w:r>
      <w:r>
        <w:t xml:space="preserve"> fragmentation </w:t>
      </w:r>
      <w:r>
        <w:sym w:font="Wingdings" w:char="F0E0"/>
      </w:r>
      <w:r>
        <w:t xml:space="preserve"> </w:t>
      </w:r>
      <w:proofErr w:type="spellStart"/>
      <w:r>
        <w:t>spheroidisation</w:t>
      </w:r>
      <w:proofErr w:type="spellEnd"/>
      <w:r>
        <w:t xml:space="preserve"> </w:t>
      </w:r>
    </w:p>
    <w:p w:rsidR="00E90A40" w:rsidRDefault="000437F1" w:rsidP="000437F1">
      <w:pPr>
        <w:pStyle w:val="Heading1"/>
      </w:pPr>
      <w:r>
        <w:t>The Influence of Intensification Pressure on the Gate Microstructure of AlSi3MgMn High Pressure Die Castings</w:t>
      </w:r>
    </w:p>
    <w:p w:rsidR="000437F1" w:rsidRDefault="000437F1" w:rsidP="000437F1">
      <w:proofErr w:type="spellStart"/>
      <w:r>
        <w:t>Otarawanna</w:t>
      </w:r>
      <w:proofErr w:type="spellEnd"/>
      <w:r>
        <w:t xml:space="preserve"> et al.</w:t>
      </w:r>
    </w:p>
    <w:p w:rsidR="000437F1" w:rsidRDefault="000437F1" w:rsidP="000437F1">
      <w:pPr>
        <w:pStyle w:val="ListParagraph"/>
        <w:numPr>
          <w:ilvl w:val="0"/>
          <w:numId w:val="3"/>
        </w:numPr>
      </w:pPr>
      <w:r>
        <w:t>2 values of intensification pressure: 13 MPa and 61 MPa</w:t>
      </w:r>
    </w:p>
    <w:p w:rsidR="00F11ABE" w:rsidRDefault="00F11ABE" w:rsidP="00F11ABE">
      <w:pPr>
        <w:pStyle w:val="ListParagraph"/>
        <w:numPr>
          <w:ilvl w:val="0"/>
          <w:numId w:val="3"/>
        </w:numPr>
      </w:pPr>
      <w:r>
        <w:t>Higher pressure caused shear banding in the gate.</w:t>
      </w:r>
    </w:p>
    <w:p w:rsidR="00F11ABE" w:rsidRDefault="00F11ABE" w:rsidP="00F11ABE">
      <w:pPr>
        <w:pStyle w:val="ListParagraph"/>
        <w:numPr>
          <w:ilvl w:val="0"/>
          <w:numId w:val="3"/>
        </w:numPr>
      </w:pPr>
      <w:r>
        <w:t xml:space="preserve">Higher pressure </w:t>
      </w:r>
      <w:r>
        <w:sym w:font="Wingdings" w:char="F0E0"/>
      </w:r>
      <w:r>
        <w:t xml:space="preserve"> lower porosity</w:t>
      </w:r>
    </w:p>
    <w:p w:rsidR="00F11ABE" w:rsidRPr="000437F1" w:rsidRDefault="00F11ABE" w:rsidP="000437F1">
      <w:pPr>
        <w:pStyle w:val="ListParagraph"/>
        <w:numPr>
          <w:ilvl w:val="0"/>
          <w:numId w:val="3"/>
        </w:numPr>
      </w:pPr>
      <w:r>
        <w:t xml:space="preserve">Shear banding causes cracks and severe </w:t>
      </w:r>
      <w:proofErr w:type="spellStart"/>
      <w:r>
        <w:t>macrosegregations</w:t>
      </w:r>
      <w:proofErr w:type="spellEnd"/>
    </w:p>
    <w:p w:rsidR="00AC464E" w:rsidRDefault="00AC464E" w:rsidP="00AC464E"/>
    <w:p w:rsidR="00F73224" w:rsidRDefault="00F73224" w:rsidP="00F73224">
      <w:pPr>
        <w:pStyle w:val="Heading1"/>
      </w:pPr>
      <w:r>
        <w:lastRenderedPageBreak/>
        <w:t xml:space="preserve">Casting Characteristics of </w:t>
      </w:r>
      <w:proofErr w:type="spellStart"/>
      <w:r>
        <w:t>Aluminum</w:t>
      </w:r>
      <w:proofErr w:type="spellEnd"/>
      <w:r>
        <w:t xml:space="preserve"> Die Casting Alloys</w:t>
      </w:r>
    </w:p>
    <w:p w:rsidR="00F73224" w:rsidRDefault="00F73224" w:rsidP="00F73224">
      <w:proofErr w:type="spellStart"/>
      <w:r>
        <w:t>Makhlouf</w:t>
      </w:r>
      <w:proofErr w:type="spellEnd"/>
      <w:r>
        <w:t xml:space="preserve"> M. </w:t>
      </w:r>
      <w:proofErr w:type="spellStart"/>
      <w:r>
        <w:t>Makhlouf</w:t>
      </w:r>
      <w:proofErr w:type="spellEnd"/>
      <w:r>
        <w:t xml:space="preserve">, </w:t>
      </w:r>
      <w:proofErr w:type="spellStart"/>
      <w:r>
        <w:t>Diran</w:t>
      </w:r>
      <w:proofErr w:type="spellEnd"/>
      <w:r>
        <w:t xml:space="preserve"> </w:t>
      </w:r>
      <w:proofErr w:type="spellStart"/>
      <w:r>
        <w:t>Apelian</w:t>
      </w:r>
      <w:proofErr w:type="spellEnd"/>
      <w:r>
        <w:t>, 2002</w:t>
      </w:r>
    </w:p>
    <w:p w:rsidR="00F73224" w:rsidRPr="00F73224" w:rsidRDefault="00F73224" w:rsidP="00F73224">
      <w:pPr>
        <w:pStyle w:val="ListParagraph"/>
        <w:numPr>
          <w:ilvl w:val="0"/>
          <w:numId w:val="3"/>
        </w:numPr>
      </w:pPr>
      <w:r>
        <w:t xml:space="preserve">The sludge factor (SF) is most important in determining the sludge formation tendency of the alloy. </w:t>
      </w:r>
      <m:oMath>
        <m:r>
          <w:rPr>
            <w:rFonts w:ascii="Cambria Math" w:hAnsi="Cambria Math"/>
          </w:rPr>
          <m:t>SF=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x wt% Fe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x wt% Mn</m:t>
            </m:r>
          </m:e>
        </m:d>
        <m:r>
          <w:rPr>
            <w:rFonts w:ascii="Cambria Math" w:hAnsi="Cambria Math"/>
          </w:rPr>
          <m:t>+(3 x wt% Cr)</m:t>
        </m:r>
      </m:oMath>
    </w:p>
    <w:p w:rsidR="00F73224" w:rsidRPr="00F73224" w:rsidRDefault="00F73224" w:rsidP="00F73224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Slower cooling </w:t>
      </w:r>
      <w:proofErr w:type="spellStart"/>
      <w:r>
        <w:rPr>
          <w:rFonts w:eastAsiaTheme="minorEastAsia"/>
        </w:rPr>
        <w:t>favors</w:t>
      </w:r>
      <w:proofErr w:type="spellEnd"/>
      <w:r>
        <w:rPr>
          <w:rFonts w:eastAsiaTheme="minorEastAsia"/>
        </w:rPr>
        <w:t xml:space="preserve"> the formation of sludge.</w:t>
      </w:r>
    </w:p>
    <w:p w:rsidR="00F73224" w:rsidRPr="00F73224" w:rsidRDefault="00F73224" w:rsidP="00F73224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Sludge does not form during holding at 670 °C or 720 °C</w:t>
      </w:r>
    </w:p>
    <w:p w:rsidR="00F73224" w:rsidRDefault="00CC1356" w:rsidP="00F73224">
      <w:pPr>
        <w:pStyle w:val="ListParagraph"/>
        <w:numPr>
          <w:ilvl w:val="0"/>
          <w:numId w:val="3"/>
        </w:numPr>
      </w:pPr>
      <w:r>
        <w:t>In fast cooling, no needle-like or Chinese script sludge was formed, only block-like</w:t>
      </w:r>
    </w:p>
    <w:p w:rsidR="00CC1356" w:rsidRDefault="00CC1356" w:rsidP="00CC1356"/>
    <w:p w:rsidR="00CC1356" w:rsidRDefault="000578B1" w:rsidP="000578B1">
      <w:pPr>
        <w:pStyle w:val="Heading1"/>
      </w:pPr>
      <w:r>
        <w:t xml:space="preserve">Influence of </w:t>
      </w:r>
      <w:proofErr w:type="spellStart"/>
      <w:r>
        <w:t>Sr</w:t>
      </w:r>
      <w:proofErr w:type="spellEnd"/>
      <w:r>
        <w:t xml:space="preserve"> and </w:t>
      </w:r>
      <w:proofErr w:type="spellStart"/>
      <w:r>
        <w:t>Mn</w:t>
      </w:r>
      <w:proofErr w:type="spellEnd"/>
      <w:r>
        <w:t xml:space="preserve"> Additions on Intermetallic compound Morphologies in Al-Si-Cu-Fe Cast Alloys</w:t>
      </w:r>
    </w:p>
    <w:p w:rsidR="000578B1" w:rsidRDefault="000578B1" w:rsidP="000578B1">
      <w:proofErr w:type="spellStart"/>
      <w:r>
        <w:t>Peyman</w:t>
      </w:r>
      <w:proofErr w:type="spellEnd"/>
      <w:r>
        <w:t xml:space="preserve"> </w:t>
      </w:r>
      <w:proofErr w:type="spellStart"/>
      <w:r>
        <w:t>Ashtari</w:t>
      </w:r>
      <w:proofErr w:type="spellEnd"/>
      <w:r>
        <w:t xml:space="preserve">, Hiroyasu </w:t>
      </w:r>
      <w:proofErr w:type="spellStart"/>
      <w:r>
        <w:t>Tezuka</w:t>
      </w:r>
      <w:proofErr w:type="spellEnd"/>
      <w:r>
        <w:t xml:space="preserve"> and Tatsuo Sato 2003</w:t>
      </w:r>
    </w:p>
    <w:p w:rsidR="000578B1" w:rsidRDefault="00295226" w:rsidP="000578B1">
      <w:pPr>
        <w:pStyle w:val="ListParagraph"/>
        <w:numPr>
          <w:ilvl w:val="0"/>
          <w:numId w:val="3"/>
        </w:numPr>
      </w:pPr>
      <w:r>
        <w:t xml:space="preserve">In the absence of </w:t>
      </w:r>
      <w:proofErr w:type="spellStart"/>
      <w:r>
        <w:t>Mn</w:t>
      </w:r>
      <w:proofErr w:type="spellEnd"/>
      <w:r>
        <w:t>, no Chinese Script or sludge forms</w:t>
      </w:r>
    </w:p>
    <w:p w:rsidR="00295226" w:rsidRDefault="00295226" w:rsidP="00295226">
      <w:pPr>
        <w:pStyle w:val="ListParagraph"/>
        <w:numPr>
          <w:ilvl w:val="0"/>
          <w:numId w:val="3"/>
        </w:numPr>
      </w:pPr>
      <w:r>
        <w:t xml:space="preserve">In high cooling rate, </w:t>
      </w:r>
      <w:proofErr w:type="spellStart"/>
      <w:r>
        <w:t>Sr</w:t>
      </w:r>
      <w:proofErr w:type="spellEnd"/>
      <w:r>
        <w:t xml:space="preserve"> and </w:t>
      </w:r>
      <w:proofErr w:type="spellStart"/>
      <w:r>
        <w:t>Mn</w:t>
      </w:r>
      <w:proofErr w:type="spellEnd"/>
      <w:r>
        <w:t xml:space="preserve"> additions transform needle-like beta into Chinese script</w:t>
      </w:r>
    </w:p>
    <w:p w:rsidR="00295226" w:rsidRDefault="00295226" w:rsidP="00295226"/>
    <w:p w:rsidR="00295226" w:rsidRDefault="004F5323" w:rsidP="004F5323">
      <w:pPr>
        <w:pStyle w:val="Heading1"/>
      </w:pPr>
      <w:r>
        <w:t xml:space="preserve">Influence of modification, solidification conditions and heat treatment on the microstructure and mechanical properties of A356 </w:t>
      </w:r>
      <w:proofErr w:type="spellStart"/>
      <w:r>
        <w:t>aluminum</w:t>
      </w:r>
      <w:proofErr w:type="spellEnd"/>
      <w:r>
        <w:t xml:space="preserve"> alloy</w:t>
      </w:r>
    </w:p>
    <w:p w:rsidR="004F5323" w:rsidRDefault="004F5323" w:rsidP="004F5323">
      <w:proofErr w:type="spellStart"/>
      <w:r>
        <w:t>Shabestari</w:t>
      </w:r>
      <w:proofErr w:type="spellEnd"/>
      <w:r>
        <w:t xml:space="preserve">, F. </w:t>
      </w:r>
      <w:proofErr w:type="spellStart"/>
      <w:r>
        <w:t>Shahri</w:t>
      </w:r>
      <w:proofErr w:type="spellEnd"/>
      <w:r>
        <w:t xml:space="preserve"> 2004</w:t>
      </w:r>
    </w:p>
    <w:p w:rsidR="004F5323" w:rsidRDefault="004F5323" w:rsidP="004F5323">
      <w:pPr>
        <w:pStyle w:val="ListParagraph"/>
        <w:numPr>
          <w:ilvl w:val="0"/>
          <w:numId w:val="3"/>
        </w:numPr>
      </w:pPr>
      <w:r>
        <w:t>A356 alloy</w:t>
      </w:r>
    </w:p>
    <w:p w:rsidR="004F5323" w:rsidRDefault="004F5323" w:rsidP="004F5323">
      <w:pPr>
        <w:pStyle w:val="ListParagraph"/>
        <w:numPr>
          <w:ilvl w:val="0"/>
          <w:numId w:val="3"/>
        </w:numPr>
      </w:pPr>
      <w:r>
        <w:t xml:space="preserve">Greatest improvement of </w:t>
      </w:r>
      <w:proofErr w:type="spellStart"/>
      <w:r>
        <w:t>Sr</w:t>
      </w:r>
      <w:proofErr w:type="spellEnd"/>
      <w:r>
        <w:t xml:space="preserve"> observed with elongation at slow solidification rates</w:t>
      </w:r>
    </w:p>
    <w:p w:rsidR="004F5323" w:rsidRDefault="004F5323" w:rsidP="004F5323">
      <w:pPr>
        <w:pStyle w:val="ListParagraph"/>
        <w:numPr>
          <w:ilvl w:val="0"/>
          <w:numId w:val="3"/>
        </w:numPr>
      </w:pPr>
      <w:r>
        <w:t xml:space="preserve">At higher solidification rates, Sb is more effective than </w:t>
      </w:r>
      <w:proofErr w:type="spellStart"/>
      <w:r>
        <w:t>Sr</w:t>
      </w:r>
      <w:proofErr w:type="spellEnd"/>
    </w:p>
    <w:p w:rsidR="004F5323" w:rsidRDefault="004F5323" w:rsidP="004F5323">
      <w:pPr>
        <w:pStyle w:val="ListParagraph"/>
        <w:numPr>
          <w:ilvl w:val="0"/>
          <w:numId w:val="3"/>
        </w:numPr>
      </w:pPr>
      <w:r>
        <w:t>The best prediction of tensile properties is size and number of silicon particles per unit area.</w:t>
      </w:r>
    </w:p>
    <w:p w:rsidR="004F5323" w:rsidRDefault="004F5323" w:rsidP="004F5323"/>
    <w:p w:rsidR="004F5323" w:rsidRDefault="004F5323" w:rsidP="004F5323">
      <w:pPr>
        <w:pStyle w:val="Heading1"/>
      </w:pPr>
      <w:r>
        <w:t>Effect of copper and solidification conditions on the microstructure and mechanical properties of Al-Si-Mg alloys</w:t>
      </w:r>
    </w:p>
    <w:p w:rsidR="008B7EC6" w:rsidRDefault="008B7EC6" w:rsidP="008B7EC6">
      <w:proofErr w:type="spellStart"/>
      <w:r>
        <w:t>Shabestari</w:t>
      </w:r>
      <w:proofErr w:type="spellEnd"/>
      <w:r>
        <w:t xml:space="preserve">, H. </w:t>
      </w:r>
      <w:proofErr w:type="spellStart"/>
      <w:r>
        <w:t>Moemeni</w:t>
      </w:r>
      <w:proofErr w:type="spellEnd"/>
      <w:r>
        <w:t xml:space="preserve"> 2004</w:t>
      </w:r>
    </w:p>
    <w:p w:rsidR="008B7EC6" w:rsidRDefault="008B7EC6" w:rsidP="008B7EC6">
      <w:pPr>
        <w:pStyle w:val="ListParagraph"/>
        <w:numPr>
          <w:ilvl w:val="0"/>
          <w:numId w:val="3"/>
        </w:numPr>
      </w:pPr>
      <w:r>
        <w:t>A356 alloy</w:t>
      </w:r>
    </w:p>
    <w:p w:rsidR="008B7EC6" w:rsidRDefault="008B7EC6" w:rsidP="008B7EC6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E2E2E"/>
          <w:shd w:val="clear" w:color="auto" w:fill="FFFFFF"/>
        </w:rPr>
        <w:t>The secondary dendrite arm spacing depends on chemical composition of the alloy, cooling rate, local solidification time and temperature gradient</w:t>
      </w:r>
      <w:r>
        <w:rPr>
          <w:rStyle w:val="apple-converted-space"/>
          <w:rFonts w:ascii="Arial" w:hAnsi="Arial" w:cs="Arial"/>
          <w:color w:val="2E2E2E"/>
          <w:shd w:val="clear" w:color="auto" w:fill="FFFFFF"/>
        </w:rPr>
        <w:t> </w:t>
      </w:r>
      <w:hyperlink r:id="rId7" w:anchor="BIB1" w:history="1">
        <w:r>
          <w:rPr>
            <w:rStyle w:val="Hyperlink"/>
            <w:rFonts w:ascii="Arial" w:hAnsi="Arial" w:cs="Arial"/>
            <w:color w:val="316C9D"/>
            <w:bdr w:val="none" w:sz="0" w:space="0" w:color="auto" w:frame="1"/>
            <w:shd w:val="clear" w:color="auto" w:fill="FFFFFF"/>
          </w:rPr>
          <w:t>[1]</w:t>
        </w:r>
      </w:hyperlink>
      <w:r>
        <w:rPr>
          <w:rFonts w:ascii="Arial" w:hAnsi="Arial" w:cs="Arial"/>
          <w:color w:val="2E2E2E"/>
          <w:shd w:val="clear" w:color="auto" w:fill="FFFFFF"/>
        </w:rPr>
        <w:t> and </w:t>
      </w:r>
      <w:hyperlink r:id="rId8" w:anchor="BIB9" w:history="1">
        <w:r>
          <w:rPr>
            <w:rStyle w:val="Hyperlink"/>
            <w:rFonts w:ascii="Arial" w:hAnsi="Arial" w:cs="Arial"/>
            <w:color w:val="316C9D"/>
            <w:bdr w:val="none" w:sz="0" w:space="0" w:color="auto" w:frame="1"/>
            <w:shd w:val="clear" w:color="auto" w:fill="FFFFFF"/>
          </w:rPr>
          <w:t>[9]</w:t>
        </w:r>
      </w:hyperlink>
    </w:p>
    <w:p w:rsidR="008B7EC6" w:rsidRPr="008B7EC6" w:rsidRDefault="008B7EC6" w:rsidP="008B7EC6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E2E2E"/>
          <w:shd w:val="clear" w:color="auto" w:fill="FFFFFF"/>
        </w:rPr>
        <w:t>The tensile properties most affected by variations in DAS are ultimate tensile strength (UTS) and percent of elongation</w:t>
      </w:r>
      <w:r>
        <w:rPr>
          <w:rStyle w:val="apple-converted-space"/>
          <w:rFonts w:ascii="Arial" w:hAnsi="Arial" w:cs="Arial"/>
          <w:color w:val="2E2E2E"/>
          <w:shd w:val="clear" w:color="auto" w:fill="FFFFFF"/>
        </w:rPr>
        <w:t> </w:t>
      </w:r>
      <w:hyperlink r:id="rId9" w:anchor="BIB1" w:history="1">
        <w:r>
          <w:rPr>
            <w:rStyle w:val="Hyperlink"/>
            <w:rFonts w:ascii="Arial" w:hAnsi="Arial" w:cs="Arial"/>
            <w:color w:val="316C9D"/>
            <w:bdr w:val="none" w:sz="0" w:space="0" w:color="auto" w:frame="1"/>
            <w:shd w:val="clear" w:color="auto" w:fill="FFFFFF"/>
          </w:rPr>
          <w:t>[1]</w:t>
        </w:r>
      </w:hyperlink>
      <w:r>
        <w:rPr>
          <w:rFonts w:ascii="Arial" w:hAnsi="Arial" w:cs="Arial"/>
          <w:color w:val="2E2E2E"/>
          <w:shd w:val="clear" w:color="auto" w:fill="FFFFFF"/>
        </w:rPr>
        <w:t> and </w:t>
      </w:r>
      <w:hyperlink r:id="rId10" w:anchor="BIB10" w:history="1">
        <w:r>
          <w:rPr>
            <w:rStyle w:val="Hyperlink"/>
            <w:rFonts w:ascii="Arial" w:hAnsi="Arial" w:cs="Arial"/>
            <w:color w:val="316C9D"/>
            <w:bdr w:val="none" w:sz="0" w:space="0" w:color="auto" w:frame="1"/>
            <w:shd w:val="clear" w:color="auto" w:fill="FFFFFF"/>
          </w:rPr>
          <w:t>[10]</w:t>
        </w:r>
      </w:hyperlink>
      <w:r>
        <w:rPr>
          <w:rFonts w:ascii="Arial" w:hAnsi="Arial" w:cs="Arial"/>
          <w:color w:val="2E2E2E"/>
          <w:shd w:val="clear" w:color="auto" w:fill="FFFFFF"/>
        </w:rPr>
        <w:t>.</w:t>
      </w:r>
    </w:p>
    <w:p w:rsidR="008B7EC6" w:rsidRPr="008B7EC6" w:rsidRDefault="008B7EC6" w:rsidP="008B7EC6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E2E2E"/>
          <w:shd w:val="clear" w:color="auto" w:fill="FFFFFF"/>
        </w:rPr>
        <w:t>Ultimate tensile strength and percent of elongation increases simultaneously by increasing cooling rate of the alloy.</w:t>
      </w:r>
    </w:p>
    <w:p w:rsidR="008B7EC6" w:rsidRDefault="008B7EC6" w:rsidP="00D67261">
      <w:pPr>
        <w:pStyle w:val="Heading1"/>
      </w:pPr>
    </w:p>
    <w:p w:rsidR="00D67261" w:rsidRDefault="00D67261" w:rsidP="00D67261">
      <w:pPr>
        <w:pStyle w:val="Heading1"/>
      </w:pPr>
      <w:r>
        <w:t>The relationship between Dendrite Arm Spacing and Cooling Rate of Al-Si casting alloys in high pressure die casting</w:t>
      </w:r>
    </w:p>
    <w:p w:rsidR="00D67261" w:rsidRDefault="00D67261" w:rsidP="00D67261">
      <w:r>
        <w:t>Jae-</w:t>
      </w:r>
      <w:proofErr w:type="spellStart"/>
      <w:r>
        <w:t>ik</w:t>
      </w:r>
      <w:proofErr w:type="spellEnd"/>
      <w:r>
        <w:t xml:space="preserve"> Cho, et al. 2012</w:t>
      </w:r>
    </w:p>
    <w:p w:rsidR="00D67261" w:rsidRDefault="00D67261" w:rsidP="00D67261">
      <w:pPr>
        <w:pStyle w:val="ListParagraph"/>
        <w:numPr>
          <w:ilvl w:val="0"/>
          <w:numId w:val="3"/>
        </w:numPr>
      </w:pPr>
      <w:r>
        <w:t>Increment of cooling rate up to 110 °C/sec affected the eutectic and solidus temperature of both alloys. Therefore, solidification temperature range was greatly decreased, as much as 23 °C</w:t>
      </w:r>
    </w:p>
    <w:p w:rsidR="00E66728" w:rsidRDefault="00E66728" w:rsidP="00D67261">
      <w:pPr>
        <w:pStyle w:val="ListParagraph"/>
        <w:numPr>
          <w:ilvl w:val="0"/>
          <w:numId w:val="3"/>
        </w:numPr>
      </w:pPr>
      <w:r>
        <w:t>Strong proportional relationship between SDAS and cooling rate in HPDC process.</w:t>
      </w:r>
    </w:p>
    <w:p w:rsidR="00E66728" w:rsidRDefault="00E66728" w:rsidP="00D67261">
      <w:pPr>
        <w:pStyle w:val="ListParagraph"/>
        <w:numPr>
          <w:ilvl w:val="0"/>
          <w:numId w:val="3"/>
        </w:numPr>
      </w:pPr>
      <w:r>
        <w:t>Approximate cooling rate of the die-casting can be successfully estimated</w:t>
      </w:r>
    </w:p>
    <w:p w:rsidR="00E66728" w:rsidRPr="00D67261" w:rsidRDefault="00E66728" w:rsidP="00E66728">
      <w:pPr>
        <w:pStyle w:val="ListParagraph"/>
        <w:numPr>
          <w:ilvl w:val="0"/>
          <w:numId w:val="3"/>
        </w:numPr>
      </w:pPr>
      <w:r>
        <w:rPr>
          <w:noProof/>
          <w:lang w:eastAsia="en-ZW"/>
        </w:rPr>
        <w:drawing>
          <wp:inline distT="0" distB="0" distL="0" distR="0">
            <wp:extent cx="572452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23" w:rsidRDefault="004F5323" w:rsidP="00616E18">
      <w:pPr>
        <w:pStyle w:val="Heading1"/>
      </w:pPr>
    </w:p>
    <w:p w:rsidR="00616E18" w:rsidRDefault="00616E18" w:rsidP="00616E18">
      <w:pPr>
        <w:pStyle w:val="Heading1"/>
      </w:pPr>
      <w:r w:rsidRPr="00616E18">
        <w:t>Role of modification and melt thermal treatment processes on the microstructure and tensile properties of Al–Si alloys</w:t>
      </w:r>
    </w:p>
    <w:p w:rsidR="00FF6A0F" w:rsidRDefault="00FF6A0F" w:rsidP="00616E18">
      <w:r>
        <w:t>A.M. Samuel et al. 2015</w:t>
      </w:r>
    </w:p>
    <w:p w:rsidR="00FF6A0F" w:rsidRDefault="00FF6A0F" w:rsidP="00FF6A0F">
      <w:pPr>
        <w:ind w:firstLine="360"/>
      </w:pPr>
      <w:r>
        <w:t>-</w:t>
      </w:r>
      <w:r>
        <w:tab/>
        <w:t>A356</w:t>
      </w:r>
    </w:p>
    <w:p w:rsidR="00616E18" w:rsidRPr="00675C09" w:rsidRDefault="00616E18" w:rsidP="00616E18">
      <w:pPr>
        <w:pStyle w:val="ListParagraph"/>
        <w:numPr>
          <w:ilvl w:val="0"/>
          <w:numId w:val="3"/>
        </w:numPr>
      </w:pPr>
      <w:r w:rsidRPr="00616E18">
        <w:rPr>
          <w:rFonts w:ascii="Arial" w:hAnsi="Arial" w:cs="Arial"/>
          <w:color w:val="2E2E2E"/>
          <w:shd w:val="clear" w:color="auto" w:fill="FFFFFF"/>
        </w:rPr>
        <w:t>According to Hafiz and Kobayashi</w:t>
      </w:r>
      <w:r w:rsidRPr="00616E18">
        <w:rPr>
          <w:rStyle w:val="apple-converted-space"/>
          <w:rFonts w:ascii="Arial" w:hAnsi="Arial" w:cs="Arial"/>
          <w:color w:val="2E2E2E"/>
          <w:shd w:val="clear" w:color="auto" w:fill="FFFFFF"/>
        </w:rPr>
        <w:t> </w:t>
      </w:r>
      <w:hyperlink r:id="rId12" w:anchor="b0055" w:history="1">
        <w:r w:rsidRPr="00616E18">
          <w:rPr>
            <w:rStyle w:val="Hyperlink"/>
            <w:rFonts w:ascii="Arial" w:hAnsi="Arial" w:cs="Arial"/>
            <w:color w:val="316C9D"/>
            <w:bdr w:val="none" w:sz="0" w:space="0" w:color="auto" w:frame="1"/>
            <w:shd w:val="clear" w:color="auto" w:fill="FFFFFF"/>
          </w:rPr>
          <w:t>[11]</w:t>
        </w:r>
      </w:hyperlink>
      <w:r w:rsidRPr="00616E18">
        <w:rPr>
          <w:rFonts w:ascii="Arial" w:hAnsi="Arial" w:cs="Arial"/>
          <w:color w:val="2E2E2E"/>
          <w:shd w:val="clear" w:color="auto" w:fill="FFFFFF"/>
        </w:rPr>
        <w:t xml:space="preserve">, </w:t>
      </w:r>
      <w:proofErr w:type="spellStart"/>
      <w:r w:rsidRPr="00616E18">
        <w:rPr>
          <w:rFonts w:ascii="Arial" w:hAnsi="Arial" w:cs="Arial"/>
          <w:color w:val="2E2E2E"/>
          <w:shd w:val="clear" w:color="auto" w:fill="FFFFFF"/>
        </w:rPr>
        <w:t>Sr</w:t>
      </w:r>
      <w:proofErr w:type="spellEnd"/>
      <w:r w:rsidRPr="00616E18">
        <w:rPr>
          <w:rFonts w:ascii="Arial" w:hAnsi="Arial" w:cs="Arial"/>
          <w:color w:val="2E2E2E"/>
          <w:shd w:val="clear" w:color="auto" w:fill="FFFFFF"/>
        </w:rPr>
        <w:t xml:space="preserve"> modification has little effect on the yield strength of the A356 alloy, but can moderately improve the tensile strength. The main impact of </w:t>
      </w:r>
      <w:proofErr w:type="spellStart"/>
      <w:r w:rsidRPr="00616E18">
        <w:rPr>
          <w:rFonts w:ascii="Arial" w:hAnsi="Arial" w:cs="Arial"/>
          <w:color w:val="2E2E2E"/>
          <w:shd w:val="clear" w:color="auto" w:fill="FFFFFF"/>
        </w:rPr>
        <w:t>Sr</w:t>
      </w:r>
      <w:proofErr w:type="spellEnd"/>
      <w:r w:rsidRPr="00616E18">
        <w:rPr>
          <w:rFonts w:ascii="Arial" w:hAnsi="Arial" w:cs="Arial"/>
          <w:color w:val="2E2E2E"/>
          <w:shd w:val="clear" w:color="auto" w:fill="FFFFFF"/>
        </w:rPr>
        <w:t xml:space="preserve"> modification is on the ductility, where additions of 240 ppm </w:t>
      </w:r>
      <w:proofErr w:type="spellStart"/>
      <w:r w:rsidRPr="00616E18">
        <w:rPr>
          <w:rFonts w:ascii="Arial" w:hAnsi="Arial" w:cs="Arial"/>
          <w:color w:val="2E2E2E"/>
          <w:shd w:val="clear" w:color="auto" w:fill="FFFFFF"/>
        </w:rPr>
        <w:t>Sr</w:t>
      </w:r>
      <w:proofErr w:type="spellEnd"/>
      <w:r w:rsidRPr="00616E18">
        <w:rPr>
          <w:rFonts w:ascii="Arial" w:hAnsi="Arial" w:cs="Arial"/>
          <w:color w:val="2E2E2E"/>
          <w:shd w:val="clear" w:color="auto" w:fill="FFFFFF"/>
        </w:rPr>
        <w:t xml:space="preserve"> to the A356 alloy melt can increase the elongation from 8.03% to 22.2%</w:t>
      </w:r>
      <w:r w:rsidRPr="00616E18">
        <w:rPr>
          <w:rStyle w:val="apple-converted-space"/>
          <w:rFonts w:ascii="Arial" w:hAnsi="Arial" w:cs="Arial"/>
          <w:color w:val="2E2E2E"/>
          <w:shd w:val="clear" w:color="auto" w:fill="FFFFFF"/>
        </w:rPr>
        <w:t> </w:t>
      </w:r>
      <w:hyperlink r:id="rId13" w:anchor="b0060" w:history="1">
        <w:r w:rsidRPr="00616E18">
          <w:rPr>
            <w:rStyle w:val="Hyperlink"/>
            <w:rFonts w:ascii="Arial" w:hAnsi="Arial" w:cs="Arial"/>
            <w:color w:val="316C9D"/>
            <w:bdr w:val="none" w:sz="0" w:space="0" w:color="auto" w:frame="1"/>
            <w:shd w:val="clear" w:color="auto" w:fill="FFFFFF"/>
          </w:rPr>
          <w:t>[12]</w:t>
        </w:r>
      </w:hyperlink>
    </w:p>
    <w:p w:rsidR="00675C09" w:rsidRPr="00616E18" w:rsidRDefault="00675C09" w:rsidP="00675C09">
      <w:pPr>
        <w:pStyle w:val="ListParagraph"/>
      </w:pPr>
    </w:p>
    <w:p w:rsidR="00675C09" w:rsidRPr="00675C09" w:rsidRDefault="00616E18" w:rsidP="00675C09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E2E2E"/>
          <w:shd w:val="clear" w:color="auto" w:fill="FFFFFF"/>
        </w:rPr>
        <w:t xml:space="preserve">The results of </w:t>
      </w:r>
      <w:proofErr w:type="spellStart"/>
      <w:r>
        <w:rPr>
          <w:rFonts w:ascii="Arial" w:hAnsi="Arial" w:cs="Arial"/>
          <w:color w:val="2E2E2E"/>
          <w:shd w:val="clear" w:color="auto" w:fill="FFFFFF"/>
        </w:rPr>
        <w:t>Jie</w:t>
      </w:r>
      <w:proofErr w:type="spellEnd"/>
      <w:r>
        <w:rPr>
          <w:rFonts w:ascii="Arial" w:hAnsi="Arial" w:cs="Arial"/>
          <w:color w:val="2E2E2E"/>
          <w:shd w:val="clear" w:color="auto" w:fill="FFFFFF"/>
        </w:rPr>
        <w:t xml:space="preserve"> et al.</w:t>
      </w:r>
      <w:hyperlink r:id="rId14" w:anchor="b0060" w:history="1">
        <w:r>
          <w:rPr>
            <w:rStyle w:val="Hyperlink"/>
            <w:rFonts w:ascii="Arial" w:hAnsi="Arial" w:cs="Arial"/>
            <w:color w:val="316C9D"/>
            <w:bdr w:val="none" w:sz="0" w:space="0" w:color="auto" w:frame="1"/>
            <w:shd w:val="clear" w:color="auto" w:fill="FFFFFF"/>
          </w:rPr>
          <w:t>[12]</w:t>
        </w:r>
      </w:hyperlink>
      <w:r>
        <w:rPr>
          <w:rStyle w:val="apple-converted-space"/>
          <w:rFonts w:ascii="Arial" w:hAnsi="Arial" w:cs="Arial"/>
          <w:color w:val="2E2E2E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E2E2E"/>
          <w:shd w:val="clear" w:color="auto" w:fill="FFFFFF"/>
        </w:rPr>
        <w:t>show</w:t>
      </w:r>
      <w:proofErr w:type="gramEnd"/>
      <w:r>
        <w:rPr>
          <w:rFonts w:ascii="Arial" w:hAnsi="Arial" w:cs="Arial"/>
          <w:color w:val="2E2E2E"/>
          <w:shd w:val="clear" w:color="auto" w:fill="FFFFFF"/>
        </w:rPr>
        <w:t xml:space="preserve"> that superheating an A356 alloy melt to 810 °C can improve the tensile properties, especially the ductility (from 5.0% to 8.5%). The work of Wang et al.</w:t>
      </w:r>
      <w:r>
        <w:rPr>
          <w:rStyle w:val="apple-converted-space"/>
          <w:rFonts w:ascii="Arial" w:hAnsi="Arial" w:cs="Arial"/>
          <w:color w:val="2E2E2E"/>
          <w:shd w:val="clear" w:color="auto" w:fill="FFFFFF"/>
        </w:rPr>
        <w:t> </w:t>
      </w:r>
      <w:hyperlink r:id="rId15" w:anchor="b0065" w:history="1">
        <w:r>
          <w:rPr>
            <w:rStyle w:val="Hyperlink"/>
            <w:rFonts w:ascii="Arial" w:hAnsi="Arial" w:cs="Arial"/>
            <w:color w:val="316C9D"/>
            <w:bdr w:val="none" w:sz="0" w:space="0" w:color="auto" w:frame="1"/>
            <w:shd w:val="clear" w:color="auto" w:fill="FFFFFF"/>
          </w:rPr>
          <w:t>[13</w:t>
        </w:r>
        <w:proofErr w:type="gramStart"/>
        <w:r>
          <w:rPr>
            <w:rStyle w:val="Hyperlink"/>
            <w:rFonts w:ascii="Arial" w:hAnsi="Arial" w:cs="Arial"/>
            <w:color w:val="316C9D"/>
            <w:bdr w:val="none" w:sz="0" w:space="0" w:color="auto" w:frame="1"/>
            <w:shd w:val="clear" w:color="auto" w:fill="FFFFFF"/>
          </w:rPr>
          <w:t>]</w:t>
        </w:r>
        <w:proofErr w:type="gramEnd"/>
      </w:hyperlink>
      <w:r>
        <w:rPr>
          <w:rFonts w:ascii="Arial" w:hAnsi="Arial" w:cs="Arial"/>
          <w:color w:val="2E2E2E"/>
          <w:shd w:val="clear" w:color="auto" w:fill="FFFFFF"/>
        </w:rPr>
        <w:t>shows that the MTT process can greatly improve the elongation, by almost 112%.</w:t>
      </w:r>
    </w:p>
    <w:p w:rsidR="00675C09" w:rsidRDefault="00675C09" w:rsidP="00675C09">
      <w:pPr>
        <w:pStyle w:val="ListParagraph"/>
      </w:pPr>
    </w:p>
    <w:p w:rsidR="00675C09" w:rsidRPr="00616E18" w:rsidRDefault="00675C09" w:rsidP="00675C09">
      <w:pPr>
        <w:pStyle w:val="ListParagraph"/>
      </w:pPr>
      <w:r>
        <w:rPr>
          <w:noProof/>
          <w:lang w:eastAsia="en-ZW"/>
        </w:rPr>
        <w:lastRenderedPageBreak/>
        <w:drawing>
          <wp:inline distT="0" distB="0" distL="0" distR="0">
            <wp:extent cx="3404641" cy="2257425"/>
            <wp:effectExtent l="0" t="0" r="5715" b="0"/>
            <wp:docPr id="1" name="Picture 1" descr="Variation in the tensile properties as a function of dendrite arm spacing (DAS)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tion in the tensile properties as a function of dendrite arm spacing (DAS) 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25" cy="226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28" w:rsidRDefault="00E66728" w:rsidP="00E66728">
      <w:pPr>
        <w:pStyle w:val="Heading1"/>
      </w:pPr>
    </w:p>
    <w:p w:rsidR="004F5323" w:rsidRDefault="004F5323" w:rsidP="004F5323"/>
    <w:p w:rsidR="004F5323" w:rsidRDefault="00675C09" w:rsidP="004F5323">
      <w:r>
        <w:t xml:space="preserve">Conclusions: </w:t>
      </w:r>
    </w:p>
    <w:p w:rsidR="00FF6A0F" w:rsidRPr="00FF6A0F" w:rsidRDefault="00675C09" w:rsidP="00FF6A0F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E2E2E"/>
          <w:shd w:val="clear" w:color="auto" w:fill="FFFFFF"/>
        </w:rPr>
        <w:t>Cooling rate and modification level seem to have no significant influence on the alloy yield strength in the as cast condition regardless the type of melt treatment used.</w:t>
      </w:r>
    </w:p>
    <w:p w:rsidR="00FF6A0F" w:rsidRPr="00FF6A0F" w:rsidRDefault="00FF6A0F" w:rsidP="00FF6A0F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E2E2E"/>
          <w:shd w:val="clear" w:color="auto" w:fill="FFFFFF"/>
        </w:rPr>
        <w:t xml:space="preserve">Aging (solution heat treatment) for 8h and Mg2Si particles have positive effect on mechanical properties </w:t>
      </w:r>
    </w:p>
    <w:p w:rsidR="00FF6A0F" w:rsidRDefault="00FF6A0F" w:rsidP="00FF6A0F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color w:val="2E2E2E"/>
          <w:shd w:val="clear" w:color="auto" w:fill="FFFFFF"/>
        </w:rPr>
        <w:t>Sr</w:t>
      </w:r>
      <w:proofErr w:type="spellEnd"/>
      <w:r w:rsidR="007202C8">
        <w:rPr>
          <w:rFonts w:ascii="Arial" w:hAnsi="Arial" w:cs="Arial"/>
          <w:color w:val="2E2E2E"/>
          <w:shd w:val="clear" w:color="auto" w:fill="FFFFFF"/>
        </w:rPr>
        <w:t xml:space="preserve"> effect on tensile strength</w:t>
      </w:r>
      <w:r>
        <w:rPr>
          <w:rFonts w:ascii="Arial" w:hAnsi="Arial" w:cs="Arial"/>
          <w:color w:val="2E2E2E"/>
          <w:shd w:val="clear" w:color="auto" w:fill="FFFFFF"/>
        </w:rPr>
        <w:t xml:space="preserve"> is positive, but not related to Si </w:t>
      </w:r>
      <w:proofErr w:type="gramStart"/>
      <w:r>
        <w:rPr>
          <w:rFonts w:ascii="Arial" w:hAnsi="Arial" w:cs="Arial"/>
          <w:color w:val="2E2E2E"/>
          <w:shd w:val="clear" w:color="auto" w:fill="FFFFFF"/>
        </w:rPr>
        <w:t>morphology !?</w:t>
      </w:r>
      <w:proofErr w:type="gramEnd"/>
    </w:p>
    <w:p w:rsidR="00675C09" w:rsidRDefault="00675C09" w:rsidP="00675C09"/>
    <w:p w:rsidR="0073067F" w:rsidRDefault="0073067F" w:rsidP="0073067F">
      <w:pPr>
        <w:pStyle w:val="Heading1"/>
      </w:pPr>
      <w:r w:rsidRPr="0073067F">
        <w:t xml:space="preserve">Effect of strontium on the kinetics of formation and segregation of intermetallic compounds in A380 </w:t>
      </w:r>
      <w:proofErr w:type="spellStart"/>
      <w:r w:rsidRPr="0073067F">
        <w:t>aluminum</w:t>
      </w:r>
      <w:proofErr w:type="spellEnd"/>
      <w:r w:rsidRPr="0073067F">
        <w:t xml:space="preserve"> alloy</w:t>
      </w:r>
    </w:p>
    <w:p w:rsidR="00483CAE" w:rsidRDefault="00483CAE" w:rsidP="00483CAE">
      <w:r>
        <w:t xml:space="preserve">S. G. </w:t>
      </w:r>
      <w:proofErr w:type="spellStart"/>
      <w:r>
        <w:t>Shabestari</w:t>
      </w:r>
      <w:proofErr w:type="spellEnd"/>
      <w:r>
        <w:t xml:space="preserve"> et al.</w:t>
      </w:r>
    </w:p>
    <w:p w:rsidR="00483CAE" w:rsidRPr="00DD6EC8" w:rsidRDefault="00483CAE" w:rsidP="00483CAE">
      <w:pPr>
        <w:rPr>
          <w:rFonts w:ascii="Times New Roman" w:hAnsi="Times New Roman" w:cs="Times New Roman"/>
          <w:sz w:val="24"/>
          <w:szCs w:val="24"/>
        </w:rPr>
      </w:pPr>
    </w:p>
    <w:p w:rsidR="00483CAE" w:rsidRPr="00DD6EC8" w:rsidRDefault="00483CAE" w:rsidP="00483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6EC8">
        <w:rPr>
          <w:rFonts w:ascii="Times New Roman" w:hAnsi="Times New Roman" w:cs="Times New Roman"/>
          <w:sz w:val="24"/>
          <w:szCs w:val="24"/>
        </w:rPr>
        <w:t>A380</w:t>
      </w:r>
    </w:p>
    <w:p w:rsidR="00483CAE" w:rsidRPr="00DD6EC8" w:rsidRDefault="00483CAE" w:rsidP="00483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6EC8">
        <w:rPr>
          <w:rStyle w:val="apple-converted-space"/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 </w:t>
      </w:r>
      <w:r w:rsidRPr="00DD6E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In high pressure die casting </w:t>
      </w:r>
      <w:proofErr w:type="spellStart"/>
      <w:r w:rsidRPr="00DD6E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aluminum</w:t>
      </w:r>
      <w:proofErr w:type="spellEnd"/>
      <w:r w:rsidRPr="00DD6E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alloys, iron is intentionally added to the melt in range of 0.8–1.1 </w:t>
      </w:r>
      <w:proofErr w:type="spellStart"/>
      <w:r w:rsidRPr="00DD6E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wt</w:t>
      </w:r>
      <w:proofErr w:type="spellEnd"/>
      <w:r w:rsidRPr="00DD6E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% to prevent molten metal soldering to the die</w:t>
      </w:r>
      <w:r w:rsidRPr="00DD6EC8">
        <w:rPr>
          <w:rStyle w:val="apple-converted-space"/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 </w:t>
      </w:r>
      <w:hyperlink r:id="rId17" w:anchor="bib23" w:history="1">
        <w:r w:rsidRPr="00DD6EC8">
          <w:rPr>
            <w:rStyle w:val="Hyperlink"/>
            <w:rFonts w:ascii="Times New Roman" w:hAnsi="Times New Roman" w:cs="Times New Roman"/>
            <w:color w:val="316C9D"/>
            <w:sz w:val="24"/>
            <w:szCs w:val="24"/>
            <w:bdr w:val="none" w:sz="0" w:space="0" w:color="auto" w:frame="1"/>
            <w:shd w:val="clear" w:color="auto" w:fill="FFFFFF"/>
          </w:rPr>
          <w:t>[23]</w:t>
        </w:r>
      </w:hyperlink>
      <w:r w:rsidRPr="00DD6E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 and </w:t>
      </w:r>
      <w:hyperlink r:id="rId18" w:anchor="bib24" w:history="1">
        <w:r w:rsidRPr="00DD6EC8">
          <w:rPr>
            <w:rStyle w:val="Hyperlink"/>
            <w:rFonts w:ascii="Times New Roman" w:hAnsi="Times New Roman" w:cs="Times New Roman"/>
            <w:color w:val="316C9D"/>
            <w:sz w:val="24"/>
            <w:szCs w:val="24"/>
            <w:bdr w:val="none" w:sz="0" w:space="0" w:color="auto" w:frame="1"/>
            <w:shd w:val="clear" w:color="auto" w:fill="FFFFFF"/>
          </w:rPr>
          <w:t>[24]</w:t>
        </w:r>
      </w:hyperlink>
    </w:p>
    <w:p w:rsidR="00483CAE" w:rsidRPr="00DD6EC8" w:rsidRDefault="00483CAE" w:rsidP="00483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6E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Strontium addition delays the formation of intermetallic compounds in the melt and also decreases the settling velocity of intermetallic particles.</w:t>
      </w:r>
    </w:p>
    <w:p w:rsidR="00483CAE" w:rsidRPr="00DD6EC8" w:rsidRDefault="00483CAE" w:rsidP="00483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6E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Avrami</w:t>
      </w:r>
      <w:proofErr w:type="spellEnd"/>
      <w:r w:rsidRPr="00DD6E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equation for volume fraction of sludge:</w:t>
      </w:r>
    </w:p>
    <w:p w:rsidR="00483CAE" w:rsidRPr="00DD6EC8" w:rsidRDefault="00483CAE" w:rsidP="00483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6EC8">
        <w:rPr>
          <w:rFonts w:ascii="Times New Roman" w:hAnsi="Times New Roman" w:cs="Times New Roman"/>
          <w:sz w:val="24"/>
          <w:szCs w:val="24"/>
        </w:rPr>
        <w:t>f(t)=0.441[1−exp(−0.10t</w:t>
      </w:r>
      <w:r w:rsidR="00DD6EC8" w:rsidRPr="00DD6EC8">
        <w:rPr>
          <w:rFonts w:ascii="Times New Roman" w:hAnsi="Times New Roman" w:cs="Times New Roman"/>
          <w:sz w:val="24"/>
          <w:szCs w:val="24"/>
        </w:rPr>
        <w:t>^</w:t>
      </w:r>
      <w:r w:rsidRPr="00DD6EC8">
        <w:rPr>
          <w:rFonts w:ascii="Times New Roman" w:hAnsi="Times New Roman" w:cs="Times New Roman"/>
          <w:sz w:val="24"/>
          <w:szCs w:val="24"/>
        </w:rPr>
        <w:t>0.5758)] For un−modified A380   melt</w:t>
      </w:r>
    </w:p>
    <w:p w:rsidR="00483CAE" w:rsidRPr="00DD6EC8" w:rsidRDefault="00483CAE" w:rsidP="00483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6EC8">
        <w:rPr>
          <w:rFonts w:ascii="Times New Roman" w:hAnsi="Times New Roman" w:cs="Times New Roman"/>
          <w:sz w:val="24"/>
          <w:szCs w:val="24"/>
        </w:rPr>
        <w:t>f(t)=0.441[1−exp(−0.18t</w:t>
      </w:r>
      <w:r w:rsidR="00DD6EC8" w:rsidRPr="00DD6EC8">
        <w:rPr>
          <w:rFonts w:ascii="Times New Roman" w:hAnsi="Times New Roman" w:cs="Times New Roman"/>
          <w:sz w:val="24"/>
          <w:szCs w:val="24"/>
        </w:rPr>
        <w:t>^</w:t>
      </w:r>
      <w:r w:rsidRPr="00DD6EC8">
        <w:rPr>
          <w:rFonts w:ascii="Times New Roman" w:hAnsi="Times New Roman" w:cs="Times New Roman"/>
          <w:sz w:val="24"/>
          <w:szCs w:val="24"/>
        </w:rPr>
        <w:t xml:space="preserve">0.3787)] For </w:t>
      </w:r>
      <w:proofErr w:type="spellStart"/>
      <w:r w:rsidRPr="00DD6EC8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DD6EC8">
        <w:rPr>
          <w:rFonts w:ascii="Times New Roman" w:hAnsi="Times New Roman" w:cs="Times New Roman"/>
          <w:sz w:val="24"/>
          <w:szCs w:val="24"/>
        </w:rPr>
        <w:t>−modified A380   melt</w:t>
      </w:r>
    </w:p>
    <w:p w:rsidR="00483CAE" w:rsidRPr="00DD6EC8" w:rsidRDefault="00DD6EC8" w:rsidP="00483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6EC8">
        <w:rPr>
          <w:rFonts w:ascii="Times New Roman" w:hAnsi="Times New Roman" w:cs="Times New Roman"/>
          <w:sz w:val="24"/>
          <w:szCs w:val="24"/>
        </w:rPr>
        <w:t>Gravity effect on setting of sludge, modelled with stokes equation</w:t>
      </w:r>
    </w:p>
    <w:p w:rsidR="00DD6EC8" w:rsidRDefault="00DD6EC8" w:rsidP="00DD6EC8"/>
    <w:p w:rsidR="00DD6EC8" w:rsidRDefault="00DD6EC8" w:rsidP="00DD6EC8"/>
    <w:p w:rsidR="00DD6EC8" w:rsidRDefault="00DD6EC8" w:rsidP="00DD6EC8">
      <w:bookmarkStart w:id="0" w:name="_GoBack"/>
      <w:bookmarkEnd w:id="0"/>
    </w:p>
    <w:p w:rsidR="00DD6EC8" w:rsidRPr="00DD6EC8" w:rsidRDefault="00DD6EC8" w:rsidP="00DD6EC8">
      <w:pPr>
        <w:pStyle w:val="Heading1"/>
      </w:pPr>
      <w:r w:rsidRPr="00DD6EC8">
        <w:lastRenderedPageBreak/>
        <w:t xml:space="preserve">Microstructure, tensile properties and fracture </w:t>
      </w:r>
      <w:proofErr w:type="spellStart"/>
      <w:r w:rsidRPr="00DD6EC8">
        <w:t>behavior</w:t>
      </w:r>
      <w:proofErr w:type="spellEnd"/>
      <w:r w:rsidRPr="00DD6EC8">
        <w:t xml:space="preserve"> of high temperature Al-Si-Mg-Cu cast alloys</w:t>
      </w:r>
    </w:p>
    <w:p w:rsidR="00483CAE" w:rsidRPr="00DD6EC8" w:rsidRDefault="00483CAE" w:rsidP="00DD6EC8"/>
    <w:p w:rsidR="00675C09" w:rsidRPr="004F5323" w:rsidRDefault="00675C09" w:rsidP="0073067F">
      <w:pPr>
        <w:pStyle w:val="Heading1"/>
      </w:pPr>
    </w:p>
    <w:p w:rsidR="00295226" w:rsidRDefault="00295226" w:rsidP="00295226"/>
    <w:p w:rsidR="00295226" w:rsidRPr="000578B1" w:rsidRDefault="00295226" w:rsidP="00295226"/>
    <w:p w:rsidR="00F73224" w:rsidRDefault="00F73224" w:rsidP="00F73224"/>
    <w:p w:rsidR="00F73224" w:rsidRPr="00F73224" w:rsidRDefault="00F73224" w:rsidP="00F73224"/>
    <w:sectPr w:rsidR="00F73224" w:rsidRPr="00F732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BCB" w:rsidRDefault="00620BCB" w:rsidP="0073067F">
      <w:pPr>
        <w:spacing w:after="0" w:line="240" w:lineRule="auto"/>
      </w:pPr>
      <w:r>
        <w:separator/>
      </w:r>
    </w:p>
  </w:endnote>
  <w:endnote w:type="continuationSeparator" w:id="0">
    <w:p w:rsidR="00620BCB" w:rsidRDefault="00620BCB" w:rsidP="0073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BCB" w:rsidRDefault="00620BCB" w:rsidP="0073067F">
      <w:pPr>
        <w:spacing w:after="0" w:line="240" w:lineRule="auto"/>
      </w:pPr>
      <w:r>
        <w:separator/>
      </w:r>
    </w:p>
  </w:footnote>
  <w:footnote w:type="continuationSeparator" w:id="0">
    <w:p w:rsidR="00620BCB" w:rsidRDefault="00620BCB" w:rsidP="00730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2E31"/>
    <w:multiLevelType w:val="hybridMultilevel"/>
    <w:tmpl w:val="E22A0734"/>
    <w:lvl w:ilvl="0" w:tplc="17B61616">
      <w:start w:val="1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332A5"/>
    <w:multiLevelType w:val="hybridMultilevel"/>
    <w:tmpl w:val="ABEAB61A"/>
    <w:lvl w:ilvl="0" w:tplc="17B61616">
      <w:start w:val="1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5DD3"/>
    <w:multiLevelType w:val="hybridMultilevel"/>
    <w:tmpl w:val="464889BA"/>
    <w:lvl w:ilvl="0" w:tplc="17B61616">
      <w:start w:val="1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06"/>
    <w:rsid w:val="000437F1"/>
    <w:rsid w:val="000578B1"/>
    <w:rsid w:val="00295226"/>
    <w:rsid w:val="00346901"/>
    <w:rsid w:val="00483CAE"/>
    <w:rsid w:val="004F5323"/>
    <w:rsid w:val="00616E18"/>
    <w:rsid w:val="00620BCB"/>
    <w:rsid w:val="006569C5"/>
    <w:rsid w:val="00675C09"/>
    <w:rsid w:val="007202C8"/>
    <w:rsid w:val="0073067F"/>
    <w:rsid w:val="008B7EC6"/>
    <w:rsid w:val="008E1A06"/>
    <w:rsid w:val="009004B3"/>
    <w:rsid w:val="00AC464E"/>
    <w:rsid w:val="00CC1356"/>
    <w:rsid w:val="00D41D6F"/>
    <w:rsid w:val="00D67261"/>
    <w:rsid w:val="00DD6EC8"/>
    <w:rsid w:val="00E66728"/>
    <w:rsid w:val="00E90A40"/>
    <w:rsid w:val="00ED0D83"/>
    <w:rsid w:val="00F11ABE"/>
    <w:rsid w:val="00F73224"/>
    <w:rsid w:val="00F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E2C64-2B6D-40FC-ACCE-D29843B9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A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3224"/>
    <w:rPr>
      <w:color w:val="808080"/>
    </w:rPr>
  </w:style>
  <w:style w:type="character" w:customStyle="1" w:styleId="apple-converted-space">
    <w:name w:val="apple-converted-space"/>
    <w:basedOn w:val="DefaultParagraphFont"/>
    <w:rsid w:val="008B7EC6"/>
  </w:style>
  <w:style w:type="character" w:styleId="Hyperlink">
    <w:name w:val="Hyperlink"/>
    <w:basedOn w:val="DefaultParagraphFont"/>
    <w:uiPriority w:val="99"/>
    <w:semiHidden/>
    <w:unhideWhenUsed/>
    <w:rsid w:val="008B7E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0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67F"/>
  </w:style>
  <w:style w:type="paragraph" w:styleId="Footer">
    <w:name w:val="footer"/>
    <w:basedOn w:val="Normal"/>
    <w:link w:val="FooterChar"/>
    <w:uiPriority w:val="99"/>
    <w:unhideWhenUsed/>
    <w:rsid w:val="00730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67F"/>
  </w:style>
  <w:style w:type="character" w:customStyle="1" w:styleId="mathmlsrc">
    <w:name w:val="mathmlsrc"/>
    <w:basedOn w:val="DefaultParagraphFont"/>
    <w:rsid w:val="00483CAE"/>
  </w:style>
  <w:style w:type="character" w:customStyle="1" w:styleId="mathjax">
    <w:name w:val="mathjax"/>
    <w:basedOn w:val="DefaultParagraphFont"/>
    <w:rsid w:val="00483CAE"/>
  </w:style>
  <w:style w:type="character" w:customStyle="1" w:styleId="mi">
    <w:name w:val="mi"/>
    <w:basedOn w:val="DefaultParagraphFont"/>
    <w:rsid w:val="00483CAE"/>
  </w:style>
  <w:style w:type="character" w:customStyle="1" w:styleId="mo">
    <w:name w:val="mo"/>
    <w:basedOn w:val="DefaultParagraphFont"/>
    <w:rsid w:val="00483CAE"/>
  </w:style>
  <w:style w:type="character" w:customStyle="1" w:styleId="mn">
    <w:name w:val="mn"/>
    <w:basedOn w:val="DefaultParagraphFont"/>
    <w:rsid w:val="00483CAE"/>
  </w:style>
  <w:style w:type="character" w:customStyle="1" w:styleId="mtext">
    <w:name w:val="mtext"/>
    <w:basedOn w:val="DefaultParagraphFont"/>
    <w:rsid w:val="00483CAE"/>
  </w:style>
  <w:style w:type="character" w:customStyle="1" w:styleId="offscreen">
    <w:name w:val="offscreen"/>
    <w:basedOn w:val="DefaultParagraphFont"/>
    <w:rsid w:val="00483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68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44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0924013604007083" TargetMode="External"/><Relationship Id="rId13" Type="http://schemas.openxmlformats.org/officeDocument/2006/relationships/hyperlink" Target="http://www.sciencedirect.com/science/article/pii/S0261306915002514" TargetMode="External"/><Relationship Id="rId18" Type="http://schemas.openxmlformats.org/officeDocument/2006/relationships/hyperlink" Target="http://www.sciencedirect.com/science/article/pii/S0925838808020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S0924013604007083" TargetMode="External"/><Relationship Id="rId12" Type="http://schemas.openxmlformats.org/officeDocument/2006/relationships/hyperlink" Target="http://www.sciencedirect.com/science/article/pii/S0261306915002514" TargetMode="External"/><Relationship Id="rId17" Type="http://schemas.openxmlformats.org/officeDocument/2006/relationships/hyperlink" Target="http://www.sciencedirect.com/science/article/pii/S0925838808020100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sciencedirect.com/science/article/pii/S0261306915002514" TargetMode="External"/><Relationship Id="rId10" Type="http://schemas.openxmlformats.org/officeDocument/2006/relationships/hyperlink" Target="http://www.sciencedirect.com/science/article/pii/S092401360400708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924013604007083" TargetMode="External"/><Relationship Id="rId14" Type="http://schemas.openxmlformats.org/officeDocument/2006/relationships/hyperlink" Target="http://www.sciencedirect.com/science/article/pii/S02613069150025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8</cp:revision>
  <dcterms:created xsi:type="dcterms:W3CDTF">2016-08-25T17:49:00Z</dcterms:created>
  <dcterms:modified xsi:type="dcterms:W3CDTF">2016-10-11T20:06:00Z</dcterms:modified>
</cp:coreProperties>
</file>