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Pr="000F4099" w:rsidRDefault="000F4099" w:rsidP="000F40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4099">
        <w:rPr>
          <w:rFonts w:ascii="Times New Roman" w:hAnsi="Times New Roman" w:cs="Times New Roman"/>
          <w:b/>
          <w:sz w:val="36"/>
          <w:szCs w:val="36"/>
        </w:rPr>
        <w:t xml:space="preserve">MULTISCALE MODELING OF </w:t>
      </w:r>
      <w:r w:rsidRPr="000F4099">
        <w:rPr>
          <w:rFonts w:ascii="Times New Roman" w:hAnsi="Times New Roman" w:cs="Times New Roman"/>
          <w:b/>
          <w:sz w:val="36"/>
          <w:szCs w:val="36"/>
        </w:rPr>
        <w:t>THE SOLIDIFICATION STRUCTURE OF HIGH-PRESSURE DIE CAST ALUMINUM</w:t>
      </w:r>
      <w:r w:rsidR="00626ED3">
        <w:rPr>
          <w:rFonts w:ascii="Times New Roman" w:hAnsi="Times New Roman" w:cs="Times New Roman"/>
          <w:b/>
          <w:sz w:val="36"/>
          <w:szCs w:val="36"/>
        </w:rPr>
        <w:t xml:space="preserve"> A383 ALLOY</w:t>
      </w:r>
    </w:p>
    <w:p w:rsidR="000F4099" w:rsidRDefault="000F4099" w:rsidP="000F4099">
      <w:pPr>
        <w:jc w:val="center"/>
        <w:rPr>
          <w:rFonts w:ascii="Times New Roman" w:hAnsi="Times New Roman" w:cs="Times New Roman"/>
          <w:b/>
        </w:rPr>
      </w:pPr>
    </w:p>
    <w:p w:rsidR="000F4099" w:rsidRPr="000F4099" w:rsidRDefault="000F4099" w:rsidP="000F40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4099">
        <w:rPr>
          <w:rFonts w:ascii="Times New Roman" w:hAnsi="Times New Roman" w:cs="Times New Roman"/>
          <w:sz w:val="24"/>
          <w:szCs w:val="24"/>
        </w:rPr>
        <w:t>Mikko</w:t>
      </w:r>
      <w:proofErr w:type="spellEnd"/>
      <w:r w:rsidRPr="000F4099">
        <w:rPr>
          <w:rFonts w:ascii="Times New Roman" w:hAnsi="Times New Roman" w:cs="Times New Roman"/>
          <w:sz w:val="24"/>
          <w:szCs w:val="24"/>
        </w:rPr>
        <w:t xml:space="preserve"> Kärkkäinen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F40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Laurentiu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Nastac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and Luke Brewer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Vishweshwar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Arvikar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Ilya Levin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F4099" w:rsidRPr="000F4099" w:rsidRDefault="000F4099" w:rsidP="000F40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The University of Alabama, Department of Metallurgical and Materials Engineering, Box 870202, Tuscaloosa, Al, 35487, USA</w:t>
      </w:r>
    </w:p>
    <w:p w:rsidR="000F4099" w:rsidRDefault="000F4099" w:rsidP="000F40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Nemak Alabama</w:t>
      </w:r>
    </w:p>
    <w:p w:rsidR="000F4099" w:rsidRPr="000F4099" w:rsidRDefault="000F4099" w:rsidP="004A2C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F4099" w:rsidRDefault="000F4099" w:rsidP="004A2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numerical model is being developed to predict the solidification structure and evolution during high-pressure die casting (HPDC) of a modified A383 alloy. The model predicts the grain size,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equiaxed</w:t>
      </w:r>
      <w:proofErr w:type="spellEnd"/>
      <w:r>
        <w:rPr>
          <w:rFonts w:ascii="Times New Roman" w:hAnsi="Times New Roman" w:cs="Times New Roman"/>
          <w:sz w:val="24"/>
          <w:szCs w:val="24"/>
        </w:rPr>
        <w:t>-columnar transition and the phase composition of the as-cast structure, including the formation of inclusions, such as iron-rich</w:t>
      </w:r>
      <w:r w:rsidR="00D82C0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82C0C">
        <w:rPr>
          <w:rFonts w:ascii="Times New Roman" w:eastAsiaTheme="minorEastAsia" w:hAnsi="Times New Roman" w:cs="Times New Roman"/>
          <w:sz w:val="24"/>
          <w:szCs w:val="24"/>
        </w:rPr>
        <w:t>-al</w:t>
      </w:r>
      <w:r w:rsidR="00D82C0C">
        <w:rPr>
          <w:rFonts w:ascii="Times New Roman" w:hAnsi="Times New Roman" w:cs="Times New Roman"/>
          <w:sz w:val="24"/>
          <w:szCs w:val="24"/>
        </w:rPr>
        <w:t xml:space="preserve"> (sludge).</w:t>
      </w:r>
    </w:p>
    <w:p w:rsidR="00D82C0C" w:rsidRDefault="00D82C0C" w:rsidP="004A2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modelling approach consists of integrating a macroscopic model for prediction of fluid flow and solidification conditions in HPDC A383 components with a microscopic solidification structure model developed at the University of Alabama.</w:t>
      </w:r>
    </w:p>
    <w:p w:rsidR="00D82C0C" w:rsidRDefault="00D82C0C" w:rsidP="004A2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aim of the integrated model is to accurately predict the evolution of the solidification microstructure including the </w:t>
      </w:r>
      <w:r w:rsidR="007B568E">
        <w:rPr>
          <w:rFonts w:ascii="Times New Roman" w:hAnsi="Times New Roman" w:cs="Times New Roman"/>
          <w:sz w:val="24"/>
          <w:szCs w:val="24"/>
        </w:rPr>
        <w:t>formation of inclusion</w:t>
      </w:r>
      <w:r>
        <w:rPr>
          <w:rFonts w:ascii="Times New Roman" w:hAnsi="Times New Roman" w:cs="Times New Roman"/>
          <w:sz w:val="24"/>
          <w:szCs w:val="24"/>
        </w:rPr>
        <w:t xml:space="preserve"> defect</w:t>
      </w:r>
      <w:r w:rsidR="007B56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HPDC A383 components. The model predictions are being compared against experimental measurements (e.g. amount, type of inclusions and phases</w:t>
      </w:r>
      <w:r w:rsidR="0024637D">
        <w:rPr>
          <w:rFonts w:ascii="Times New Roman" w:hAnsi="Times New Roman" w:cs="Times New Roman"/>
          <w:sz w:val="24"/>
          <w:szCs w:val="24"/>
        </w:rPr>
        <w:t>, porosity</w:t>
      </w:r>
      <w:r>
        <w:rPr>
          <w:rFonts w:ascii="Times New Roman" w:hAnsi="Times New Roman" w:cs="Times New Roman"/>
          <w:sz w:val="24"/>
          <w:szCs w:val="24"/>
        </w:rPr>
        <w:t>) in A383 samples extracted from various regions of an HPDC engine block. The validated model can then be applied to determine the effects of different solidification conditions on the as-cast microstructure.</w:t>
      </w:r>
    </w:p>
    <w:p w:rsidR="00D82C0C" w:rsidRDefault="00D82C0C" w:rsidP="004A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82C0C" w:rsidRDefault="00D82C0C" w:rsidP="004A2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objective of this work is apply a transient multiscale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to get insights into the effects of key processing parameters on the solidification structure of HPDC Al-383. This includes the piston intensification pressure, </w:t>
      </w:r>
      <w:r w:rsidR="007B568E">
        <w:rPr>
          <w:rFonts w:ascii="Times New Roman" w:hAnsi="Times New Roman" w:cs="Times New Roman"/>
          <w:sz w:val="24"/>
          <w:szCs w:val="24"/>
        </w:rPr>
        <w:t xml:space="preserve">cooling water flow, cycle time, </w:t>
      </w:r>
      <w:r>
        <w:rPr>
          <w:rFonts w:ascii="Times New Roman" w:hAnsi="Times New Roman" w:cs="Times New Roman"/>
          <w:sz w:val="24"/>
          <w:szCs w:val="24"/>
        </w:rPr>
        <w:t xml:space="preserve">characteristic size of the feeding gates and the </w:t>
      </w:r>
      <w:r w:rsidR="007B568E">
        <w:rPr>
          <w:rFonts w:ascii="Times New Roman" w:hAnsi="Times New Roman" w:cs="Times New Roman"/>
          <w:sz w:val="24"/>
          <w:szCs w:val="24"/>
        </w:rPr>
        <w:t xml:space="preserve">optimal concentration </w:t>
      </w:r>
      <w:r>
        <w:rPr>
          <w:rFonts w:ascii="Times New Roman" w:hAnsi="Times New Roman" w:cs="Times New Roman"/>
          <w:sz w:val="24"/>
          <w:szCs w:val="24"/>
        </w:rPr>
        <w:t xml:space="preserve">of additives such as Sr.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consists of integrating a transient macroscopic model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Ansys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Fluent, Nova Flow and Solid) with a mesoscopic solidification structure model. The integrated model can predict the solidification structure evolution of both columnar</w:t>
      </w:r>
      <w:r w:rsidR="007B56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B568E">
        <w:rPr>
          <w:rFonts w:ascii="Times New Roman" w:hAnsi="Times New Roman" w:cs="Times New Roman"/>
          <w:sz w:val="24"/>
          <w:szCs w:val="24"/>
        </w:rPr>
        <w:t>equiaxed</w:t>
      </w:r>
      <w:proofErr w:type="spellEnd"/>
      <w:r w:rsidR="007B568E">
        <w:rPr>
          <w:rFonts w:ascii="Times New Roman" w:hAnsi="Times New Roman" w:cs="Times New Roman"/>
          <w:sz w:val="24"/>
          <w:szCs w:val="24"/>
        </w:rPr>
        <w:t xml:space="preserve"> grains</w:t>
      </w:r>
      <w:r>
        <w:rPr>
          <w:rFonts w:ascii="Times New Roman" w:hAnsi="Times New Roman" w:cs="Times New Roman"/>
          <w:sz w:val="24"/>
          <w:szCs w:val="24"/>
        </w:rPr>
        <w:t xml:space="preserve"> and the columnar-to-</w:t>
      </w:r>
      <w:proofErr w:type="spellStart"/>
      <w:r>
        <w:rPr>
          <w:rFonts w:ascii="Times New Roman" w:hAnsi="Times New Roman" w:cs="Times New Roman"/>
          <w:sz w:val="24"/>
          <w:szCs w:val="24"/>
        </w:rPr>
        <w:t>equiaxed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transition (CET)</w:t>
      </w:r>
      <w:r w:rsidR="007B568E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0D034C">
        <w:rPr>
          <w:rFonts w:ascii="Times New Roman" w:hAnsi="Times New Roman" w:cs="Times New Roman"/>
          <w:sz w:val="24"/>
          <w:szCs w:val="24"/>
        </w:rPr>
        <w:t xml:space="preserve">final </w:t>
      </w:r>
      <w:r w:rsidR="007B568E">
        <w:rPr>
          <w:rFonts w:ascii="Times New Roman" w:hAnsi="Times New Roman" w:cs="Times New Roman"/>
          <w:sz w:val="24"/>
          <w:szCs w:val="24"/>
        </w:rPr>
        <w:t>phase composition</w:t>
      </w:r>
      <w:r>
        <w:rPr>
          <w:rFonts w:ascii="Times New Roman" w:hAnsi="Times New Roman" w:cs="Times New Roman"/>
          <w:sz w:val="24"/>
          <w:szCs w:val="24"/>
        </w:rPr>
        <w:t>. The integrated model can assis</w:t>
      </w:r>
      <w:r w:rsidR="004A2C4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thus in achieving better control of the solidification structure and mechanical properties in the product.</w:t>
      </w:r>
    </w:p>
    <w:p w:rsidR="004A2C4F" w:rsidRDefault="00D82C0C" w:rsidP="004A2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capabilities of the model include the</w:t>
      </w:r>
      <w:r w:rsidR="007B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68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7B568E">
        <w:rPr>
          <w:rFonts w:ascii="Times New Roman" w:hAnsi="Times New Roman" w:cs="Times New Roman"/>
          <w:sz w:val="24"/>
          <w:szCs w:val="24"/>
        </w:rPr>
        <w:t xml:space="preserve"> of the</w:t>
      </w:r>
      <w:r>
        <w:rPr>
          <w:rFonts w:ascii="Times New Roman" w:hAnsi="Times New Roman" w:cs="Times New Roman"/>
          <w:sz w:val="24"/>
          <w:szCs w:val="24"/>
        </w:rPr>
        <w:t xml:space="preserve"> effects of</w:t>
      </w:r>
      <w:r w:rsidR="004A2C4F">
        <w:rPr>
          <w:rFonts w:ascii="Times New Roman" w:hAnsi="Times New Roman" w:cs="Times New Roman"/>
          <w:sz w:val="24"/>
          <w:szCs w:val="24"/>
        </w:rPr>
        <w:t xml:space="preserve"> process parameters such as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cooling conditions</w:t>
      </w:r>
      <w:r w:rsidR="004A2C4F">
        <w:rPr>
          <w:rFonts w:ascii="Times New Roman" w:hAnsi="Times New Roman" w:cs="Times New Roman"/>
          <w:sz w:val="24"/>
          <w:szCs w:val="24"/>
        </w:rPr>
        <w:t>, piston velocity profile, cycle time, and the composition of the alloy. Thus, grain size, gr</w:t>
      </w:r>
      <w:r w:rsidR="00DE784D">
        <w:rPr>
          <w:rFonts w:ascii="Times New Roman" w:hAnsi="Times New Roman" w:cs="Times New Roman"/>
          <w:sz w:val="24"/>
          <w:szCs w:val="24"/>
        </w:rPr>
        <w:t xml:space="preserve">ain morphology, grain direction, </w:t>
      </w:r>
      <w:r w:rsidR="004A2C4F">
        <w:rPr>
          <w:rFonts w:ascii="Times New Roman" w:hAnsi="Times New Roman" w:cs="Times New Roman"/>
          <w:sz w:val="24"/>
          <w:szCs w:val="24"/>
        </w:rPr>
        <w:t>CET</w:t>
      </w:r>
      <w:r w:rsidR="00DE784D">
        <w:rPr>
          <w:rFonts w:ascii="Times New Roman" w:hAnsi="Times New Roman" w:cs="Times New Roman"/>
          <w:sz w:val="24"/>
          <w:szCs w:val="24"/>
        </w:rPr>
        <w:t xml:space="preserve">, porosity and phase </w:t>
      </w:r>
      <w:bookmarkStart w:id="0" w:name="_GoBack"/>
      <w:bookmarkEnd w:id="0"/>
      <w:r w:rsidR="00DE784D">
        <w:rPr>
          <w:rFonts w:ascii="Times New Roman" w:hAnsi="Times New Roman" w:cs="Times New Roman"/>
          <w:sz w:val="24"/>
          <w:szCs w:val="24"/>
        </w:rPr>
        <w:t>composition</w:t>
      </w:r>
      <w:r w:rsidR="004A2C4F">
        <w:rPr>
          <w:rFonts w:ascii="Times New Roman" w:hAnsi="Times New Roman" w:cs="Times New Roman"/>
          <w:sz w:val="24"/>
          <w:szCs w:val="24"/>
        </w:rPr>
        <w:t xml:space="preserve"> can be predicted.</w:t>
      </w:r>
    </w:p>
    <w:p w:rsidR="004A2C4F" w:rsidRDefault="004A2C4F" w:rsidP="004A2C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2C4F" w:rsidRDefault="004A2C4F" w:rsidP="004A2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schematic of the HPDC process is illustrated in Figure 1. Figure 2. Presents a schematic diagram showing the coupling between the transient computational fluid dynamics model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Ansys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Fluent) and the casting solidification structure code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SolMicro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A73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3DCA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Ansys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="00A73DCA">
        <w:rPr>
          <w:rFonts w:ascii="Times New Roman" w:hAnsi="Times New Roman" w:cs="Times New Roman"/>
          <w:b/>
          <w:sz w:val="24"/>
          <w:szCs w:val="24"/>
        </w:rPr>
        <w:t xml:space="preserve">luent </w:t>
      </w: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Nova Flow and Solid</w:t>
      </w:r>
      <w:r w:rsidR="007B568E">
        <w:rPr>
          <w:rFonts w:ascii="Times New Roman" w:hAnsi="Times New Roman" w:cs="Times New Roman"/>
          <w:b/>
          <w:sz w:val="24"/>
          <w:szCs w:val="24"/>
        </w:rPr>
        <w:t xml:space="preserve"> description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…..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….</w:t>
      </w:r>
    </w:p>
    <w:p w:rsid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SolMicro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description</w:t>
      </w:r>
    </w:p>
    <w:p w:rsid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7B568E" w:rsidRP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A73DCA" w:rsidRDefault="00A73DC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C4F" w:rsidRDefault="00F50A1A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</w:t>
      </w:r>
      <w:r w:rsidR="007B568E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A73DCA">
        <w:rPr>
          <w:rFonts w:ascii="Times New Roman" w:hAnsi="Times New Roman" w:cs="Times New Roman"/>
          <w:b/>
          <w:sz w:val="24"/>
          <w:szCs w:val="24"/>
        </w:rPr>
        <w:t xml:space="preserve">imulation </w:t>
      </w:r>
      <w:r w:rsidR="007B568E">
        <w:rPr>
          <w:rFonts w:ascii="Times New Roman" w:hAnsi="Times New Roman" w:cs="Times New Roman"/>
          <w:b/>
          <w:sz w:val="24"/>
          <w:szCs w:val="24"/>
        </w:rPr>
        <w:t xml:space="preserve">setup </w:t>
      </w:r>
      <w:r w:rsidR="00A73DCA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7B568E">
        <w:rPr>
          <w:rFonts w:ascii="Times New Roman" w:hAnsi="Times New Roman" w:cs="Times New Roman"/>
          <w:b/>
          <w:sz w:val="24"/>
          <w:szCs w:val="24"/>
        </w:rPr>
        <w:t xml:space="preserve">and process data </w:t>
      </w:r>
      <w:r w:rsidR="00A73DCA">
        <w:rPr>
          <w:rFonts w:ascii="Times New Roman" w:hAnsi="Times New Roman" w:cs="Times New Roman"/>
          <w:b/>
          <w:sz w:val="24"/>
          <w:szCs w:val="24"/>
        </w:rPr>
        <w:t>in tables</w:t>
      </w:r>
    </w:p>
    <w:p w:rsid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4A2C4F" w:rsidRPr="007B568E" w:rsidRDefault="007B568E" w:rsidP="004A2C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4A2C4F" w:rsidRDefault="004A2C4F" w:rsidP="00626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>
            <wp:extent cx="2705100" cy="1996735"/>
            <wp:effectExtent l="0" t="0" r="0" b="3810"/>
            <wp:docPr id="1" name="Picture 1" descr="Kuvahaun tulos haulle high pressure die 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high pressure die c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96" cy="200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F" w:rsidRPr="00D82C0C" w:rsidRDefault="004A2C4F" w:rsidP="00626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1. HPDC</w:t>
      </w:r>
      <w:r w:rsidR="007B568E">
        <w:rPr>
          <w:rFonts w:ascii="Times New Roman" w:hAnsi="Times New Roman" w:cs="Times New Roman"/>
          <w:sz w:val="24"/>
          <w:szCs w:val="24"/>
        </w:rPr>
        <w:t xml:space="preserve"> diagram placeholder</w:t>
      </w:r>
    </w:p>
    <w:p w:rsidR="00A73DCA" w:rsidRDefault="00A73DCA" w:rsidP="007B56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ZW"/>
        </w:rPr>
        <w:lastRenderedPageBreak/>
        <w:drawing>
          <wp:inline distT="0" distB="0" distL="0" distR="0">
            <wp:extent cx="4296177" cy="2776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808" cy="27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0C" w:rsidRDefault="00A73DCA" w:rsidP="00626ED3">
      <w:pPr>
        <w:tabs>
          <w:tab w:val="left" w:pos="11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 Simulation flowchart</w:t>
      </w:r>
    </w:p>
    <w:p w:rsidR="00A73DCA" w:rsidRDefault="00A73DCA" w:rsidP="007B568E">
      <w:pPr>
        <w:tabs>
          <w:tab w:val="left" w:pos="11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3DCA" w:rsidRDefault="00A73DCA" w:rsidP="007B568E">
      <w:pPr>
        <w:tabs>
          <w:tab w:val="left" w:pos="1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Figure 2, </w:t>
      </w:r>
      <w:proofErr w:type="spellStart"/>
      <w:r w:rsidRPr="00A73DCA">
        <w:rPr>
          <w:rFonts w:ascii="Times New Roman" w:hAnsi="Times New Roman" w:cs="Times New Roman"/>
          <w:b/>
          <w:sz w:val="24"/>
          <w:szCs w:val="24"/>
        </w:rPr>
        <w:t>Ansys</w:t>
      </w:r>
      <w:proofErr w:type="spellEnd"/>
      <w:r w:rsidRPr="00A73DCA">
        <w:rPr>
          <w:rFonts w:ascii="Times New Roman" w:hAnsi="Times New Roman" w:cs="Times New Roman"/>
          <w:b/>
          <w:sz w:val="24"/>
          <w:szCs w:val="24"/>
        </w:rPr>
        <w:t xml:space="preserve"> Fluent</w:t>
      </w:r>
      <w:r>
        <w:rPr>
          <w:rFonts w:ascii="Times New Roman" w:hAnsi="Times New Roman" w:cs="Times New Roman"/>
          <w:sz w:val="24"/>
          <w:szCs w:val="24"/>
        </w:rPr>
        <w:t xml:space="preserve"> is used to simulate the energy, momentum and solute transport computations to predict temperature, velocity and concentration distribution in the casting. These results are validated using the </w:t>
      </w:r>
      <w:r w:rsidRPr="00A73DCA">
        <w:rPr>
          <w:rFonts w:ascii="Times New Roman" w:hAnsi="Times New Roman" w:cs="Times New Roman"/>
          <w:b/>
          <w:sz w:val="24"/>
          <w:szCs w:val="24"/>
        </w:rPr>
        <w:t>Nova Flow and Solid</w:t>
      </w:r>
      <w:r>
        <w:rPr>
          <w:rFonts w:ascii="Times New Roman" w:hAnsi="Times New Roman" w:cs="Times New Roman"/>
          <w:sz w:val="24"/>
          <w:szCs w:val="24"/>
        </w:rPr>
        <w:t xml:space="preserve"> software running a parallel simulation and experimental work.</w:t>
      </w:r>
    </w:p>
    <w:p w:rsidR="00A73DCA" w:rsidRDefault="00A73DCA" w:rsidP="007B568E">
      <w:pPr>
        <w:tabs>
          <w:tab w:val="left" w:pos="1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7B56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B568E">
        <w:rPr>
          <w:rFonts w:ascii="Times New Roman" w:hAnsi="Times New Roman" w:cs="Times New Roman"/>
          <w:b/>
          <w:sz w:val="24"/>
          <w:szCs w:val="24"/>
        </w:rPr>
        <w:t>SolMicro</w:t>
      </w:r>
      <w:proofErr w:type="spellEnd"/>
      <w:r w:rsidR="007B568E">
        <w:rPr>
          <w:rFonts w:ascii="Times New Roman" w:hAnsi="Times New Roman" w:cs="Times New Roman"/>
          <w:sz w:val="24"/>
          <w:szCs w:val="24"/>
        </w:rPr>
        <w:t xml:space="preserve"> uses the</w:t>
      </w:r>
      <w:r>
        <w:rPr>
          <w:rFonts w:ascii="Times New Roman" w:hAnsi="Times New Roman" w:cs="Times New Roman"/>
          <w:sz w:val="24"/>
          <w:szCs w:val="24"/>
        </w:rPr>
        <w:t xml:space="preserve"> concentration distributions and cooling</w:t>
      </w:r>
      <w:r w:rsidR="007B568E">
        <w:rPr>
          <w:rFonts w:ascii="Times New Roman" w:hAnsi="Times New Roman" w:cs="Times New Roman"/>
          <w:sz w:val="24"/>
          <w:szCs w:val="24"/>
        </w:rPr>
        <w:t xml:space="preserve"> rates, mushy-zone thermal </w:t>
      </w:r>
      <w:proofErr w:type="spellStart"/>
      <w:r w:rsidR="007B568E">
        <w:rPr>
          <w:rFonts w:ascii="Times New Roman" w:hAnsi="Times New Roman" w:cs="Times New Roman"/>
          <w:sz w:val="24"/>
          <w:szCs w:val="24"/>
        </w:rPr>
        <w:t>gradiants</w:t>
      </w:r>
      <w:proofErr w:type="spellEnd"/>
      <w:r w:rsidR="007B568E">
        <w:rPr>
          <w:rFonts w:ascii="Times New Roman" w:hAnsi="Times New Roman" w:cs="Times New Roman"/>
          <w:sz w:val="24"/>
          <w:szCs w:val="24"/>
        </w:rPr>
        <w:t xml:space="preserve">, and solidification time from </w:t>
      </w:r>
      <w:proofErr w:type="spellStart"/>
      <w:r w:rsidR="007B568E">
        <w:rPr>
          <w:rFonts w:ascii="Times New Roman" w:hAnsi="Times New Roman" w:cs="Times New Roman"/>
          <w:b/>
          <w:sz w:val="24"/>
          <w:szCs w:val="24"/>
        </w:rPr>
        <w:t>Ansys</w:t>
      </w:r>
      <w:proofErr w:type="spellEnd"/>
      <w:r w:rsidR="007B568E">
        <w:rPr>
          <w:rFonts w:ascii="Times New Roman" w:hAnsi="Times New Roman" w:cs="Times New Roman"/>
          <w:b/>
          <w:sz w:val="24"/>
          <w:szCs w:val="24"/>
        </w:rPr>
        <w:t xml:space="preserve"> Fluent</w:t>
      </w:r>
      <w:r w:rsidR="007B568E">
        <w:rPr>
          <w:rFonts w:ascii="Times New Roman" w:hAnsi="Times New Roman" w:cs="Times New Roman"/>
          <w:sz w:val="24"/>
          <w:szCs w:val="24"/>
        </w:rPr>
        <w:t xml:space="preserve"> to predict the microstructure.</w:t>
      </w:r>
    </w:p>
    <w:p w:rsidR="007B568E" w:rsidRDefault="007B568E" w:rsidP="00A73DCA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</w:p>
    <w:p w:rsidR="007B568E" w:rsidRDefault="007B568E" w:rsidP="00A73DCA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Process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68E" w:rsidTr="007B568E"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7B568E"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7B568E"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7B568E"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7B568E"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A73DCA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68E" w:rsidRDefault="007B568E" w:rsidP="00A73DCA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</w:p>
    <w:p w:rsidR="007B568E" w:rsidRDefault="007B568E" w:rsidP="00A73DCA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</w:p>
    <w:p w:rsidR="007B568E" w:rsidRDefault="007B568E" w:rsidP="007B568E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 Simulation</w:t>
      </w:r>
      <w:r>
        <w:rPr>
          <w:rFonts w:ascii="Times New Roman" w:hAnsi="Times New Roman" w:cs="Times New Roman"/>
          <w:sz w:val="24"/>
          <w:szCs w:val="24"/>
        </w:rP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68E" w:rsidTr="005452B2"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5452B2"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5452B2"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68E" w:rsidTr="005452B2"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7B568E" w:rsidRDefault="007B568E" w:rsidP="005452B2">
            <w:pPr>
              <w:tabs>
                <w:tab w:val="left" w:pos="11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68E" w:rsidRPr="007B568E" w:rsidRDefault="007B568E" w:rsidP="00A73DCA">
      <w:pPr>
        <w:tabs>
          <w:tab w:val="left" w:pos="1190"/>
        </w:tabs>
        <w:rPr>
          <w:rFonts w:ascii="Times New Roman" w:hAnsi="Times New Roman" w:cs="Times New Roman"/>
          <w:sz w:val="24"/>
          <w:szCs w:val="24"/>
        </w:rPr>
      </w:pPr>
    </w:p>
    <w:p w:rsidR="00D82C0C" w:rsidRPr="000F4099" w:rsidRDefault="00D82C0C" w:rsidP="000F4099">
      <w:pPr>
        <w:rPr>
          <w:rFonts w:ascii="Times New Roman" w:hAnsi="Times New Roman" w:cs="Times New Roman"/>
          <w:sz w:val="24"/>
          <w:szCs w:val="24"/>
        </w:rPr>
      </w:pPr>
    </w:p>
    <w:sectPr w:rsidR="00D82C0C" w:rsidRPr="000F4099" w:rsidSect="004A2C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EB"/>
    <w:rsid w:val="000D034C"/>
    <w:rsid w:val="000F4099"/>
    <w:rsid w:val="0024637D"/>
    <w:rsid w:val="00346901"/>
    <w:rsid w:val="004A2C4F"/>
    <w:rsid w:val="00626ED3"/>
    <w:rsid w:val="00684FEB"/>
    <w:rsid w:val="007B568E"/>
    <w:rsid w:val="009004B3"/>
    <w:rsid w:val="00A73DCA"/>
    <w:rsid w:val="00D82C0C"/>
    <w:rsid w:val="00DE784D"/>
    <w:rsid w:val="00ED0D83"/>
    <w:rsid w:val="00F5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15A19-F3B3-4247-92A1-C5A97F87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099"/>
    <w:rPr>
      <w:color w:val="808080"/>
    </w:rPr>
  </w:style>
  <w:style w:type="table" w:styleId="TableGrid">
    <w:name w:val="Table Grid"/>
    <w:basedOn w:val="TableNormal"/>
    <w:uiPriority w:val="39"/>
    <w:rsid w:val="007B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8</cp:revision>
  <dcterms:created xsi:type="dcterms:W3CDTF">2016-09-08T16:58:00Z</dcterms:created>
  <dcterms:modified xsi:type="dcterms:W3CDTF">2016-09-08T18:06:00Z</dcterms:modified>
</cp:coreProperties>
</file>