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8B0" w:rsidRDefault="006208B0" w:rsidP="006208B0">
      <w:pPr>
        <w:pStyle w:val="Title"/>
      </w:pPr>
      <w:r>
        <w:t>FEM term project</w:t>
      </w:r>
    </w:p>
    <w:p w:rsidR="006208B0" w:rsidRDefault="006208B0" w:rsidP="006208B0"/>
    <w:p w:rsidR="006208B0" w:rsidRDefault="006208B0" w:rsidP="006208B0">
      <w:proofErr w:type="spellStart"/>
      <w:r>
        <w:t>Mikko</w:t>
      </w:r>
      <w:proofErr w:type="spellEnd"/>
      <w:r>
        <w:t xml:space="preserve"> </w:t>
      </w:r>
      <w:proofErr w:type="spellStart"/>
      <w:r>
        <w:t>Karkkainen</w:t>
      </w:r>
      <w:proofErr w:type="spellEnd"/>
    </w:p>
    <w:p w:rsidR="006208B0" w:rsidRDefault="006208B0" w:rsidP="006208B0"/>
    <w:p w:rsidR="006208B0" w:rsidRDefault="006208B0" w:rsidP="006208B0"/>
    <w:p w:rsidR="006208B0" w:rsidRDefault="006208B0" w:rsidP="006208B0"/>
    <w:p w:rsidR="006208B0" w:rsidRDefault="006208B0" w:rsidP="006208B0">
      <w:pPr>
        <w:pStyle w:val="Heading1"/>
      </w:pPr>
      <w:r>
        <w:t>Introduction</w:t>
      </w:r>
    </w:p>
    <w:p w:rsidR="006208B0" w:rsidRDefault="006208B0" w:rsidP="006208B0"/>
    <w:p w:rsidR="006208B0" w:rsidRDefault="006208B0" w:rsidP="006208B0"/>
    <w:p w:rsidR="00830FE3" w:rsidRDefault="006208B0" w:rsidP="006208B0">
      <w:r>
        <w:t xml:space="preserve">The </w:t>
      </w:r>
      <w:r w:rsidR="00B27015">
        <w:t xml:space="preserve">static </w:t>
      </w:r>
      <w:r>
        <w:t xml:space="preserve">radial, hoop and axial stresses in </w:t>
      </w:r>
      <w:r w:rsidR="00830FE3">
        <w:t>the geometry shown in Figure 1</w:t>
      </w:r>
      <w:r w:rsidR="00280151">
        <w:t xml:space="preserve"> resulting from the</w:t>
      </w:r>
      <w:r w:rsidR="00CF7333">
        <w:t xml:space="preserve"> uniform</w:t>
      </w:r>
      <w:r w:rsidR="00280151">
        <w:t xml:space="preserve"> </w:t>
      </w:r>
      <w:r w:rsidR="00830FE3">
        <w:t xml:space="preserve">pressure </w:t>
      </w:r>
      <m:oMath>
        <m:r>
          <w:rPr>
            <w:rFonts w:ascii="Cambria Math" w:hAnsi="Cambria Math"/>
          </w:rPr>
          <m:t>p</m:t>
        </m:r>
      </m:oMath>
      <w:r w:rsidR="00280151">
        <w:rPr>
          <w:rFonts w:eastAsiaTheme="minorEastAsia"/>
        </w:rPr>
        <w:t xml:space="preserve"> </w:t>
      </w:r>
      <w:r w:rsidR="00830FE3">
        <w:rPr>
          <w:rFonts w:eastAsiaTheme="minorEastAsia"/>
        </w:rPr>
        <w:t>are s</w:t>
      </w:r>
      <w:r w:rsidR="00280151">
        <w:rPr>
          <w:rFonts w:eastAsiaTheme="minorEastAsia"/>
        </w:rPr>
        <w:t>tudied</w:t>
      </w:r>
      <w:r w:rsidR="00830FE3">
        <w:rPr>
          <w:rFonts w:eastAsiaTheme="minorEastAsia"/>
        </w:rPr>
        <w:t xml:space="preserve"> using</w:t>
      </w:r>
      <w:r w:rsidR="007F03F1">
        <w:rPr>
          <w:rFonts w:eastAsiaTheme="minorEastAsia"/>
        </w:rPr>
        <w:t xml:space="preserve"> the</w:t>
      </w:r>
      <w:r w:rsidR="00830FE3">
        <w:rPr>
          <w:rFonts w:eastAsiaTheme="minorEastAsia"/>
        </w:rPr>
        <w:t xml:space="preserve"> FEM (finite element method) </w:t>
      </w:r>
      <w:r w:rsidR="00244F82">
        <w:rPr>
          <w:rFonts w:eastAsiaTheme="minorEastAsia"/>
        </w:rPr>
        <w:t>solver</w:t>
      </w:r>
      <w:r w:rsidR="007F03F1">
        <w:rPr>
          <w:rFonts w:eastAsiaTheme="minorEastAsia"/>
        </w:rPr>
        <w:t xml:space="preserve"> FEM2D.exe</w:t>
      </w:r>
      <w:r w:rsidR="00D57FBD">
        <w:rPr>
          <w:rFonts w:eastAsiaTheme="minorEastAsia"/>
        </w:rPr>
        <w:t>.</w:t>
      </w:r>
      <w:r w:rsidR="008006B4">
        <w:rPr>
          <w:rFonts w:eastAsiaTheme="minorEastAsia"/>
        </w:rPr>
        <w:t xml:space="preserve"> Steady state and p</w:t>
      </w:r>
      <w:r w:rsidR="00E06001">
        <w:rPr>
          <w:rFonts w:eastAsiaTheme="minorEastAsia"/>
        </w:rPr>
        <w:t>lain strain conditions</w:t>
      </w:r>
      <w:r w:rsidR="00D57FBD">
        <w:rPr>
          <w:rFonts w:eastAsiaTheme="minorEastAsia"/>
        </w:rPr>
        <w:t xml:space="preserve"> are assumed</w:t>
      </w:r>
      <w:r>
        <w:t>.</w:t>
      </w:r>
      <w:r w:rsidR="00830FE3">
        <w:t xml:space="preserve"> </w:t>
      </w:r>
      <w:r w:rsidR="00CA1EC5">
        <w:t xml:space="preserve"> The results are compared to the analytical solution. </w:t>
      </w:r>
    </w:p>
    <w:p w:rsidR="00830FE3" w:rsidRPr="00830FE3" w:rsidRDefault="00CA1EC5" w:rsidP="006208B0">
      <w:r>
        <w:t xml:space="preserve">The pressure </w:t>
      </w:r>
      <m:oMath>
        <m:r>
          <w:rPr>
            <w:rFonts w:ascii="Cambria Math" w:hAnsi="Cambria Math"/>
          </w:rPr>
          <m:t>p</m:t>
        </m:r>
      </m:oMath>
      <w:r w:rsidR="00830FE3">
        <w:rPr>
          <w:rFonts w:eastAsiaTheme="minorEastAsia"/>
        </w:rPr>
        <w:t xml:space="preserve"> is iteratively chosen so that the maximum str</w:t>
      </w:r>
      <w:r w:rsidR="00E06001">
        <w:rPr>
          <w:rFonts w:eastAsiaTheme="minorEastAsia"/>
        </w:rPr>
        <w:t>ess</w:t>
      </w:r>
      <w:r w:rsidR="00830FE3">
        <w:rPr>
          <w:rFonts w:eastAsiaTheme="minorEastAsia"/>
        </w:rPr>
        <w:t xml:space="preserve"> in th</w:t>
      </w:r>
      <w:r w:rsidR="00EA314A">
        <w:rPr>
          <w:rFonts w:eastAsiaTheme="minorEastAsia"/>
        </w:rPr>
        <w:t>e calculation domain matches a</w:t>
      </w:r>
      <w:r w:rsidR="00830FE3">
        <w:rPr>
          <w:rFonts w:eastAsiaTheme="minorEastAsia"/>
        </w:rPr>
        <w:t xml:space="preserve"> critical stress</w:t>
      </w:r>
      <w:r w:rsidR="00EA314A">
        <w:rPr>
          <w:rFonts w:eastAsiaTheme="minorEastAsia"/>
        </w:rPr>
        <w:t xml:space="preserve"> value</w:t>
      </w:r>
      <w:r w:rsidR="00403E03">
        <w:rPr>
          <w:rFonts w:eastAsiaTheme="minorEastAsia"/>
        </w:rPr>
        <w:t xml:space="preserve"> corresponding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52 000</m:t>
            </m:r>
          </m:num>
          <m:den>
            <m:r>
              <w:rPr>
                <w:rFonts w:ascii="Cambria Math" w:eastAsiaTheme="minorEastAsia" w:hAnsi="Cambria Math"/>
              </w:rPr>
              <m:t>1.5</m:t>
            </m:r>
          </m:den>
        </m:f>
      </m:oMath>
      <w:r w:rsidR="00BC7A4F">
        <w:rPr>
          <w:rFonts w:eastAsiaTheme="minorEastAsia"/>
        </w:rPr>
        <w:t xml:space="preserve"> psi (s</w:t>
      </w:r>
      <w:r w:rsidR="00815E39">
        <w:rPr>
          <w:rFonts w:eastAsiaTheme="minorEastAsia"/>
        </w:rPr>
        <w:t>teel with safety factor of 1.5).</w:t>
      </w:r>
      <w:r w:rsidR="00830FE3">
        <w:rPr>
          <w:rFonts w:eastAsiaTheme="minorEastAsia"/>
        </w:rPr>
        <w:t xml:space="preserve"> </w:t>
      </w:r>
    </w:p>
    <w:p w:rsidR="006208B0" w:rsidRDefault="00CA1EC5" w:rsidP="006208B0">
      <w:pPr>
        <w:rPr>
          <w:rFonts w:eastAsiaTheme="minorEastAsia"/>
        </w:rPr>
      </w:pPr>
      <w:r>
        <w:rPr>
          <w:rFonts w:eastAsiaTheme="minorEastAsia"/>
        </w:rPr>
        <w:t xml:space="preserve">The calculation domain </w:t>
      </w:r>
      <w:r w:rsidR="00830FE3">
        <w:rPr>
          <w:rFonts w:eastAsiaTheme="minorEastAsia"/>
        </w:rPr>
        <w:t>is</w:t>
      </w:r>
      <w:r>
        <w:rPr>
          <w:rFonts w:eastAsiaTheme="minorEastAsia"/>
        </w:rPr>
        <w:t xml:space="preserve"> discretized using 8-noded </w:t>
      </w:r>
      <w:r w:rsidR="00431D11">
        <w:rPr>
          <w:rFonts w:eastAsiaTheme="minorEastAsia"/>
        </w:rPr>
        <w:t>quadratic (serendip</w:t>
      </w:r>
      <w:r>
        <w:rPr>
          <w:rFonts w:eastAsiaTheme="minorEastAsia"/>
        </w:rPr>
        <w:t>ity) elements</w:t>
      </w:r>
      <w:r w:rsidR="00B50049">
        <w:rPr>
          <w:rFonts w:eastAsiaTheme="minorEastAsia"/>
        </w:rPr>
        <w:t xml:space="preserve"> </w:t>
      </w:r>
      <w:r w:rsidR="0002303A">
        <w:rPr>
          <w:rFonts w:eastAsiaTheme="minorEastAsia"/>
        </w:rPr>
        <w:t>in a cylindrical coordinate system</w:t>
      </w:r>
      <w:r w:rsidR="00502546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θ, r ,h</m:t>
        </m:r>
      </m:oMath>
      <w:r w:rsidR="00502546">
        <w:rPr>
          <w:rFonts w:eastAsiaTheme="minorEastAsia"/>
        </w:rPr>
        <w:t>)</w:t>
      </w:r>
      <w:r>
        <w:rPr>
          <w:rFonts w:eastAsiaTheme="minorEastAsia"/>
        </w:rPr>
        <w:t>.</w:t>
      </w:r>
      <w:r w:rsidR="0002303A">
        <w:rPr>
          <w:rFonts w:eastAsiaTheme="minorEastAsia"/>
        </w:rPr>
        <w:t xml:space="preserve"> Due to the assumption of plain stress, the length in </w:t>
      </w:r>
      <m:oMath>
        <m:r>
          <w:rPr>
            <w:rFonts w:ascii="Cambria Math" w:eastAsiaTheme="minorEastAsia" w:hAnsi="Cambria Math"/>
          </w:rPr>
          <m:t>h</m:t>
        </m:r>
      </m:oMath>
      <w:r w:rsidR="0002303A">
        <w:rPr>
          <w:rFonts w:eastAsiaTheme="minorEastAsia"/>
        </w:rPr>
        <w:t xml:space="preserve"> direction (through the page) is assumed to be infinite</w:t>
      </w:r>
      <w:r w:rsidR="001205A2">
        <w:rPr>
          <w:rFonts w:eastAsiaTheme="minorEastAsia"/>
        </w:rPr>
        <w:t>.</w:t>
      </w:r>
      <w:r w:rsidR="00EA6B8C">
        <w:rPr>
          <w:rFonts w:eastAsiaTheme="minorEastAsia"/>
        </w:rPr>
        <w:t xml:space="preserve"> The mesh </w:t>
      </w:r>
      <w:r w:rsidR="004B394B">
        <w:rPr>
          <w:rFonts w:eastAsiaTheme="minorEastAsia"/>
        </w:rPr>
        <w:t>is</w:t>
      </w:r>
      <w:r w:rsidR="00EA6B8C">
        <w:rPr>
          <w:rFonts w:eastAsiaTheme="minorEastAsia"/>
        </w:rPr>
        <w:t xml:space="preserve"> generated using </w:t>
      </w:r>
      <w:r w:rsidR="005936AF">
        <w:rPr>
          <w:rFonts w:eastAsiaTheme="minorEastAsia"/>
        </w:rPr>
        <w:t>Python</w:t>
      </w:r>
      <w:r w:rsidR="00EA6B8C">
        <w:rPr>
          <w:rFonts w:eastAsiaTheme="minorEastAsia"/>
        </w:rPr>
        <w:t>.</w:t>
      </w:r>
      <w:r>
        <w:rPr>
          <w:rFonts w:eastAsiaTheme="minorEastAsia"/>
        </w:rPr>
        <w:t xml:space="preserve"> The effect of mesh refinement is studied</w:t>
      </w:r>
      <w:r w:rsidR="00EA314A">
        <w:rPr>
          <w:rFonts w:eastAsiaTheme="minorEastAsia"/>
        </w:rPr>
        <w:t xml:space="preserve"> </w:t>
      </w:r>
      <w:r w:rsidR="00937081">
        <w:rPr>
          <w:rFonts w:eastAsiaTheme="minorEastAsia"/>
        </w:rPr>
        <w:t xml:space="preserve">by varying the number </w:t>
      </w:r>
      <w:r w:rsidR="00EA314A">
        <w:rPr>
          <w:rFonts w:eastAsiaTheme="minorEastAsia"/>
        </w:rPr>
        <w:t>of elements in the radial</w:t>
      </w:r>
      <w:r w:rsidR="00CD00F0">
        <w:rPr>
          <w:rFonts w:eastAsiaTheme="minorEastAsia"/>
        </w:rPr>
        <w:t xml:space="preserve"> direction</w:t>
      </w:r>
      <w:r w:rsidR="00C91C73">
        <w:rPr>
          <w:rFonts w:eastAsiaTheme="minorEastAsia"/>
        </w:rPr>
        <w:t xml:space="preserve"> between 1 and </w:t>
      </w:r>
      <w:r w:rsidR="00A24D42">
        <w:rPr>
          <w:rFonts w:eastAsiaTheme="minorEastAsia"/>
        </w:rPr>
        <w:t>3</w:t>
      </w:r>
      <w:r w:rsidR="00EA314A">
        <w:rPr>
          <w:rFonts w:eastAsiaTheme="minorEastAsia"/>
        </w:rPr>
        <w:t xml:space="preserve">. </w:t>
      </w:r>
    </w:p>
    <w:p w:rsidR="0065134E" w:rsidRDefault="0065134E" w:rsidP="006208B0">
      <w:pPr>
        <w:rPr>
          <w:rFonts w:eastAsiaTheme="minorEastAsia"/>
        </w:rPr>
      </w:pPr>
    </w:p>
    <w:p w:rsidR="0065134E" w:rsidRDefault="0065134E" w:rsidP="006208B0">
      <w:r>
        <w:rPr>
          <w:noProof/>
          <w:lang w:eastAsia="en-ZW"/>
        </w:rPr>
        <w:drawing>
          <wp:inline distT="0" distB="0" distL="0" distR="0" wp14:anchorId="44FDA77D" wp14:editId="520F44BE">
            <wp:extent cx="4385491" cy="27797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846" cy="278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14A" w:rsidRDefault="00EA314A" w:rsidP="006208B0"/>
    <w:p w:rsidR="00EA314A" w:rsidRDefault="00EA314A" w:rsidP="006208B0"/>
    <w:p w:rsidR="0065134E" w:rsidRDefault="0065134E" w:rsidP="006208B0"/>
    <w:p w:rsidR="0065134E" w:rsidRDefault="0065134E" w:rsidP="006208B0"/>
    <w:p w:rsidR="0065134E" w:rsidRDefault="0065134E" w:rsidP="006208B0"/>
    <w:p w:rsidR="0065134E" w:rsidRDefault="0065134E" w:rsidP="0065134E">
      <w:pPr>
        <w:pStyle w:val="Heading1"/>
      </w:pPr>
      <w:r>
        <w:t>Methods</w:t>
      </w:r>
    </w:p>
    <w:p w:rsidR="0065134E" w:rsidRDefault="0065134E" w:rsidP="0065134E"/>
    <w:p w:rsidR="008C0E19" w:rsidRDefault="008C0E19" w:rsidP="0065134E">
      <w:r>
        <w:t xml:space="preserve">The </w:t>
      </w:r>
      <w:r w:rsidR="004C3692">
        <w:t>configurations for the</w:t>
      </w:r>
      <w:r w:rsidR="00036047">
        <w:t xml:space="preserve"> </w:t>
      </w:r>
      <w:r>
        <w:t xml:space="preserve">model are detailed below. </w:t>
      </w:r>
    </w:p>
    <w:p w:rsidR="008C0E19" w:rsidRDefault="008C0E19" w:rsidP="008C0E19">
      <w:pPr>
        <w:pStyle w:val="Heading2"/>
      </w:pPr>
    </w:p>
    <w:p w:rsidR="008C0E19" w:rsidRDefault="008D1DE4" w:rsidP="008C0E19">
      <w:pPr>
        <w:pStyle w:val="Heading2"/>
      </w:pPr>
      <w:proofErr w:type="spellStart"/>
      <w:r>
        <w:t>Preprocessing</w:t>
      </w:r>
      <w:proofErr w:type="spellEnd"/>
    </w:p>
    <w:p w:rsidR="008C0E19" w:rsidRDefault="008C0E19" w:rsidP="0065134E"/>
    <w:p w:rsidR="008C0E19" w:rsidRDefault="0065134E" w:rsidP="0065134E">
      <w:pPr>
        <w:rPr>
          <w:rFonts w:eastAsiaTheme="minorEastAsia"/>
        </w:rPr>
      </w:pPr>
      <w:r>
        <w:t>The physical parameters for the calculation are shown in Table 1.</w:t>
      </w:r>
      <w:r>
        <w:rPr>
          <w:rFonts w:eastAsiaTheme="minorEastAsia"/>
        </w:rPr>
        <w:t xml:space="preserve">  </w:t>
      </w:r>
      <w:r w:rsidR="008C0E19">
        <w:rPr>
          <w:rFonts w:eastAsiaTheme="minorEastAsia"/>
        </w:rPr>
        <w:t>The discretization of the calculation domain is done according to Table 2.</w:t>
      </w:r>
      <w:r w:rsidR="00827975">
        <w:rPr>
          <w:rFonts w:eastAsiaTheme="minorEastAsia"/>
        </w:rPr>
        <w:t xml:space="preserve"> </w:t>
      </w:r>
      <w:r w:rsidR="00455102">
        <w:rPr>
          <w:rFonts w:eastAsiaTheme="minorEastAsia"/>
        </w:rPr>
        <w:t xml:space="preserve">The </w:t>
      </w:r>
      <w:r w:rsidR="00827975">
        <w:rPr>
          <w:rFonts w:eastAsiaTheme="minorEastAsia"/>
        </w:rPr>
        <w:t>boundary conditions are shown in table 3.</w:t>
      </w:r>
    </w:p>
    <w:p w:rsidR="00827975" w:rsidRPr="008C0E19" w:rsidRDefault="00827975" w:rsidP="0065134E">
      <w:pPr>
        <w:rPr>
          <w:rFonts w:eastAsiaTheme="minorEastAsia"/>
        </w:rPr>
      </w:pPr>
    </w:p>
    <w:p w:rsidR="0065134E" w:rsidRDefault="0065134E" w:rsidP="0065134E">
      <w:r>
        <w:t>Table 1. Physical parameters</w:t>
      </w:r>
      <w:r w:rsidR="00EC63FF">
        <w:t xml:space="preserve"> for all calculation cases</w:t>
      </w:r>
      <w:r w:rsidR="00EA6B8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90"/>
      </w:tblGrid>
      <w:tr w:rsidR="0065134E" w:rsidTr="00262A38">
        <w:tc>
          <w:tcPr>
            <w:tcW w:w="1795" w:type="dxa"/>
          </w:tcPr>
          <w:p w:rsidR="0065134E" w:rsidRDefault="0065134E" w:rsidP="00262A38">
            <w:r>
              <w:t>Young’s modulus</w:t>
            </w:r>
          </w:p>
        </w:tc>
        <w:tc>
          <w:tcPr>
            <w:tcW w:w="1890" w:type="dxa"/>
          </w:tcPr>
          <w:p w:rsidR="0065134E" w:rsidRDefault="0065134E" w:rsidP="00262A38">
            <m:oMath>
              <m:r>
                <w:rPr>
                  <w:rFonts w:ascii="Cambria Math" w:hAnsi="Cambria Math"/>
                </w:rPr>
                <m:t>31⋅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oMath>
            <w:r>
              <w:rPr>
                <w:rFonts w:eastAsiaTheme="minorEastAsia"/>
              </w:rPr>
              <w:t xml:space="preserve"> psi</w:t>
            </w:r>
          </w:p>
        </w:tc>
      </w:tr>
      <w:tr w:rsidR="0065134E" w:rsidTr="00262A38">
        <w:tc>
          <w:tcPr>
            <w:tcW w:w="1795" w:type="dxa"/>
          </w:tcPr>
          <w:p w:rsidR="0065134E" w:rsidRDefault="0065134E" w:rsidP="00262A38">
            <w:r>
              <w:t>Poisson’s ratio</w:t>
            </w:r>
          </w:p>
        </w:tc>
        <w:tc>
          <w:tcPr>
            <w:tcW w:w="1890" w:type="dxa"/>
          </w:tcPr>
          <w:p w:rsidR="0065134E" w:rsidRDefault="0065134E" w:rsidP="00262A38">
            <m:oMathPara>
              <m:oMath>
                <m:r>
                  <w:rPr>
                    <w:rFonts w:ascii="Cambria Math" w:hAnsi="Cambria Math"/>
                  </w:rPr>
                  <m:t>0.3</m:t>
                </m:r>
              </m:oMath>
            </m:oMathPara>
          </w:p>
        </w:tc>
      </w:tr>
      <w:tr w:rsidR="0065134E" w:rsidTr="00262A38">
        <w:tc>
          <w:tcPr>
            <w:tcW w:w="1795" w:type="dxa"/>
          </w:tcPr>
          <w:p w:rsidR="0065134E" w:rsidRDefault="00EC63FF" w:rsidP="00262A38">
            <w:r>
              <w:t>Inner radius a</w:t>
            </w:r>
          </w:p>
        </w:tc>
        <w:tc>
          <w:tcPr>
            <w:tcW w:w="1890" w:type="dxa"/>
          </w:tcPr>
          <w:p w:rsidR="0065134E" w:rsidRDefault="0065134E" w:rsidP="00262A38">
            <m:oMath>
              <m:r>
                <w:rPr>
                  <w:rFonts w:ascii="Cambria Math" w:hAnsi="Cambria Math"/>
                </w:rPr>
                <m:t>6</m:t>
              </m:r>
            </m:oMath>
            <w:r>
              <w:rPr>
                <w:rFonts w:eastAsiaTheme="minorEastAsia"/>
              </w:rPr>
              <w:t xml:space="preserve"> in.</w:t>
            </w:r>
          </w:p>
        </w:tc>
      </w:tr>
      <w:tr w:rsidR="0065134E" w:rsidTr="00262A38">
        <w:tc>
          <w:tcPr>
            <w:tcW w:w="1795" w:type="dxa"/>
          </w:tcPr>
          <w:p w:rsidR="0065134E" w:rsidRDefault="00EC63FF" w:rsidP="00262A38">
            <w:r>
              <w:t>Outer radius b</w:t>
            </w:r>
          </w:p>
        </w:tc>
        <w:tc>
          <w:tcPr>
            <w:tcW w:w="1890" w:type="dxa"/>
          </w:tcPr>
          <w:p w:rsidR="0065134E" w:rsidRDefault="0065134E" w:rsidP="00262A38">
            <m:oMath>
              <m:r>
                <w:rPr>
                  <w:rFonts w:ascii="Cambria Math" w:hAnsi="Cambria Math"/>
                </w:rPr>
                <m:t>7</m:t>
              </m:r>
            </m:oMath>
            <w:r>
              <w:rPr>
                <w:rFonts w:eastAsiaTheme="minorEastAsia"/>
              </w:rPr>
              <w:t xml:space="preserve"> in.</w:t>
            </w:r>
          </w:p>
        </w:tc>
      </w:tr>
      <w:tr w:rsidR="0065134E" w:rsidTr="00262A38">
        <w:tc>
          <w:tcPr>
            <w:tcW w:w="1795" w:type="dxa"/>
          </w:tcPr>
          <w:p w:rsidR="0065134E" w:rsidRDefault="0065134E" w:rsidP="00262A38">
            <w:r>
              <w:t>Tensile strength</w:t>
            </w:r>
          </w:p>
        </w:tc>
        <w:tc>
          <w:tcPr>
            <w:tcW w:w="1890" w:type="dxa"/>
          </w:tcPr>
          <w:p w:rsidR="0065134E" w:rsidRDefault="0065134E" w:rsidP="00262A38">
            <w:p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52⋅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3</m:t>
                  </m:r>
                </m:sup>
              </m:sSup>
            </m:oMath>
            <w:r>
              <w:rPr>
                <w:rFonts w:ascii="Calibri" w:eastAsia="Calibri" w:hAnsi="Calibri" w:cs="Times New Roman"/>
              </w:rPr>
              <w:t xml:space="preserve"> psi</w:t>
            </w:r>
          </w:p>
        </w:tc>
      </w:tr>
      <w:tr w:rsidR="0065134E" w:rsidTr="00262A38">
        <w:tc>
          <w:tcPr>
            <w:tcW w:w="1795" w:type="dxa"/>
          </w:tcPr>
          <w:p w:rsidR="0065134E" w:rsidRDefault="0065134E" w:rsidP="00262A38">
            <w:r>
              <w:t>Safety factor</w:t>
            </w:r>
          </w:p>
        </w:tc>
        <w:tc>
          <w:tcPr>
            <w:tcW w:w="1890" w:type="dxa"/>
          </w:tcPr>
          <w:p w:rsidR="0065134E" w:rsidRDefault="0065134E" w:rsidP="00262A3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1.5</w:t>
            </w:r>
          </w:p>
        </w:tc>
      </w:tr>
      <w:tr w:rsidR="0065134E" w:rsidTr="00262A38">
        <w:tc>
          <w:tcPr>
            <w:tcW w:w="1795" w:type="dxa"/>
          </w:tcPr>
          <w:p w:rsidR="0065134E" w:rsidRDefault="0065134E" w:rsidP="00262A38">
            <w:r>
              <w:t>Critical stress</w:t>
            </w:r>
          </w:p>
        </w:tc>
        <w:tc>
          <w:tcPr>
            <w:tcW w:w="1890" w:type="dxa"/>
          </w:tcPr>
          <w:p w:rsidR="0065134E" w:rsidRDefault="00877D67" w:rsidP="00262A38">
            <w:p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3</m:t>
              </m:r>
              <m:r>
                <w:rPr>
                  <w:rFonts w:ascii="Cambria Math" w:eastAsia="Calibri" w:hAnsi="Cambria Math" w:cs="Times New Roman"/>
                </w:rPr>
                <m:t>4</m:t>
              </m:r>
              <m:r>
                <w:rPr>
                  <w:rFonts w:ascii="Cambria Math" w:eastAsia="Calibri" w:hAnsi="Cambria Math" w:cs="Times New Roman"/>
                </w:rPr>
                <m:t>.</m:t>
              </m:r>
              <m:r>
                <w:rPr>
                  <w:rFonts w:ascii="Cambria Math" w:eastAsia="Calibri" w:hAnsi="Cambria Math" w:cs="Times New Roman"/>
                </w:rPr>
                <m:t>6</m:t>
              </m:r>
              <m:r>
                <w:rPr>
                  <w:rFonts w:ascii="Cambria Math" w:eastAsia="Calibri" w:hAnsi="Cambria Math" w:cs="Times New Roman"/>
                </w:rPr>
                <m:t>66</m:t>
              </m:r>
              <m:r>
                <w:rPr>
                  <w:rFonts w:ascii="Cambria Math" w:eastAsia="Calibri" w:hAnsi="Cambria Math" w:cs="Times New Roman"/>
                </w:rPr>
                <m:t>7⋅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3</m:t>
                  </m:r>
                </m:sup>
              </m:sSup>
            </m:oMath>
            <w:r w:rsidR="0065134E">
              <w:rPr>
                <w:rFonts w:ascii="Calibri" w:eastAsia="Calibri" w:hAnsi="Calibri" w:cs="Times New Roman"/>
              </w:rPr>
              <w:t xml:space="preserve"> psi</w:t>
            </w:r>
          </w:p>
        </w:tc>
      </w:tr>
    </w:tbl>
    <w:p w:rsidR="00804246" w:rsidRDefault="0065134E" w:rsidP="008C0E19">
      <w:r>
        <w:t xml:space="preserve"> </w:t>
      </w:r>
    </w:p>
    <w:p w:rsidR="0065134E" w:rsidRDefault="0065134E" w:rsidP="0065134E">
      <w:r>
        <w:t>Table 2. Discretization of calculation domain</w:t>
      </w:r>
      <w:r w:rsidR="00EA6B8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90"/>
        <w:gridCol w:w="1890"/>
      </w:tblGrid>
      <w:tr w:rsidR="00D83CA0" w:rsidTr="00EE6DED">
        <w:tc>
          <w:tcPr>
            <w:tcW w:w="1795" w:type="dxa"/>
          </w:tcPr>
          <w:p w:rsidR="00D83CA0" w:rsidRDefault="00D83CA0" w:rsidP="00262A38">
            <w:r>
              <w:t>Calculation case</w:t>
            </w:r>
          </w:p>
        </w:tc>
        <w:tc>
          <w:tcPr>
            <w:tcW w:w="3780" w:type="dxa"/>
            <w:gridSpan w:val="2"/>
          </w:tcPr>
          <w:p w:rsidR="00D83CA0" w:rsidRDefault="00D83CA0" w:rsidP="00262A3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Number of elements</w:t>
            </w:r>
          </w:p>
        </w:tc>
      </w:tr>
      <w:tr w:rsidR="0065134E" w:rsidTr="00262A38">
        <w:tc>
          <w:tcPr>
            <w:tcW w:w="1795" w:type="dxa"/>
          </w:tcPr>
          <w:p w:rsidR="0065134E" w:rsidRDefault="0065134E" w:rsidP="00262A38"/>
        </w:tc>
        <w:tc>
          <w:tcPr>
            <w:tcW w:w="1890" w:type="dxa"/>
          </w:tcPr>
          <w:p w:rsidR="0065134E" w:rsidRDefault="0065134E" w:rsidP="00262A3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Axial  </w:t>
            </w:r>
            <m:oMath>
              <m:r>
                <w:rPr>
                  <w:rFonts w:ascii="Cambria Math" w:eastAsia="Calibri" w:hAnsi="Cambria Math" w:cs="Times New Roman"/>
                </w:rPr>
                <m:t>(θ)</m:t>
              </m:r>
            </m:oMath>
          </w:p>
        </w:tc>
        <w:tc>
          <w:tcPr>
            <w:tcW w:w="1890" w:type="dxa"/>
          </w:tcPr>
          <w:p w:rsidR="0065134E" w:rsidRDefault="0065134E" w:rsidP="00262A3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Radial </w:t>
            </w:r>
            <m:oMath>
              <m:r>
                <w:rPr>
                  <w:rFonts w:ascii="Cambria Math" w:eastAsia="Calibri" w:hAnsi="Cambria Math" w:cs="Times New Roman"/>
                </w:rPr>
                <m:t xml:space="preserve">(r) </m:t>
              </m:r>
            </m:oMath>
          </w:p>
        </w:tc>
      </w:tr>
      <w:tr w:rsidR="0065134E" w:rsidTr="00262A38">
        <w:tc>
          <w:tcPr>
            <w:tcW w:w="1795" w:type="dxa"/>
          </w:tcPr>
          <w:p w:rsidR="0065134E" w:rsidRDefault="0065134E" w:rsidP="00262A38">
            <w:r>
              <w:t>Case A</w:t>
            </w:r>
          </w:p>
        </w:tc>
        <w:tc>
          <w:tcPr>
            <w:tcW w:w="1890" w:type="dxa"/>
          </w:tcPr>
          <w:p w:rsidR="0065134E" w:rsidRDefault="0065134E" w:rsidP="00262A3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1890" w:type="dxa"/>
          </w:tcPr>
          <w:p w:rsidR="0065134E" w:rsidRDefault="0065134E" w:rsidP="00262A3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65134E" w:rsidTr="00262A38">
        <w:tc>
          <w:tcPr>
            <w:tcW w:w="1795" w:type="dxa"/>
          </w:tcPr>
          <w:p w:rsidR="0065134E" w:rsidRDefault="0065134E" w:rsidP="00262A38">
            <w:r>
              <w:t>Case B</w:t>
            </w:r>
          </w:p>
        </w:tc>
        <w:tc>
          <w:tcPr>
            <w:tcW w:w="1890" w:type="dxa"/>
          </w:tcPr>
          <w:p w:rsidR="0065134E" w:rsidRDefault="0065134E" w:rsidP="00262A3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1890" w:type="dxa"/>
          </w:tcPr>
          <w:p w:rsidR="0065134E" w:rsidRDefault="0065134E" w:rsidP="00262A3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</w:tr>
      <w:tr w:rsidR="0065134E" w:rsidTr="00262A38">
        <w:tc>
          <w:tcPr>
            <w:tcW w:w="1795" w:type="dxa"/>
          </w:tcPr>
          <w:p w:rsidR="0065134E" w:rsidRDefault="0065134E" w:rsidP="00262A38">
            <w:r>
              <w:t>Case C</w:t>
            </w:r>
          </w:p>
        </w:tc>
        <w:tc>
          <w:tcPr>
            <w:tcW w:w="1890" w:type="dxa"/>
          </w:tcPr>
          <w:p w:rsidR="0065134E" w:rsidRDefault="0065134E" w:rsidP="00262A3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1890" w:type="dxa"/>
          </w:tcPr>
          <w:p w:rsidR="0065134E" w:rsidRDefault="0065134E" w:rsidP="00262A3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</w:tr>
    </w:tbl>
    <w:p w:rsidR="00CA1EC5" w:rsidRDefault="00CA1EC5" w:rsidP="006208B0"/>
    <w:p w:rsidR="00827975" w:rsidRDefault="00827975" w:rsidP="00827975">
      <w:r>
        <w:t xml:space="preserve">Table 3. </w:t>
      </w:r>
      <w:r w:rsidR="008D0396">
        <w:t xml:space="preserve"> B</w:t>
      </w:r>
      <w:r>
        <w:t>oundary conditions</w:t>
      </w:r>
      <w:r w:rsidR="008D0396">
        <w:t xml:space="preserve"> for the calculation</w:t>
      </w:r>
      <w:r w:rsidR="005A0407">
        <w:t xml:space="preserve">. </w:t>
      </w:r>
      <m:oMath>
        <m:r>
          <w:rPr>
            <w:rFonts w:ascii="Cambria Math" w:hAnsi="Cambria Math"/>
          </w:rPr>
          <m:t>u</m:t>
        </m:r>
      </m:oMath>
      <w:r w:rsidR="005A0407">
        <w:rPr>
          <w:rFonts w:eastAsiaTheme="minorEastAsia"/>
        </w:rPr>
        <w:t xml:space="preserve"> </w:t>
      </w:r>
      <w:proofErr w:type="gramStart"/>
      <w:r w:rsidR="005A0407">
        <w:rPr>
          <w:rFonts w:eastAsiaTheme="minorEastAsia"/>
        </w:rPr>
        <w:t>is</w:t>
      </w:r>
      <w:proofErr w:type="gramEnd"/>
      <w:r w:rsidR="005A0407">
        <w:rPr>
          <w:rFonts w:eastAsiaTheme="minorEastAsia"/>
        </w:rPr>
        <w:t xml:space="preserve"> the displacement in </w:t>
      </w:r>
      <w:r w:rsidR="006D7102"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x</m:t>
        </m:r>
      </m:oMath>
      <w:r w:rsidR="005A0407">
        <w:rPr>
          <w:rFonts w:eastAsiaTheme="minorEastAsia"/>
        </w:rPr>
        <w:t xml:space="preserve">-direction. </w:t>
      </w:r>
      <m:oMath>
        <m:r>
          <w:rPr>
            <w:rFonts w:ascii="Cambria Math" w:eastAsiaTheme="minorEastAsia" w:hAnsi="Cambria Math"/>
          </w:rPr>
          <m:t>v</m:t>
        </m:r>
      </m:oMath>
      <w:r w:rsidR="005A0407">
        <w:rPr>
          <w:rFonts w:eastAsiaTheme="minorEastAsia"/>
        </w:rPr>
        <w:t xml:space="preserve"> </w:t>
      </w:r>
      <w:proofErr w:type="gramStart"/>
      <w:r w:rsidR="005A0407">
        <w:rPr>
          <w:rFonts w:eastAsiaTheme="minorEastAsia"/>
        </w:rPr>
        <w:t>is</w:t>
      </w:r>
      <w:proofErr w:type="gramEnd"/>
      <w:r w:rsidR="005A0407">
        <w:rPr>
          <w:rFonts w:eastAsiaTheme="minorEastAsia"/>
        </w:rPr>
        <w:t xml:space="preserve"> the displacement in</w:t>
      </w:r>
      <w:r w:rsidR="006D7102">
        <w:rPr>
          <w:rFonts w:eastAsiaTheme="minorEastAsia"/>
        </w:rPr>
        <w:t xml:space="preserve"> the</w:t>
      </w:r>
      <w:r w:rsidR="005A040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="006D7102">
        <w:rPr>
          <w:rFonts w:eastAsiaTheme="minorEastAsia"/>
        </w:rPr>
        <w:t>-direction.</w:t>
      </w:r>
      <w:r w:rsidR="007110A5">
        <w:rPr>
          <w:rFonts w:eastAsiaTheme="minor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  <w:gridCol w:w="2880"/>
      </w:tblGrid>
      <w:tr w:rsidR="00D05201" w:rsidTr="009D7B14">
        <w:tc>
          <w:tcPr>
            <w:tcW w:w="2070" w:type="dxa"/>
          </w:tcPr>
          <w:p w:rsidR="00D05201" w:rsidRDefault="00D05201" w:rsidP="000244F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Location</w:t>
            </w:r>
          </w:p>
        </w:tc>
        <w:tc>
          <w:tcPr>
            <w:tcW w:w="2880" w:type="dxa"/>
          </w:tcPr>
          <w:p w:rsidR="00D05201" w:rsidRDefault="00D05201" w:rsidP="000244F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Condition</w:t>
            </w:r>
          </w:p>
        </w:tc>
      </w:tr>
      <w:tr w:rsidR="00D05201" w:rsidTr="009D7B14">
        <w:tc>
          <w:tcPr>
            <w:tcW w:w="2070" w:type="dxa"/>
          </w:tcPr>
          <w:p w:rsidR="00D05201" w:rsidRDefault="00D05201" w:rsidP="000244F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θ=0</m:t>
                </m:r>
              </m:oMath>
            </m:oMathPara>
          </w:p>
        </w:tc>
        <w:tc>
          <w:tcPr>
            <w:tcW w:w="2880" w:type="dxa"/>
          </w:tcPr>
          <w:p w:rsidR="00D05201" w:rsidRDefault="00D05201" w:rsidP="000244F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v=0</m:t>
                </m:r>
              </m:oMath>
            </m:oMathPara>
          </w:p>
        </w:tc>
      </w:tr>
      <w:tr w:rsidR="00D05201" w:rsidTr="009D7B14">
        <w:trPr>
          <w:trHeight w:val="341"/>
        </w:trPr>
        <w:tc>
          <w:tcPr>
            <w:tcW w:w="2070" w:type="dxa"/>
          </w:tcPr>
          <w:p w:rsidR="00D05201" w:rsidRDefault="00D05201" w:rsidP="000244F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θ=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880" w:type="dxa"/>
          </w:tcPr>
          <w:p w:rsidR="00D05201" w:rsidRDefault="00D05201" w:rsidP="000244F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u=0</m:t>
                </m:r>
              </m:oMath>
            </m:oMathPara>
          </w:p>
        </w:tc>
      </w:tr>
    </w:tbl>
    <w:p w:rsidR="00827975" w:rsidRDefault="00827975" w:rsidP="006208B0"/>
    <w:p w:rsidR="007773A4" w:rsidRDefault="007773A4" w:rsidP="006208B0"/>
    <w:p w:rsidR="007773A4" w:rsidRDefault="007773A4" w:rsidP="006208B0"/>
    <w:p w:rsidR="007773A4" w:rsidRDefault="007773A4" w:rsidP="006208B0"/>
    <w:p w:rsidR="003946E0" w:rsidRDefault="003946E0" w:rsidP="006208B0"/>
    <w:p w:rsidR="00EA6B8C" w:rsidRDefault="00AE7779" w:rsidP="00EA6B8C">
      <w:pPr>
        <w:pStyle w:val="Heading2"/>
      </w:pPr>
      <w:r>
        <w:lastRenderedPageBreak/>
        <w:t>Processing</w:t>
      </w:r>
    </w:p>
    <w:p w:rsidR="00EA6B8C" w:rsidRDefault="00EA6B8C" w:rsidP="00EA6B8C"/>
    <w:p w:rsidR="00EA6B8C" w:rsidRDefault="00827975" w:rsidP="0091542D">
      <w:r>
        <w:t xml:space="preserve">The </w:t>
      </w:r>
      <w:r w:rsidR="00F108DA">
        <w:t>input file for MESH2D.exe is generated using a python script.</w:t>
      </w:r>
    </w:p>
    <w:p w:rsidR="003A6E81" w:rsidRDefault="003A6E81" w:rsidP="0091542D">
      <w:r>
        <w:t>The conversion from cylindrical coordinates to Cartesian coordinates is done in the following way:</w:t>
      </w:r>
    </w:p>
    <w:p w:rsidR="003A6E81" w:rsidRPr="003A6E81" w:rsidRDefault="003A6E81" w:rsidP="0091542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x=rcos(θ)</m:t>
          </m:r>
        </m:oMath>
      </m:oMathPara>
    </w:p>
    <w:p w:rsidR="003A6E81" w:rsidRDefault="003A6E81" w:rsidP="0091542D">
      <m:oMathPara>
        <m:oMath>
          <m:r>
            <w:rPr>
              <w:rFonts w:ascii="Cambria Math" w:hAnsi="Cambria Math"/>
            </w:rPr>
            <m:t>y=rsin(θ)</m:t>
          </m:r>
        </m:oMath>
      </m:oMathPara>
    </w:p>
    <w:p w:rsidR="000B39CF" w:rsidRDefault="00FD0B59" w:rsidP="0091542D">
      <w:r>
        <w:t>The hoop-wise uniform</w:t>
      </w:r>
      <w:r w:rsidR="000B39CF">
        <w:t xml:space="preserve"> distributed force vector for an element is given by</w:t>
      </w:r>
    </w:p>
    <w:p w:rsidR="000B39CF" w:rsidRDefault="00744DED" w:rsidP="0091542D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2Δ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⋅p</m:t>
                </m:r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2Δ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⋅p</m:t>
                </m:r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2Δ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⋅p</m:t>
                </m:r>
              </m:e>
            </m:mr>
          </m:m>
        </m:oMath>
      </m:oMathPara>
    </w:p>
    <w:p w:rsidR="00274CE4" w:rsidRDefault="007A1B19" w:rsidP="00EA6B8C">
      <w:r>
        <w:t>These must be converted to Cartesian coordinates for the solver</w:t>
      </w:r>
      <w:r w:rsidR="00360865">
        <w:t>. In the x-direction:</w:t>
      </w:r>
    </w:p>
    <w:p w:rsidR="007A1B19" w:rsidRDefault="007A1B19" w:rsidP="00EA6B8C"/>
    <w:p w:rsidR="00360865" w:rsidRDefault="00744DED" w:rsidP="003608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2Δ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⋅p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</m:t>
                </m:r>
                <m:r>
                  <w:rPr>
                    <w:rFonts w:ascii="Cambria Math" w:eastAsiaTheme="minorEastAsia" w:hAnsi="Cambria Math"/>
                  </w:rPr>
                  <m:t>(θ)</m:t>
                </m:r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2Δ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⋅p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</m:t>
                </m:r>
                <m:r>
                  <w:rPr>
                    <w:rFonts w:ascii="Cambria Math" w:eastAsiaTheme="minorEastAsia" w:hAnsi="Cambria Math"/>
                  </w:rPr>
                  <m:t>(θ)</m:t>
                </m:r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2Δ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⋅p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</m:t>
                </m:r>
                <m:r>
                  <w:rPr>
                    <w:rFonts w:ascii="Cambria Math" w:eastAsiaTheme="minorEastAsia" w:hAnsi="Cambria Math"/>
                  </w:rPr>
                  <m:t>(θ)</m:t>
                </m:r>
              </m:e>
            </m:mr>
          </m:m>
        </m:oMath>
      </m:oMathPara>
    </w:p>
    <w:p w:rsidR="007A1B19" w:rsidRDefault="00360865" w:rsidP="00EA6B8C">
      <w:r>
        <w:t>In the y=direction:</w:t>
      </w:r>
    </w:p>
    <w:p w:rsidR="00360865" w:rsidRDefault="00744DED" w:rsidP="003608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2Δ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⋅p⋅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(θ)</m:t>
                </m:r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2Δ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⋅p⋅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(θ)</m:t>
                </m:r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θ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⋅p⋅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(θ)</m:t>
                </m:r>
              </m:e>
            </m:mr>
          </m:m>
        </m:oMath>
      </m:oMathPara>
    </w:p>
    <w:p w:rsidR="00360865" w:rsidRDefault="00360865" w:rsidP="00EA6B8C"/>
    <w:p w:rsidR="007A1B19" w:rsidRPr="00EA6B8C" w:rsidRDefault="00D2765E" w:rsidP="00EA6B8C">
      <w:r>
        <w:br w:type="page"/>
      </w:r>
    </w:p>
    <w:p w:rsidR="00853718" w:rsidRDefault="00853718" w:rsidP="00853718">
      <w:pPr>
        <w:pStyle w:val="Heading2"/>
      </w:pPr>
      <w:r>
        <w:lastRenderedPageBreak/>
        <w:t>Post Processor</w:t>
      </w:r>
    </w:p>
    <w:p w:rsidR="00274CE4" w:rsidRDefault="00274CE4" w:rsidP="00274CE4"/>
    <w:p w:rsidR="00274CE4" w:rsidRDefault="00274CE4" w:rsidP="00274CE4">
      <w:pPr>
        <w:rPr>
          <w:rFonts w:eastAsiaTheme="minorEastAsia"/>
        </w:rPr>
      </w:pPr>
      <w:r>
        <w:t>The</w:t>
      </w:r>
      <w:r w:rsidR="002C0713">
        <w:t xml:space="preserve"> internal pressure </w:t>
      </w:r>
      <m:oMath>
        <m:r>
          <w:rPr>
            <w:rFonts w:ascii="Cambria Math" w:hAnsi="Cambria Math"/>
          </w:rPr>
          <m:t>p</m:t>
        </m:r>
      </m:oMath>
      <w:r w:rsidR="002C0713">
        <w:rPr>
          <w:rFonts w:eastAsiaTheme="minorEastAsia"/>
        </w:rPr>
        <w:t xml:space="preserve"> which results in the maximum stress for the domain equalling the critical stress value is found using bisection.</w:t>
      </w:r>
      <w:r w:rsidR="00E10D60">
        <w:rPr>
          <w:rFonts w:eastAsiaTheme="minorEastAsia"/>
        </w:rPr>
        <w:t xml:space="preserve"> The iteration is stopp</w:t>
      </w:r>
      <w:r w:rsidR="001F6D65">
        <w:rPr>
          <w:rFonts w:eastAsiaTheme="minorEastAsia"/>
        </w:rPr>
        <w:t xml:space="preserve">ed when the residual is under </w:t>
      </w:r>
      <w:r w:rsidR="0002230E">
        <w:rPr>
          <w:rFonts w:eastAsiaTheme="minorEastAsia"/>
        </w:rPr>
        <w:t>100</w:t>
      </w:r>
      <w:r w:rsidR="00E10D60">
        <w:rPr>
          <w:rFonts w:eastAsiaTheme="minorEastAsia"/>
        </w:rPr>
        <w:t xml:space="preserve"> psi.</w:t>
      </w:r>
    </w:p>
    <w:p w:rsidR="002C0713" w:rsidRPr="00274CE4" w:rsidRDefault="002C0713" w:rsidP="00274CE4">
      <w:r>
        <w:rPr>
          <w:rFonts w:eastAsiaTheme="minorEastAsia"/>
        </w:rPr>
        <w:t xml:space="preserve">The initial guess is </w:t>
      </w:r>
      <m:oMath>
        <m:r>
          <w:rPr>
            <w:rFonts w:ascii="Cambria Math" w:eastAsiaTheme="minorEastAsia" w:hAnsi="Cambria Math"/>
          </w:rPr>
          <m:t>p=10000</m:t>
        </m:r>
      </m:oMath>
      <w:r>
        <w:rPr>
          <w:rFonts w:eastAsiaTheme="minorEastAsia"/>
        </w:rPr>
        <w:t xml:space="preserve"> psi. </w:t>
      </w:r>
    </w:p>
    <w:p w:rsidR="00853718" w:rsidRDefault="00EA5D22" w:rsidP="00853718">
      <w:r>
        <w:t>The results are analysed using a Python script.</w:t>
      </w:r>
    </w:p>
    <w:p w:rsidR="00853718" w:rsidRDefault="00853718" w:rsidP="00853718">
      <w:pPr>
        <w:pStyle w:val="Heading2"/>
      </w:pPr>
      <w:r>
        <w:t>Analytical Solution</w:t>
      </w:r>
    </w:p>
    <w:p w:rsidR="00671EE0" w:rsidRDefault="00671EE0" w:rsidP="00853718"/>
    <w:p w:rsidR="00853718" w:rsidRDefault="00671EE0" w:rsidP="00853718">
      <w:r>
        <w:t xml:space="preserve">The analytical solutions for the stresses are given below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as outer radius,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as inner radius, as a function of </w:t>
      </w:r>
      <w:proofErr w:type="gramStart"/>
      <w:r>
        <w:rPr>
          <w:rFonts w:eastAsiaTheme="minorEastAsia"/>
        </w:rPr>
        <w:t xml:space="preserve">radius </w:t>
      </w:r>
      <w:proofErr w:type="gramEnd"/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:rsidR="00FF49EE" w:rsidRDefault="00FF49EE" w:rsidP="00853718">
      <w:r>
        <w:t>The analytical solution for</w:t>
      </w:r>
      <w:r w:rsidR="00063034">
        <w:rPr>
          <w:rFonts w:eastAsiaTheme="minorEastAsia"/>
        </w:rPr>
        <w:t xml:space="preserve"> radial</w:t>
      </w:r>
      <w:r w:rsidR="003B4747">
        <w:rPr>
          <w:rFonts w:eastAsiaTheme="minorEastAsia"/>
        </w:rPr>
        <w:t xml:space="preserve"> stress:</w:t>
      </w:r>
      <w:r w:rsidR="00F43EB9">
        <w:t xml:space="preserve"> </w:t>
      </w:r>
    </w:p>
    <w:p w:rsidR="00A704E6" w:rsidRPr="00541C30" w:rsidRDefault="00744DED" w:rsidP="008537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58415D" w:rsidRDefault="0058415D" w:rsidP="00853718">
      <w:pPr>
        <w:rPr>
          <w:rFonts w:eastAsiaTheme="minorEastAsia"/>
        </w:rPr>
      </w:pPr>
    </w:p>
    <w:p w:rsidR="00541C30" w:rsidRDefault="00541C30" w:rsidP="00853718">
      <w:pPr>
        <w:rPr>
          <w:rFonts w:eastAsiaTheme="minorEastAsia"/>
        </w:rPr>
      </w:pPr>
      <w:r>
        <w:rPr>
          <w:rFonts w:eastAsiaTheme="minorEastAsia"/>
        </w:rPr>
        <w:t>The maximum</w:t>
      </w:r>
      <w:r w:rsidR="0058415D"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is achieved when </w:t>
      </w:r>
      <m:oMath>
        <m:r>
          <w:rPr>
            <w:rFonts w:ascii="Cambria Math" w:eastAsiaTheme="minorEastAsia" w:hAnsi="Cambria Math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:rsidR="0058415D" w:rsidRDefault="00744DED" w:rsidP="008537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=p</m:t>
          </m:r>
        </m:oMath>
      </m:oMathPara>
    </w:p>
    <w:p w:rsidR="00541C30" w:rsidRDefault="00541C30" w:rsidP="00853718">
      <w:pPr>
        <w:rPr>
          <w:rFonts w:eastAsiaTheme="minorEastAsia"/>
        </w:rPr>
      </w:pPr>
    </w:p>
    <w:p w:rsidR="00BE0332" w:rsidRDefault="00063034" w:rsidP="00853718">
      <w:pPr>
        <w:rPr>
          <w:rFonts w:eastAsiaTheme="minorEastAsia"/>
        </w:rPr>
      </w:pPr>
      <w:r>
        <w:rPr>
          <w:rFonts w:eastAsiaTheme="minorEastAsia"/>
        </w:rPr>
        <w:t>The analytical solution for hoop</w:t>
      </w:r>
      <w:r w:rsidR="00F43EB9">
        <w:rPr>
          <w:rFonts w:eastAsiaTheme="minorEastAsia"/>
        </w:rPr>
        <w:t xml:space="preserve"> stress:</w:t>
      </w:r>
    </w:p>
    <w:p w:rsidR="00506650" w:rsidRPr="00506650" w:rsidRDefault="00744DED" w:rsidP="003B47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506650" w:rsidRDefault="00506650" w:rsidP="003B4747">
      <w:pPr>
        <w:rPr>
          <w:rFonts w:eastAsiaTheme="minorEastAsia"/>
        </w:rPr>
      </w:pPr>
    </w:p>
    <w:p w:rsidR="00F43EB9" w:rsidRDefault="00506650" w:rsidP="00853718">
      <w:pPr>
        <w:rPr>
          <w:rFonts w:eastAsiaTheme="minorEastAsia"/>
        </w:rPr>
      </w:pPr>
      <w:r>
        <w:rPr>
          <w:rFonts w:eastAsiaTheme="minorEastAsia"/>
        </w:rPr>
        <w:t xml:space="preserve">The maximum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</m:oMath>
      <w:r>
        <w:rPr>
          <w:rFonts w:eastAsiaTheme="minorEastAsia"/>
        </w:rPr>
        <w:t xml:space="preserve"> is achieved when </w:t>
      </w:r>
      <m:oMath>
        <m:r>
          <w:rPr>
            <w:rFonts w:ascii="Cambria Math" w:eastAsiaTheme="minorEastAsia" w:hAnsi="Cambria Math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506650" w:rsidRDefault="00744DED" w:rsidP="008537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θ,r=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den>
          </m:f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 xml:space="preserve">6.5385⋅ </m:t>
          </m:r>
          <m:r>
            <w:rPr>
              <w:rFonts w:ascii="Cambria Math" w:eastAsiaTheme="minorEastAsia" w:hAnsi="Cambria Math"/>
            </w:rPr>
            <m:t>p</m:t>
          </m:r>
        </m:oMath>
      </m:oMathPara>
    </w:p>
    <w:p w:rsidR="00506650" w:rsidRDefault="00506650" w:rsidP="00853718">
      <w:pPr>
        <w:rPr>
          <w:rFonts w:eastAsiaTheme="minorEastAsia"/>
        </w:rPr>
      </w:pPr>
    </w:p>
    <w:p w:rsidR="00F43EB9" w:rsidRDefault="00F577EC" w:rsidP="00853718">
      <w:pPr>
        <w:rPr>
          <w:rFonts w:eastAsiaTheme="minorEastAsia"/>
        </w:rPr>
      </w:pPr>
      <w:r>
        <w:rPr>
          <w:rFonts w:eastAsiaTheme="minorEastAsia"/>
        </w:rPr>
        <w:t>The analytical solution for</w:t>
      </w:r>
      <w:r w:rsidR="00F43EB9">
        <w:rPr>
          <w:rFonts w:eastAsiaTheme="minorEastAsia"/>
        </w:rPr>
        <w:t xml:space="preserve"> </w:t>
      </w:r>
      <w:r w:rsidR="00BE0332">
        <w:rPr>
          <w:rFonts w:eastAsiaTheme="minorEastAsia"/>
        </w:rPr>
        <w:t>axial stress:</w:t>
      </w:r>
    </w:p>
    <w:p w:rsidR="00BE0332" w:rsidRDefault="00BE0332" w:rsidP="00853718">
      <w:pPr>
        <w:rPr>
          <w:rFonts w:eastAsiaTheme="minorEastAsia"/>
        </w:rPr>
      </w:pPr>
    </w:p>
    <w:p w:rsidR="00BE0332" w:rsidRPr="00E828B1" w:rsidRDefault="00744DED" w:rsidP="008537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=-ν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2ν⋅p⋅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≈1.3846⋅p</m:t>
          </m:r>
        </m:oMath>
      </m:oMathPara>
    </w:p>
    <w:p w:rsidR="00E828B1" w:rsidRDefault="00E828B1" w:rsidP="00853718"/>
    <w:p w:rsidR="00FF49EE" w:rsidRDefault="00FF49EE" w:rsidP="00853718"/>
    <w:p w:rsidR="00853718" w:rsidRPr="00853718" w:rsidRDefault="00DF18B9" w:rsidP="00853718">
      <w:r>
        <w:br w:type="page"/>
      </w:r>
    </w:p>
    <w:p w:rsidR="00853718" w:rsidRDefault="004A4975" w:rsidP="004A4975">
      <w:pPr>
        <w:pStyle w:val="Heading1"/>
      </w:pPr>
      <w:r>
        <w:lastRenderedPageBreak/>
        <w:t>Results</w:t>
      </w:r>
      <w:r w:rsidR="00002223">
        <w:t xml:space="preserve"> and Discussion</w:t>
      </w:r>
    </w:p>
    <w:p w:rsidR="004A4975" w:rsidRDefault="004A4975" w:rsidP="004A4975"/>
    <w:p w:rsidR="00FA06A9" w:rsidRDefault="00FA06A9" w:rsidP="004A4975">
      <w:r>
        <w:t xml:space="preserve">The value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p</m:t>
        </m:r>
      </m:oMath>
      <w:r w:rsidR="00F40A02">
        <w:rPr>
          <w:rFonts w:eastAsiaTheme="minorEastAsia"/>
        </w:rPr>
        <w:t xml:space="preserve">, which results in a  hoop stress </w:t>
      </w:r>
      <w:r w:rsidR="0002230E">
        <w:rPr>
          <w:rFonts w:eastAsiaTheme="minorEastAsia"/>
        </w:rPr>
        <w:t>within 100 psi of the critical stress</w:t>
      </w:r>
      <w:r w:rsidR="00F40A02">
        <w:rPr>
          <w:rFonts w:eastAsiaTheme="minorEastAsia"/>
        </w:rPr>
        <w:t xml:space="preserve"> </w:t>
      </w:r>
      <m:oMath>
        <m:r>
          <w:rPr>
            <w:rFonts w:ascii="Cambria Math" w:eastAsia="Calibri" w:hAnsi="Cambria Math" w:cs="Times New Roman"/>
          </w:rPr>
          <m:t>34.6667⋅</m:t>
        </m:r>
        <m:sSup>
          <m:sSupPr>
            <m:ctrlPr>
              <w:rPr>
                <w:rFonts w:ascii="Cambria Math" w:eastAsia="Calibri" w:hAnsi="Cambria Math" w:cs="Times New Roman"/>
                <w:i/>
              </w:rPr>
            </m:ctrlPr>
          </m:sSupPr>
          <m:e>
            <m:r>
              <w:rPr>
                <w:rFonts w:ascii="Cambria Math" w:eastAsia="Calibri" w:hAnsi="Cambria Math" w:cs="Times New Roman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</w:rPr>
              <m:t>3</m:t>
            </m:r>
          </m:sup>
        </m:sSup>
      </m:oMath>
      <w:r w:rsidR="0002230E">
        <w:rPr>
          <w:rFonts w:ascii="Calibri" w:eastAsia="Calibri" w:hAnsi="Calibri" w:cs="Times New Roman"/>
        </w:rPr>
        <w:t xml:space="preserve"> psi</w:t>
      </w:r>
      <w:r w:rsidR="00F40A02">
        <w:rPr>
          <w:rFonts w:ascii="Calibri" w:eastAsia="Calibri" w:hAnsi="Calibri" w:cs="Times New Roman"/>
        </w:rPr>
        <w:t xml:space="preserve"> psi</w:t>
      </w:r>
      <w:r w:rsidR="00F40A02">
        <w:rPr>
          <w:rFonts w:ascii="Calibri" w:eastAsia="Calibri" w:hAnsi="Calibri" w:cs="Times New Roman"/>
        </w:rPr>
        <w:t xml:space="preserve"> is found to be </w:t>
      </w:r>
      <m:oMath>
        <m:r>
          <w:rPr>
            <w:rFonts w:ascii="Cambria Math" w:eastAsia="Calibri" w:hAnsi="Cambria Math" w:cs="Times New Roman"/>
          </w:rPr>
          <m:t>p=</m:t>
        </m:r>
        <m:r>
          <m:rPr>
            <m:sty m:val="p"/>
          </m:rPr>
          <w:rPr>
            <w:rFonts w:ascii="Cambria Math" w:eastAsia="Calibri" w:hAnsi="Cambria Math" w:cs="Times New Roman"/>
          </w:rPr>
          <m:t>6625</m:t>
        </m:r>
      </m:oMath>
      <w:r w:rsidR="006B0AF3">
        <w:rPr>
          <w:rFonts w:ascii="Calibri" w:eastAsia="Calibri" w:hAnsi="Calibri" w:cs="Times New Roman"/>
        </w:rPr>
        <w:t xml:space="preserve"> psi</w:t>
      </w:r>
    </w:p>
    <w:p w:rsidR="00FA06A9" w:rsidRDefault="00FA06A9" w:rsidP="004A4975">
      <w:r>
        <w:t>Results for the FEM and analytical s</w:t>
      </w:r>
      <w:r w:rsidR="00F40A02">
        <w:t xml:space="preserve">olutions </w:t>
      </w:r>
      <w:r w:rsidR="009D17F3">
        <w:t>are shown in table 4.</w:t>
      </w:r>
    </w:p>
    <w:p w:rsidR="009D17F3" w:rsidRDefault="009D17F3" w:rsidP="004A4975"/>
    <w:p w:rsidR="009D17F3" w:rsidRDefault="00843CCA" w:rsidP="004A4975">
      <w:r>
        <w:t>Table 4. C</w:t>
      </w:r>
      <w:r w:rsidR="009D17F3">
        <w:t xml:space="preserve">omparison between Analytical and </w:t>
      </w:r>
      <w:r w:rsidR="00BF0B6E">
        <w:t>FEM solutions</w:t>
      </w:r>
      <w:r>
        <w:t>. Units in psi</w:t>
      </w:r>
      <w:r w:rsidR="00161CC9">
        <w:t>. Negative sign indicates compression, positive tension.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579"/>
        <w:gridCol w:w="1832"/>
        <w:gridCol w:w="1860"/>
        <w:gridCol w:w="1860"/>
      </w:tblGrid>
      <w:tr w:rsidR="009D17F3" w:rsidTr="009D17F3">
        <w:tc>
          <w:tcPr>
            <w:tcW w:w="1885" w:type="dxa"/>
          </w:tcPr>
          <w:p w:rsidR="009D17F3" w:rsidRDefault="009D17F3" w:rsidP="009D17F3">
            <w:r>
              <w:t xml:space="preserve">Property </w:t>
            </w:r>
          </w:p>
        </w:tc>
        <w:tc>
          <w:tcPr>
            <w:tcW w:w="1579" w:type="dxa"/>
          </w:tcPr>
          <w:p w:rsidR="009D17F3" w:rsidRDefault="009D17F3" w:rsidP="009D17F3">
            <w:r>
              <w:t>1 row element</w:t>
            </w:r>
          </w:p>
        </w:tc>
        <w:tc>
          <w:tcPr>
            <w:tcW w:w="1832" w:type="dxa"/>
          </w:tcPr>
          <w:p w:rsidR="009D17F3" w:rsidRDefault="009D17F3" w:rsidP="009D17F3">
            <w:r>
              <w:t>2 row elements</w:t>
            </w:r>
          </w:p>
        </w:tc>
        <w:tc>
          <w:tcPr>
            <w:tcW w:w="1860" w:type="dxa"/>
          </w:tcPr>
          <w:p w:rsidR="009D17F3" w:rsidRDefault="009D17F3" w:rsidP="009D17F3">
            <w:r>
              <w:t>3 row elements</w:t>
            </w:r>
          </w:p>
        </w:tc>
        <w:tc>
          <w:tcPr>
            <w:tcW w:w="1860" w:type="dxa"/>
          </w:tcPr>
          <w:p w:rsidR="009D17F3" w:rsidRDefault="009D17F3" w:rsidP="009D17F3">
            <w:r>
              <w:t>Analytical</w:t>
            </w:r>
          </w:p>
        </w:tc>
      </w:tr>
      <w:tr w:rsidR="009D17F3" w:rsidTr="009D17F3">
        <w:tc>
          <w:tcPr>
            <w:tcW w:w="1885" w:type="dxa"/>
          </w:tcPr>
          <w:p w:rsidR="009D17F3" w:rsidRDefault="009D17F3" w:rsidP="009D17F3">
            <w:r>
              <w:t>Max Hoop stress</w:t>
            </w:r>
          </w:p>
        </w:tc>
        <w:tc>
          <w:tcPr>
            <w:tcW w:w="1579" w:type="dxa"/>
          </w:tcPr>
          <w:p w:rsidR="009D17F3" w:rsidRDefault="00D46128" w:rsidP="009D17F3">
            <w:r>
              <w:t>34760</w:t>
            </w:r>
          </w:p>
        </w:tc>
        <w:tc>
          <w:tcPr>
            <w:tcW w:w="1832" w:type="dxa"/>
          </w:tcPr>
          <w:p w:rsidR="009D17F3" w:rsidRDefault="00975071" w:rsidP="009D17F3">
            <w:r>
              <w:t>35110</w:t>
            </w:r>
          </w:p>
        </w:tc>
        <w:tc>
          <w:tcPr>
            <w:tcW w:w="1860" w:type="dxa"/>
          </w:tcPr>
          <w:p w:rsidR="009D17F3" w:rsidRDefault="0008166D" w:rsidP="009D17F3">
            <w:r>
              <w:t>35270</w:t>
            </w:r>
          </w:p>
        </w:tc>
        <w:tc>
          <w:tcPr>
            <w:tcW w:w="1860" w:type="dxa"/>
          </w:tcPr>
          <w:p w:rsidR="009D17F3" w:rsidRDefault="004E35BA" w:rsidP="009D17F3">
            <w:r>
              <w:t>42300</w:t>
            </w:r>
          </w:p>
        </w:tc>
      </w:tr>
      <w:tr w:rsidR="009D17F3" w:rsidTr="009D17F3">
        <w:tc>
          <w:tcPr>
            <w:tcW w:w="1885" w:type="dxa"/>
          </w:tcPr>
          <w:p w:rsidR="009D17F3" w:rsidRDefault="009D17F3" w:rsidP="009D17F3">
            <w:r>
              <w:t>Max rad. stress</w:t>
            </w:r>
          </w:p>
        </w:tc>
        <w:tc>
          <w:tcPr>
            <w:tcW w:w="1579" w:type="dxa"/>
          </w:tcPr>
          <w:p w:rsidR="009D17F3" w:rsidRDefault="00D46128" w:rsidP="009D17F3">
            <w:r>
              <w:t>-5209</w:t>
            </w:r>
          </w:p>
        </w:tc>
        <w:tc>
          <w:tcPr>
            <w:tcW w:w="1832" w:type="dxa"/>
          </w:tcPr>
          <w:p w:rsidR="009D17F3" w:rsidRDefault="00975071" w:rsidP="009D17F3">
            <w:r>
              <w:t>-6139</w:t>
            </w:r>
          </w:p>
        </w:tc>
        <w:tc>
          <w:tcPr>
            <w:tcW w:w="1860" w:type="dxa"/>
          </w:tcPr>
          <w:p w:rsidR="009D17F3" w:rsidRDefault="0008166D" w:rsidP="009D17F3">
            <w:r>
              <w:t>-6468</w:t>
            </w:r>
          </w:p>
        </w:tc>
        <w:tc>
          <w:tcPr>
            <w:tcW w:w="1860" w:type="dxa"/>
          </w:tcPr>
          <w:p w:rsidR="009D17F3" w:rsidRDefault="009B26D0" w:rsidP="009D17F3">
            <w:r>
              <w:t>-6625</w:t>
            </w:r>
          </w:p>
        </w:tc>
      </w:tr>
      <w:tr w:rsidR="009D17F3" w:rsidTr="009D17F3">
        <w:tc>
          <w:tcPr>
            <w:tcW w:w="1885" w:type="dxa"/>
          </w:tcPr>
          <w:p w:rsidR="009D17F3" w:rsidRDefault="009D17F3" w:rsidP="009D17F3">
            <w:r>
              <w:t>Max axial stress</w:t>
            </w:r>
          </w:p>
        </w:tc>
        <w:tc>
          <w:tcPr>
            <w:tcW w:w="1579" w:type="dxa"/>
          </w:tcPr>
          <w:p w:rsidR="009D17F3" w:rsidRDefault="00C75C86" w:rsidP="009D17F3">
            <w:r>
              <w:t>-10057.8</w:t>
            </w:r>
          </w:p>
        </w:tc>
        <w:tc>
          <w:tcPr>
            <w:tcW w:w="1832" w:type="dxa"/>
          </w:tcPr>
          <w:p w:rsidR="009D17F3" w:rsidRDefault="00975071" w:rsidP="009D17F3">
            <w:r>
              <w:t>-10360.2</w:t>
            </w:r>
          </w:p>
        </w:tc>
        <w:tc>
          <w:tcPr>
            <w:tcW w:w="1860" w:type="dxa"/>
          </w:tcPr>
          <w:p w:rsidR="009D17F3" w:rsidRDefault="0008166D" w:rsidP="009D17F3">
            <w:r>
              <w:t>-10471.02</w:t>
            </w:r>
          </w:p>
        </w:tc>
        <w:tc>
          <w:tcPr>
            <w:tcW w:w="1860" w:type="dxa"/>
          </w:tcPr>
          <w:p w:rsidR="009D17F3" w:rsidRDefault="00480219" w:rsidP="009D17F3">
            <w:r>
              <w:t>-</w:t>
            </w:r>
            <w:r w:rsidR="004E35BA">
              <w:t>9173</w:t>
            </w:r>
          </w:p>
        </w:tc>
      </w:tr>
    </w:tbl>
    <w:p w:rsidR="000A23F2" w:rsidRDefault="00744DED" w:rsidP="0052345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0A23F2" w:rsidRPr="00853718" w:rsidRDefault="000A23F2" w:rsidP="000A23F2">
      <w:pPr>
        <w:pStyle w:val="Heading1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From the results we can see, that the maximum radial stress val</w:t>
      </w:r>
      <w:bookmarkStart w:id="0" w:name="_GoBack"/>
      <w:bookmarkEnd w:id="0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ue converges towards the analytical value well. However, the max hoop stress and max axial stress do not. The result may be improved by refining the mesh further.</w:t>
      </w:r>
    </w:p>
    <w:p w:rsidR="000A23F2" w:rsidRPr="000A23F2" w:rsidRDefault="000A23F2" w:rsidP="000A23F2"/>
    <w:sectPr w:rsidR="000A23F2" w:rsidRPr="000A23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8B0"/>
    <w:rsid w:val="00002223"/>
    <w:rsid w:val="0002230E"/>
    <w:rsid w:val="0002303A"/>
    <w:rsid w:val="000244FB"/>
    <w:rsid w:val="00036047"/>
    <w:rsid w:val="0004688E"/>
    <w:rsid w:val="00063034"/>
    <w:rsid w:val="0008166D"/>
    <w:rsid w:val="00085AA5"/>
    <w:rsid w:val="000A23F2"/>
    <w:rsid w:val="000B39CF"/>
    <w:rsid w:val="001205A2"/>
    <w:rsid w:val="0013147D"/>
    <w:rsid w:val="00146F1C"/>
    <w:rsid w:val="001569DF"/>
    <w:rsid w:val="00161CC9"/>
    <w:rsid w:val="001C3075"/>
    <w:rsid w:val="001D770A"/>
    <w:rsid w:val="001F6D65"/>
    <w:rsid w:val="00223539"/>
    <w:rsid w:val="00223EF9"/>
    <w:rsid w:val="002272B3"/>
    <w:rsid w:val="00244F82"/>
    <w:rsid w:val="00274CE4"/>
    <w:rsid w:val="00280151"/>
    <w:rsid w:val="00293166"/>
    <w:rsid w:val="002C0713"/>
    <w:rsid w:val="002D2114"/>
    <w:rsid w:val="002F68D0"/>
    <w:rsid w:val="00360865"/>
    <w:rsid w:val="00360E3D"/>
    <w:rsid w:val="003946E0"/>
    <w:rsid w:val="003A6E81"/>
    <w:rsid w:val="003B111A"/>
    <w:rsid w:val="003B4747"/>
    <w:rsid w:val="003B6DF1"/>
    <w:rsid w:val="003B7A25"/>
    <w:rsid w:val="003F4EE6"/>
    <w:rsid w:val="00403E03"/>
    <w:rsid w:val="00415769"/>
    <w:rsid w:val="00431D11"/>
    <w:rsid w:val="00455102"/>
    <w:rsid w:val="00480219"/>
    <w:rsid w:val="004A4975"/>
    <w:rsid w:val="004B394B"/>
    <w:rsid w:val="004C3692"/>
    <w:rsid w:val="004E35BA"/>
    <w:rsid w:val="00502546"/>
    <w:rsid w:val="00506650"/>
    <w:rsid w:val="00523458"/>
    <w:rsid w:val="00541C30"/>
    <w:rsid w:val="00543FB1"/>
    <w:rsid w:val="00554A52"/>
    <w:rsid w:val="0058415D"/>
    <w:rsid w:val="005936AF"/>
    <w:rsid w:val="005A0407"/>
    <w:rsid w:val="005C5692"/>
    <w:rsid w:val="006208B0"/>
    <w:rsid w:val="00650B3E"/>
    <w:rsid w:val="0065134E"/>
    <w:rsid w:val="00671EE0"/>
    <w:rsid w:val="006B0AF3"/>
    <w:rsid w:val="006B219B"/>
    <w:rsid w:val="006B51FE"/>
    <w:rsid w:val="006D416A"/>
    <w:rsid w:val="006D7102"/>
    <w:rsid w:val="007110A5"/>
    <w:rsid w:val="00744DED"/>
    <w:rsid w:val="00757822"/>
    <w:rsid w:val="007773A4"/>
    <w:rsid w:val="007A1B19"/>
    <w:rsid w:val="007C4C9D"/>
    <w:rsid w:val="007D65FC"/>
    <w:rsid w:val="007F03F1"/>
    <w:rsid w:val="008006B4"/>
    <w:rsid w:val="00804246"/>
    <w:rsid w:val="00812AA5"/>
    <w:rsid w:val="0081390E"/>
    <w:rsid w:val="00815E39"/>
    <w:rsid w:val="0081704A"/>
    <w:rsid w:val="00827975"/>
    <w:rsid w:val="00830FE3"/>
    <w:rsid w:val="00834E4C"/>
    <w:rsid w:val="00843CCA"/>
    <w:rsid w:val="00853718"/>
    <w:rsid w:val="00877D67"/>
    <w:rsid w:val="008C0E19"/>
    <w:rsid w:val="008D0396"/>
    <w:rsid w:val="008D1DE4"/>
    <w:rsid w:val="008F70E4"/>
    <w:rsid w:val="0091542D"/>
    <w:rsid w:val="009212BC"/>
    <w:rsid w:val="0093611A"/>
    <w:rsid w:val="00937081"/>
    <w:rsid w:val="00975071"/>
    <w:rsid w:val="009A4CCF"/>
    <w:rsid w:val="009B26D0"/>
    <w:rsid w:val="009D17F3"/>
    <w:rsid w:val="009E217B"/>
    <w:rsid w:val="00A01C6D"/>
    <w:rsid w:val="00A13E93"/>
    <w:rsid w:val="00A14F53"/>
    <w:rsid w:val="00A24D42"/>
    <w:rsid w:val="00A257E2"/>
    <w:rsid w:val="00A704E6"/>
    <w:rsid w:val="00A94628"/>
    <w:rsid w:val="00AC6B3E"/>
    <w:rsid w:val="00AC7B8C"/>
    <w:rsid w:val="00AE7779"/>
    <w:rsid w:val="00B27015"/>
    <w:rsid w:val="00B50049"/>
    <w:rsid w:val="00B91384"/>
    <w:rsid w:val="00BB4159"/>
    <w:rsid w:val="00BC7A4F"/>
    <w:rsid w:val="00BE0332"/>
    <w:rsid w:val="00BF0B6E"/>
    <w:rsid w:val="00C35EEF"/>
    <w:rsid w:val="00C622A1"/>
    <w:rsid w:val="00C66E9D"/>
    <w:rsid w:val="00C75C86"/>
    <w:rsid w:val="00C83B62"/>
    <w:rsid w:val="00C86FAE"/>
    <w:rsid w:val="00C90581"/>
    <w:rsid w:val="00C91C73"/>
    <w:rsid w:val="00CA1EC5"/>
    <w:rsid w:val="00CD00F0"/>
    <w:rsid w:val="00CE2397"/>
    <w:rsid w:val="00CF7333"/>
    <w:rsid w:val="00CF75BD"/>
    <w:rsid w:val="00D021EF"/>
    <w:rsid w:val="00D05201"/>
    <w:rsid w:val="00D2620E"/>
    <w:rsid w:val="00D2765E"/>
    <w:rsid w:val="00D46128"/>
    <w:rsid w:val="00D57FBD"/>
    <w:rsid w:val="00D83CA0"/>
    <w:rsid w:val="00DB4DA1"/>
    <w:rsid w:val="00DC3BB6"/>
    <w:rsid w:val="00DD08DE"/>
    <w:rsid w:val="00DF18B9"/>
    <w:rsid w:val="00E06001"/>
    <w:rsid w:val="00E10D60"/>
    <w:rsid w:val="00E12D97"/>
    <w:rsid w:val="00E70218"/>
    <w:rsid w:val="00E828B1"/>
    <w:rsid w:val="00E872C6"/>
    <w:rsid w:val="00EA314A"/>
    <w:rsid w:val="00EA5D22"/>
    <w:rsid w:val="00EA6B8C"/>
    <w:rsid w:val="00EC63FF"/>
    <w:rsid w:val="00F108DA"/>
    <w:rsid w:val="00F10F10"/>
    <w:rsid w:val="00F32D7D"/>
    <w:rsid w:val="00F3370C"/>
    <w:rsid w:val="00F40A02"/>
    <w:rsid w:val="00F43EB9"/>
    <w:rsid w:val="00F524AC"/>
    <w:rsid w:val="00F577EC"/>
    <w:rsid w:val="00FA06A9"/>
    <w:rsid w:val="00FA7ACD"/>
    <w:rsid w:val="00FB1422"/>
    <w:rsid w:val="00FD0B59"/>
    <w:rsid w:val="00FF23FF"/>
    <w:rsid w:val="00FF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E9DEE-BC59-47AA-888B-03C3C61F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8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20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208B0"/>
    <w:rPr>
      <w:color w:val="808080"/>
    </w:rPr>
  </w:style>
  <w:style w:type="table" w:styleId="TableGrid">
    <w:name w:val="Table Grid"/>
    <w:basedOn w:val="TableNormal"/>
    <w:uiPriority w:val="39"/>
    <w:rsid w:val="00620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042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3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3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dzhang</dc:creator>
  <cp:keywords/>
  <dc:description/>
  <cp:lastModifiedBy>dzhang</cp:lastModifiedBy>
  <cp:revision>159</cp:revision>
  <cp:lastPrinted>2017-12-04T18:20:00Z</cp:lastPrinted>
  <dcterms:created xsi:type="dcterms:W3CDTF">2017-12-04T02:24:00Z</dcterms:created>
  <dcterms:modified xsi:type="dcterms:W3CDTF">2017-12-07T09:28:00Z</dcterms:modified>
</cp:coreProperties>
</file>