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C21" w:rsidRDefault="00CA06DE" w:rsidP="00A00C21">
      <w:pPr>
        <w:pStyle w:val="Heading1"/>
      </w:pPr>
      <w:r>
        <w:t>Heat transfer and</w:t>
      </w:r>
      <w:r w:rsidR="00F02033">
        <w:t xml:space="preserve"> turbulent</w:t>
      </w:r>
      <w:r>
        <w:t xml:space="preserve"> </w:t>
      </w:r>
      <w:r w:rsidR="00A00C21">
        <w:t xml:space="preserve">flow </w:t>
      </w:r>
      <w:r>
        <w:t xml:space="preserve">of </w:t>
      </w:r>
      <w:r w:rsidR="00F02033">
        <w:t xml:space="preserve">alloy </w:t>
      </w:r>
      <w:r>
        <w:t>a383 in a HPDC feeding gate</w:t>
      </w:r>
    </w:p>
    <w:p w:rsidR="00A00C21" w:rsidRDefault="00A00C21"/>
    <w:p w:rsidR="00A00C21" w:rsidRDefault="00A00C21">
      <w:r>
        <w:t>Assumptions:</w:t>
      </w:r>
    </w:p>
    <w:p w:rsidR="00A00C21" w:rsidRDefault="00A00C21">
      <w:r>
        <w:t>- No natural convection</w:t>
      </w:r>
    </w:p>
    <w:p w:rsidR="00A00C21" w:rsidRDefault="00A00C21">
      <w:r>
        <w:t>- Material properties calculated using pseudo-binary method (Nova database)</w:t>
      </w:r>
    </w:p>
    <w:p w:rsidR="00A00C21" w:rsidRDefault="00A00C21">
      <w:r>
        <w:t>-</w:t>
      </w:r>
      <w:r w:rsidR="00CA06DE">
        <w:t xml:space="preserve"> Constant inlet flow velocity (0.5</w:t>
      </w:r>
      <w:r>
        <w:t xml:space="preserve"> m/s) boundary condition,</w:t>
      </w:r>
      <w:r w:rsidR="00250A19">
        <w:t xml:space="preserve"> inlet</w:t>
      </w:r>
      <w:r>
        <w:t xml:space="preserve"> fluid temperature 630 C</w:t>
      </w:r>
    </w:p>
    <w:p w:rsidR="00A00C21" w:rsidRDefault="00A00C21">
      <w:r>
        <w:t>- Static pressure outlet boundary condition</w:t>
      </w:r>
    </w:p>
    <w:p w:rsidR="00A00C21" w:rsidRDefault="00A00C21">
      <w:r>
        <w:t xml:space="preserve">- </w:t>
      </w:r>
      <w:r w:rsidR="00CA06DE">
        <w:t>Constant temperature condition on</w:t>
      </w:r>
      <w:r w:rsidR="00DF5247">
        <w:t xml:space="preserve"> walls</w:t>
      </w:r>
      <w:r>
        <w:t>.</w:t>
      </w:r>
      <w:r w:rsidR="00DF5247">
        <w:t xml:space="preserve"> Wall temperature</w:t>
      </w:r>
      <w:r w:rsidR="00CA06DE">
        <w:t xml:space="preserve"> 300 C</w:t>
      </w:r>
      <w:r w:rsidR="00F02033">
        <w:t xml:space="preserve">, </w:t>
      </w:r>
      <w:r>
        <w:t xml:space="preserve">steel mould </w:t>
      </w:r>
      <w:r w:rsidR="00F02033">
        <w:t xml:space="preserve">material </w:t>
      </w:r>
      <w:r>
        <w:t>H13 (data from Nova)</w:t>
      </w:r>
      <w:r w:rsidR="00F02033">
        <w:t>.</w:t>
      </w:r>
    </w:p>
    <w:p w:rsidR="00A00C21" w:rsidRDefault="00A00C21">
      <w:r>
        <w:t xml:space="preserve">- </w:t>
      </w:r>
      <w:r w:rsidR="00F02033">
        <w:t>Standard k-epsilon model with enhanced wall function</w:t>
      </w:r>
    </w:p>
    <w:p w:rsidR="00F02033" w:rsidRDefault="00F02033">
      <w:r>
        <w:t>-steady state</w:t>
      </w:r>
    </w:p>
    <w:p w:rsidR="00DF5247" w:rsidRDefault="00DF5247" w:rsidP="00DF5247">
      <w:r>
        <w:t>- No solidification</w:t>
      </w:r>
    </w:p>
    <w:p w:rsidR="00A00C21" w:rsidRDefault="00A00C21"/>
    <w:p w:rsidR="00346901" w:rsidRDefault="00BA3D9D">
      <w:r>
        <w:rPr>
          <w:noProof/>
          <w:lang w:eastAsia="en-ZW"/>
        </w:rPr>
        <w:drawing>
          <wp:inline distT="0" distB="0" distL="0" distR="0">
            <wp:extent cx="1647845" cy="20411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56025" cy="2051301"/>
                    </a:xfrm>
                    <a:prstGeom prst="rect">
                      <a:avLst/>
                    </a:prstGeom>
                    <a:noFill/>
                    <a:ln>
                      <a:noFill/>
                    </a:ln>
                  </pic:spPr>
                </pic:pic>
              </a:graphicData>
            </a:graphic>
          </wp:inline>
        </w:drawing>
      </w:r>
    </w:p>
    <w:p w:rsidR="00A00C21" w:rsidRDefault="00A00C21">
      <w:r>
        <w:t>Fig. 1 Velocity inlet</w:t>
      </w:r>
    </w:p>
    <w:p w:rsidR="00BA3D9D" w:rsidRDefault="00BA3D9D"/>
    <w:p w:rsidR="00BA3D9D" w:rsidRDefault="00BA3D9D">
      <w:r>
        <w:rPr>
          <w:noProof/>
          <w:lang w:eastAsia="en-ZW"/>
        </w:rPr>
        <w:drawing>
          <wp:inline distT="0" distB="0" distL="0" distR="0">
            <wp:extent cx="1484879" cy="2231136"/>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4688" cy="2260901"/>
                    </a:xfrm>
                    <a:prstGeom prst="rect">
                      <a:avLst/>
                    </a:prstGeom>
                    <a:noFill/>
                    <a:ln>
                      <a:noFill/>
                    </a:ln>
                  </pic:spPr>
                </pic:pic>
              </a:graphicData>
            </a:graphic>
          </wp:inline>
        </w:drawing>
      </w:r>
    </w:p>
    <w:p w:rsidR="00A00C21" w:rsidRDefault="00A00C21">
      <w:r>
        <w:lastRenderedPageBreak/>
        <w:t>Fig. 2 Pressure outlets</w:t>
      </w:r>
    </w:p>
    <w:p w:rsidR="00CA06DE" w:rsidRDefault="00CA06DE"/>
    <w:p w:rsidR="003F3E08" w:rsidRDefault="003F3E08">
      <w:r>
        <w:t>Table 1. Data for A383</w:t>
      </w:r>
    </w:p>
    <w:p w:rsidR="00A00C21" w:rsidRDefault="00A00C21">
      <w:r>
        <w:t>A383 data</w:t>
      </w:r>
    </w:p>
    <w:tbl>
      <w:tblPr>
        <w:tblStyle w:val="TableGrid"/>
        <w:tblW w:w="0" w:type="auto"/>
        <w:tblLayout w:type="fixed"/>
        <w:tblLook w:val="04A0" w:firstRow="1" w:lastRow="0" w:firstColumn="1" w:lastColumn="0" w:noHBand="0" w:noVBand="1"/>
      </w:tblPr>
      <w:tblGrid>
        <w:gridCol w:w="1033"/>
        <w:gridCol w:w="949"/>
        <w:gridCol w:w="1348"/>
        <w:gridCol w:w="1227"/>
        <w:gridCol w:w="658"/>
        <w:gridCol w:w="630"/>
        <w:gridCol w:w="1061"/>
        <w:gridCol w:w="1171"/>
        <w:gridCol w:w="939"/>
      </w:tblGrid>
      <w:tr w:rsidR="00873D87" w:rsidTr="00873D87">
        <w:tc>
          <w:tcPr>
            <w:tcW w:w="1033" w:type="dxa"/>
          </w:tcPr>
          <w:p w:rsidR="00873D87" w:rsidRDefault="00873D87">
            <w:r>
              <w:t>Density (kg/m3)</w:t>
            </w:r>
          </w:p>
        </w:tc>
        <w:tc>
          <w:tcPr>
            <w:tcW w:w="949" w:type="dxa"/>
          </w:tcPr>
          <w:p w:rsidR="00873D87" w:rsidRDefault="00873D87">
            <w:proofErr w:type="spellStart"/>
            <w:r>
              <w:t>Cp</w:t>
            </w:r>
            <w:proofErr w:type="spellEnd"/>
            <w:r>
              <w:t xml:space="preserve"> (J/</w:t>
            </w:r>
            <w:proofErr w:type="spellStart"/>
            <w:r>
              <w:t>kgK</w:t>
            </w:r>
            <w:proofErr w:type="spellEnd"/>
            <w:r>
              <w:t>)</w:t>
            </w:r>
          </w:p>
        </w:tc>
        <w:tc>
          <w:tcPr>
            <w:tcW w:w="1348" w:type="dxa"/>
          </w:tcPr>
          <w:p w:rsidR="00873D87" w:rsidRDefault="00873D87">
            <w:r>
              <w:t>Thermal conductivity (w/</w:t>
            </w:r>
            <w:proofErr w:type="spellStart"/>
            <w:r>
              <w:t>mK</w:t>
            </w:r>
            <w:proofErr w:type="spellEnd"/>
            <w:r>
              <w:t>)</w:t>
            </w:r>
          </w:p>
        </w:tc>
        <w:tc>
          <w:tcPr>
            <w:tcW w:w="1227" w:type="dxa"/>
          </w:tcPr>
          <w:p w:rsidR="00873D87" w:rsidRDefault="00873D87">
            <w:r>
              <w:t>Viscosity (kg/</w:t>
            </w:r>
            <w:proofErr w:type="spellStart"/>
            <w:r>
              <w:t>ms</w:t>
            </w:r>
            <w:proofErr w:type="spellEnd"/>
            <w:r>
              <w:t>)</w:t>
            </w:r>
          </w:p>
        </w:tc>
        <w:tc>
          <w:tcPr>
            <w:tcW w:w="658" w:type="dxa"/>
          </w:tcPr>
          <w:p w:rsidR="00873D87" w:rsidRDefault="00873D87" w:rsidP="00873D87">
            <w:r>
              <w:t xml:space="preserve">T_L: </w:t>
            </w:r>
          </w:p>
          <w:p w:rsidR="00873D87" w:rsidRDefault="00873D87" w:rsidP="00873D87">
            <w:r>
              <w:t>( C )</w:t>
            </w:r>
          </w:p>
        </w:tc>
        <w:tc>
          <w:tcPr>
            <w:tcW w:w="630" w:type="dxa"/>
          </w:tcPr>
          <w:p w:rsidR="00873D87" w:rsidRDefault="00873D87" w:rsidP="00873D87">
            <w:r>
              <w:t>T_S:</w:t>
            </w:r>
          </w:p>
          <w:p w:rsidR="00873D87" w:rsidRDefault="00873D87" w:rsidP="00873D87">
            <w:r>
              <w:t>( C )</w:t>
            </w:r>
            <w:r>
              <w:t xml:space="preserve"> </w:t>
            </w:r>
          </w:p>
        </w:tc>
        <w:tc>
          <w:tcPr>
            <w:tcW w:w="1061" w:type="dxa"/>
          </w:tcPr>
          <w:p w:rsidR="00873D87" w:rsidRDefault="00873D87">
            <w:r>
              <w:t>Turbulent intensity</w:t>
            </w:r>
          </w:p>
        </w:tc>
        <w:tc>
          <w:tcPr>
            <w:tcW w:w="1171" w:type="dxa"/>
          </w:tcPr>
          <w:p w:rsidR="00873D87" w:rsidRDefault="00873D87">
            <w:r>
              <w:t>Turbulent viscosity ratio</w:t>
            </w:r>
          </w:p>
        </w:tc>
        <w:tc>
          <w:tcPr>
            <w:tcW w:w="939" w:type="dxa"/>
          </w:tcPr>
          <w:p w:rsidR="00873D87" w:rsidRDefault="00873D87">
            <w:r>
              <w:t>Inlet velocity m/s</w:t>
            </w:r>
          </w:p>
        </w:tc>
      </w:tr>
      <w:tr w:rsidR="00873D87" w:rsidTr="00873D87">
        <w:tc>
          <w:tcPr>
            <w:tcW w:w="1033" w:type="dxa"/>
          </w:tcPr>
          <w:p w:rsidR="00873D87" w:rsidRDefault="00873D87">
            <w:r>
              <w:t>2485</w:t>
            </w:r>
          </w:p>
        </w:tc>
        <w:tc>
          <w:tcPr>
            <w:tcW w:w="949" w:type="dxa"/>
          </w:tcPr>
          <w:p w:rsidR="00873D87" w:rsidRDefault="00873D87">
            <w:r>
              <w:t>964.3</w:t>
            </w:r>
          </w:p>
        </w:tc>
        <w:tc>
          <w:tcPr>
            <w:tcW w:w="1348" w:type="dxa"/>
          </w:tcPr>
          <w:p w:rsidR="00873D87" w:rsidRDefault="00873D87">
            <w:r>
              <w:t>96</w:t>
            </w:r>
          </w:p>
        </w:tc>
        <w:tc>
          <w:tcPr>
            <w:tcW w:w="1227" w:type="dxa"/>
          </w:tcPr>
          <w:p w:rsidR="00873D87" w:rsidRDefault="00873D87">
            <w:r>
              <w:t>0.0017894</w:t>
            </w:r>
          </w:p>
        </w:tc>
        <w:tc>
          <w:tcPr>
            <w:tcW w:w="658" w:type="dxa"/>
          </w:tcPr>
          <w:p w:rsidR="00873D87" w:rsidRDefault="00873D87">
            <w:r>
              <w:t>593</w:t>
            </w:r>
          </w:p>
        </w:tc>
        <w:tc>
          <w:tcPr>
            <w:tcW w:w="630" w:type="dxa"/>
          </w:tcPr>
          <w:p w:rsidR="00873D87" w:rsidRDefault="00873D87">
            <w:r>
              <w:t>539</w:t>
            </w:r>
          </w:p>
        </w:tc>
        <w:tc>
          <w:tcPr>
            <w:tcW w:w="1061" w:type="dxa"/>
          </w:tcPr>
          <w:p w:rsidR="00873D87" w:rsidRDefault="00873D87">
            <w:r>
              <w:t xml:space="preserve">5 % </w:t>
            </w:r>
          </w:p>
        </w:tc>
        <w:tc>
          <w:tcPr>
            <w:tcW w:w="1171" w:type="dxa"/>
          </w:tcPr>
          <w:p w:rsidR="00873D87" w:rsidRDefault="00873D87">
            <w:r>
              <w:t>10</w:t>
            </w:r>
          </w:p>
        </w:tc>
        <w:tc>
          <w:tcPr>
            <w:tcW w:w="939" w:type="dxa"/>
          </w:tcPr>
          <w:p w:rsidR="00873D87" w:rsidRDefault="00873D87">
            <w:r>
              <w:t xml:space="preserve">0.5 </w:t>
            </w:r>
          </w:p>
        </w:tc>
      </w:tr>
    </w:tbl>
    <w:p w:rsidR="00A00C21" w:rsidRDefault="00A00C21"/>
    <w:p w:rsidR="00A00C21" w:rsidRDefault="00A00C21">
      <w:r>
        <w:t>H13 Data</w:t>
      </w:r>
    </w:p>
    <w:tbl>
      <w:tblPr>
        <w:tblStyle w:val="TableGrid"/>
        <w:tblW w:w="0" w:type="auto"/>
        <w:tblLook w:val="04A0" w:firstRow="1" w:lastRow="0" w:firstColumn="1" w:lastColumn="0" w:noHBand="0" w:noVBand="1"/>
      </w:tblPr>
      <w:tblGrid>
        <w:gridCol w:w="2290"/>
        <w:gridCol w:w="2254"/>
        <w:gridCol w:w="2424"/>
        <w:gridCol w:w="2048"/>
      </w:tblGrid>
      <w:tr w:rsidR="003F3E08" w:rsidTr="003F3E08">
        <w:tc>
          <w:tcPr>
            <w:tcW w:w="2290" w:type="dxa"/>
          </w:tcPr>
          <w:p w:rsidR="003F3E08" w:rsidRDefault="003F3E08">
            <w:r>
              <w:t>Density (kg/m3)</w:t>
            </w:r>
          </w:p>
        </w:tc>
        <w:tc>
          <w:tcPr>
            <w:tcW w:w="2254" w:type="dxa"/>
          </w:tcPr>
          <w:p w:rsidR="003F3E08" w:rsidRDefault="003F3E08">
            <w:proofErr w:type="spellStart"/>
            <w:r>
              <w:t>Cp</w:t>
            </w:r>
            <w:proofErr w:type="spellEnd"/>
            <w:r>
              <w:t xml:space="preserve"> (J/</w:t>
            </w:r>
            <w:proofErr w:type="spellStart"/>
            <w:r>
              <w:t>kgK</w:t>
            </w:r>
            <w:proofErr w:type="spellEnd"/>
            <w:r>
              <w:t>)</w:t>
            </w:r>
          </w:p>
        </w:tc>
        <w:tc>
          <w:tcPr>
            <w:tcW w:w="2424" w:type="dxa"/>
          </w:tcPr>
          <w:p w:rsidR="003F3E08" w:rsidRDefault="003F3E08">
            <w:r>
              <w:t>Thermal conductivity (w/</w:t>
            </w:r>
            <w:proofErr w:type="spellStart"/>
            <w:r>
              <w:t>mK</w:t>
            </w:r>
            <w:proofErr w:type="spellEnd"/>
            <w:r>
              <w:t>)</w:t>
            </w:r>
          </w:p>
        </w:tc>
        <w:tc>
          <w:tcPr>
            <w:tcW w:w="2048" w:type="dxa"/>
          </w:tcPr>
          <w:p w:rsidR="003F3E08" w:rsidRDefault="00BD5DE8">
            <w:r>
              <w:t>Temperature (constant)</w:t>
            </w:r>
          </w:p>
        </w:tc>
      </w:tr>
      <w:tr w:rsidR="003F3E08" w:rsidTr="003F3E08">
        <w:tc>
          <w:tcPr>
            <w:tcW w:w="2290" w:type="dxa"/>
          </w:tcPr>
          <w:p w:rsidR="003F3E08" w:rsidRDefault="003F3E08">
            <w:r>
              <w:t>7600</w:t>
            </w:r>
          </w:p>
        </w:tc>
        <w:tc>
          <w:tcPr>
            <w:tcW w:w="2254" w:type="dxa"/>
          </w:tcPr>
          <w:p w:rsidR="003F3E08" w:rsidRDefault="003F3E08">
            <w:r>
              <w:t>590</w:t>
            </w:r>
          </w:p>
        </w:tc>
        <w:tc>
          <w:tcPr>
            <w:tcW w:w="2424" w:type="dxa"/>
          </w:tcPr>
          <w:p w:rsidR="003F3E08" w:rsidRDefault="003F3E08">
            <w:r>
              <w:t>29</w:t>
            </w:r>
          </w:p>
        </w:tc>
        <w:tc>
          <w:tcPr>
            <w:tcW w:w="2048" w:type="dxa"/>
          </w:tcPr>
          <w:p w:rsidR="003F3E08" w:rsidRDefault="00BD5DE8">
            <w:r>
              <w:t>300 K</w:t>
            </w:r>
          </w:p>
        </w:tc>
      </w:tr>
    </w:tbl>
    <w:p w:rsidR="00A00C21" w:rsidRDefault="00A00C21"/>
    <w:p w:rsidR="00A00C21" w:rsidRDefault="00DF5247" w:rsidP="00DF5247">
      <w:pPr>
        <w:pStyle w:val="Heading1"/>
      </w:pPr>
      <w:r>
        <w:t>Results</w:t>
      </w:r>
    </w:p>
    <w:p w:rsidR="00DF5247" w:rsidRDefault="00DF5247" w:rsidP="00DF5247"/>
    <w:p w:rsidR="00DF5247" w:rsidRPr="00DF5247" w:rsidRDefault="003F3E08" w:rsidP="00DF5247">
      <w:r>
        <w:t>Simulation didn’t converge after 1900 iterations. Most residuals went down 3 magnitudes. However, energy didn’</w:t>
      </w:r>
      <w:r w:rsidR="00C578AF">
        <w:t>t go down 6 magnitudes, which F</w:t>
      </w:r>
      <w:r>
        <w:t>luent requires for convergence.</w:t>
      </w:r>
    </w:p>
    <w:p w:rsidR="00A00C21" w:rsidRDefault="003F3E08">
      <w:r>
        <w:rPr>
          <w:noProof/>
          <w:lang w:eastAsia="en-ZW"/>
        </w:rPr>
        <w:drawing>
          <wp:inline distT="0" distB="0" distL="0" distR="0">
            <wp:extent cx="5727700" cy="297751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977515"/>
                    </a:xfrm>
                    <a:prstGeom prst="rect">
                      <a:avLst/>
                    </a:prstGeom>
                    <a:noFill/>
                    <a:ln>
                      <a:noFill/>
                    </a:ln>
                  </pic:spPr>
                </pic:pic>
              </a:graphicData>
            </a:graphic>
          </wp:inline>
        </w:drawing>
      </w:r>
    </w:p>
    <w:p w:rsidR="003F3E08" w:rsidRDefault="003F3E08">
      <w:r>
        <w:t>Fig. 3 residuals</w:t>
      </w:r>
    </w:p>
    <w:p w:rsidR="003F3E08" w:rsidRDefault="003F3E08">
      <w:r>
        <w:rPr>
          <w:noProof/>
          <w:lang w:eastAsia="en-ZW"/>
        </w:rPr>
        <w:lastRenderedPageBreak/>
        <w:drawing>
          <wp:inline distT="0" distB="0" distL="0" distR="0">
            <wp:extent cx="3833165" cy="36415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6579" cy="3644750"/>
                    </a:xfrm>
                    <a:prstGeom prst="rect">
                      <a:avLst/>
                    </a:prstGeom>
                    <a:noFill/>
                    <a:ln>
                      <a:noFill/>
                    </a:ln>
                  </pic:spPr>
                </pic:pic>
              </a:graphicData>
            </a:graphic>
          </wp:inline>
        </w:drawing>
      </w:r>
    </w:p>
    <w:p w:rsidR="003F3E08" w:rsidRDefault="003F3E08">
      <w:r>
        <w:t xml:space="preserve">Fig. 4. Flow pattern and temperature of </w:t>
      </w:r>
      <w:r w:rsidR="00C578AF">
        <w:t>liquid</w:t>
      </w:r>
      <w:r>
        <w:t>.</w:t>
      </w:r>
      <w:r w:rsidR="00C578AF">
        <w:t xml:space="preserve"> Note: temperatures under solidus in many areas, which is not realistically accounted for due to no solidification in model.</w:t>
      </w:r>
    </w:p>
    <w:p w:rsidR="003F3E08" w:rsidRDefault="003F3E08"/>
    <w:p w:rsidR="003F3E08" w:rsidRDefault="003F3E08">
      <w:r>
        <w:rPr>
          <w:noProof/>
          <w:lang w:eastAsia="en-ZW"/>
        </w:rPr>
        <w:drawing>
          <wp:inline distT="0" distB="0" distL="0" distR="0">
            <wp:extent cx="5727700" cy="392811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928110"/>
                    </a:xfrm>
                    <a:prstGeom prst="rect">
                      <a:avLst/>
                    </a:prstGeom>
                    <a:noFill/>
                    <a:ln>
                      <a:noFill/>
                    </a:ln>
                  </pic:spPr>
                </pic:pic>
              </a:graphicData>
            </a:graphic>
          </wp:inline>
        </w:drawing>
      </w:r>
      <w:r>
        <w:br/>
        <w:t>Fig. 5 Temperature of gates.</w:t>
      </w:r>
      <w:r w:rsidR="00C578AF">
        <w:t xml:space="preserve"> Only some areas in the bottom gate are above </w:t>
      </w:r>
      <w:proofErr w:type="spellStart"/>
      <w:r w:rsidR="00C578AF">
        <w:t>liquidus</w:t>
      </w:r>
      <w:proofErr w:type="spellEnd"/>
      <w:r w:rsidR="00C578AF">
        <w:t xml:space="preserve"> temperature 593 C. Other gates would be frozen.</w:t>
      </w:r>
    </w:p>
    <w:p w:rsidR="00873D87" w:rsidRDefault="00873D87"/>
    <w:p w:rsidR="00873D87" w:rsidRDefault="00873D87" w:rsidP="00873D87">
      <w:pPr>
        <w:pStyle w:val="Heading1"/>
      </w:pPr>
      <w:r>
        <w:t>Conclusions</w:t>
      </w:r>
    </w:p>
    <w:p w:rsidR="00873D87" w:rsidRDefault="00873D87"/>
    <w:p w:rsidR="00873D87" w:rsidRDefault="00F16982">
      <w:r>
        <w:t xml:space="preserve">The </w:t>
      </w:r>
      <w:proofErr w:type="spellStart"/>
      <w:r>
        <w:t>liquidus</w:t>
      </w:r>
      <w:proofErr w:type="spellEnd"/>
      <w:r>
        <w:t xml:space="preserve"> and solidus temperatures are 593 and 539 C respectively. We can see that the top two gates fall under the solidus temperature. This suggests that the top two gates might freeze before filling is finished. Next steps are to simulate the mould temperature boundary condition </w:t>
      </w:r>
      <w:r w:rsidR="00C578AF">
        <w:t>more realistically. The cooling effect of the mould is overestimated in this model, since heating of the mould is not simulated.  After this inaccuracy is addressed, we will</w:t>
      </w:r>
      <w:r>
        <w:t xml:space="preserve"> creat</w:t>
      </w:r>
      <w:bookmarkStart w:id="0" w:name="_GoBack"/>
      <w:bookmarkEnd w:id="0"/>
      <w:r>
        <w:t>e an UDF for the inlet boundary condition</w:t>
      </w:r>
      <w:r w:rsidR="00C578AF">
        <w:t xml:space="preserve"> based on actual HPDC process</w:t>
      </w:r>
      <w:r>
        <w:t>. Then a transient model can be implemented. Eventually, the effect of solidification can be taken into account.</w:t>
      </w:r>
    </w:p>
    <w:sectPr w:rsidR="00873D8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781E57"/>
    <w:multiLevelType w:val="hybridMultilevel"/>
    <w:tmpl w:val="7AAEDA06"/>
    <w:lvl w:ilvl="0" w:tplc="2E54C080">
      <w:numFmt w:val="bullet"/>
      <w:lvlText w:val="-"/>
      <w:lvlJc w:val="left"/>
      <w:pPr>
        <w:ind w:left="720" w:hanging="360"/>
      </w:pPr>
      <w:rPr>
        <w:rFonts w:ascii="Calibri" w:eastAsiaTheme="minorHAnsi" w:hAnsi="Calibri" w:cstheme="minorBidi"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D9D"/>
    <w:rsid w:val="00250A19"/>
    <w:rsid w:val="00346901"/>
    <w:rsid w:val="003F3E08"/>
    <w:rsid w:val="00873D87"/>
    <w:rsid w:val="009004B3"/>
    <w:rsid w:val="00A00C21"/>
    <w:rsid w:val="00BA3D9D"/>
    <w:rsid w:val="00BD5DE8"/>
    <w:rsid w:val="00C578AF"/>
    <w:rsid w:val="00CA06DE"/>
    <w:rsid w:val="00DF5247"/>
    <w:rsid w:val="00ED0D83"/>
    <w:rsid w:val="00F02033"/>
    <w:rsid w:val="00F16982"/>
  </w:rsids>
  <m:mathPr>
    <m:mathFont m:val="Cambria Math"/>
    <m:brkBin m:val="before"/>
    <m:brkBinSub m:val="--"/>
    <m:smallFrac m:val="0"/>
    <m:dispDef/>
    <m:lMargin m:val="0"/>
    <m:rMargin m:val="0"/>
    <m:defJc m:val="centerGroup"/>
    <m:wrapIndent m:val="1440"/>
    <m:intLim m:val="subSup"/>
    <m:naryLim m:val="undOvr"/>
  </m:mathPr>
  <w:themeFontLang w:val="en-ZW"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7BD77D-7AF2-472A-828F-160B85A9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0C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C21"/>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00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52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4</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The University of Alabama</Company>
  <LinksUpToDate>false</LinksUpToDate>
  <CharactersWithSpaces>2089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dzhang</dc:creator>
  <cp:keywords/>
  <dc:description/>
  <cp:lastModifiedBy>dzhang</cp:lastModifiedBy>
  <cp:revision>5</cp:revision>
  <dcterms:created xsi:type="dcterms:W3CDTF">2016-12-09T10:52:00Z</dcterms:created>
  <dcterms:modified xsi:type="dcterms:W3CDTF">2016-12-09T16:13:00Z</dcterms:modified>
</cp:coreProperties>
</file>