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is simulated and labelled so. Both analyses were registered before any response statistic was computed (`preregistration/toxcast_noise_floors.json`, `preregistration/twin_toxcast_positive_controls.json`).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not the twin's dose response.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3" name="Picture 23"/>
            <wp:cNvGraphicFramePr>
              <a:graphicFrameLocks noChangeAspect="1"/>
            </wp:cNvGraphicFramePr>
            <a:graphic>
              <a:graphicData uri="http://schemas.openxmlformats.org/drawingml/2006/picture">
                <pic:pic>
                  <pic:nvPicPr>
                    <pic:cNvPr id="0" name="hd14_posterior_ranks_simulated.png"/>
                    <pic:cNvPicPr/>
                  </pic:nvPicPr>
                  <pic:blipFill>
                    <a:blip r:embed="rId35"/>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4" name="Picture 24"/>
            <wp:cNvGraphicFramePr>
              <a:graphicFrameLocks noChangeAspect="1"/>
            </wp:cNvGraphicFramePr>
            <a:graphic>
              <a:graphicData uri="http://schemas.openxmlformats.org/drawingml/2006/picture">
                <pic:pic>
                  <pic:nvPicPr>
                    <pic:cNvPr id="0" name="hd14b_recalibration_simulated.png"/>
                    <pic:cNvPicPr/>
                  </pic:nvPicPr>
                  <pic:blipFill>
                    <a:blip r:embed="rId36"/>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5" name="Picture 25"/>
            <wp:cNvGraphicFramePr>
              <a:graphicFrameLocks noChangeAspect="1"/>
            </wp:cNvGraphicFramePr>
            <a:graphic>
              <a:graphicData uri="http://schemas.openxmlformats.org/drawingml/2006/picture">
                <pic:pic>
                  <pic:nvPicPr>
                    <pic:cNvPr id="0" name="microchannel_asymmetry_real.png"/>
                    <pic:cNvPicPr/>
                  </pic:nvPicPr>
                  <pic:blipFill>
                    <a:blip r:embed="rId37"/>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