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two more.</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When we ran the depositors' own meaRtools pipeline on the same recordings, it disagreed with ours by more than a factor of two on burst rate (§3) — exactly the kind of divergence the asset exists to remove.</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p>
      <w:pPr>
        <w:spacing w:after="120"/>
        <w:ind w:left="432" w:hanging="259"/>
      </w:pPr>
      <w:r>
        <w:rPr>
          <w:rFonts w:ascii="Calibri" w:hAnsi="Calibri"/>
          <w:b w:val="0"/>
          <w:i w:val="0"/>
          <w:color w:val="222222"/>
          <w:sz w:val="21"/>
        </w:rPr>
        <w:t>•</w:t>
        <w:tab/>
      </w:r>
      <w:r>
        <w:rPr>
          <w:rFonts w:ascii="Calibri" w:hAnsi="Calibri"/>
          <w:b/>
          <w:i w:val="0"/>
          <w:color w:val="156082"/>
          <w:sz w:val="21"/>
        </w:rPr>
        <w:t>What a real screen's untreated wells say (Act IX, added after the first round).</w:t>
      </w:r>
      <w:r>
        <w:rPr>
          <w:rFonts w:ascii="Calibri" w:hAnsi="Calibri"/>
          <w:b w:val="0"/>
          <w:i w:val="0"/>
          <w:color w:val="222222"/>
          <w:sz w:val="21"/>
        </w:rPr>
        <w:t xml:space="preserve"> From the EPA's well-level database we measured how much an untreated well moves on its own, for each of 15 MEA readouts. Over 714 vehicle wells, firing rate drifts by a median of −32% during exposure and the exposure day carries 0.42 of its variance. A one-day experiment judged against a historical reference therefore cannot see even a halving of firing rate, while 32 wells spread over days, or 32 treated and as many vehicle wells on one day, see a fall of a fifth (§32, with a table for every readout). On the screen's own positive controls, from a laboratory the twin never saw, the twin's knobs agree on 12 of 12 scored directions, though a rule that simply follows firing rate does as well (§33). Put to the harder test — does the knob grid reproduce the </w:t>
      </w:r>
      <w:r>
        <w:rPr>
          <w:rFonts w:ascii="Calibri" w:hAnsi="Calibri"/>
          <w:b w:val="0"/>
          <w:i/>
          <w:color w:val="222222"/>
          <w:sz w:val="21"/>
        </w:rPr>
        <w:t>shape</w:t>
      </w:r>
      <w:r>
        <w:rPr>
          <w:rFonts w:ascii="Calibri" w:hAnsi="Calibri"/>
          <w:b w:val="0"/>
          <w:i w:val="0"/>
          <w:color w:val="222222"/>
          <w:sz w:val="21"/>
        </w:rPr>
        <w:t xml:space="preserve"> of real concentration-response curves? — 2 of 4 registered predictions pass: the twin beats a wrong-mechanism knob by 0.47 in rank correlation and names the first-moving readout for 8 of 11 compounds, but fewer than half its curves clear the registered line and the firing-rate rule is again ahead (§35).</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spacing w:after="0"/>
            </w:pPr>
            <w:r>
              <w:rPr>
                <w:rFonts w:ascii="Calibri" w:hAnsi="Calibri"/>
                <w:b/>
                <w:i w:val="0"/>
                <w:color w:val="222222"/>
                <w:sz w:val="20"/>
              </w:rPr>
              <w:t>ACT IX: What a real screen's untreated wells say (after round 1)</w:t>
            </w:r>
          </w:p>
        </w:tc>
        <w:tc>
          <w:tcPr>
            <w:tcW w:type="dxa" w:w="5437"/>
            <w:shd w:val="clear" w:color="auto" w:fill="FFFFFF"/>
            <w:vAlign w:val="center"/>
          </w:tcPr>
          <w:p>
            <w:pPr>
              <w:keepNext/>
              <w:spacing w:after="0"/>
            </w:pPr>
            <w:r>
              <w:rPr>
                <w:rFonts w:ascii="Calibri" w:hAnsi="Calibri"/>
                <w:b w:val="0"/>
                <w:i w:val="0"/>
                <w:color w:val="222222"/>
                <w:sz w:val="20"/>
              </w:rPr>
              <w:t>32. How large a change can a chip see? The noise floor, per feature</w:t>
            </w:r>
          </w:p>
          <w:p>
            <w:pPr>
              <w:keepNext/>
              <w:spacing w:after="0"/>
            </w:pPr>
            <w:r>
              <w:rPr>
                <w:rFonts w:ascii="Calibri" w:hAnsi="Calibri"/>
                <w:b w:val="0"/>
                <w:i w:val="0"/>
                <w:color w:val="222222"/>
                <w:sz w:val="20"/>
              </w:rPr>
              <w:t>33. The twin meets a laboratory it has never seen</w:t>
            </w:r>
          </w:p>
          <w:p>
            <w:pPr>
              <w:keepNext/>
              <w:spacing w:after="0"/>
            </w:pPr>
            <w:r>
              <w:rPr>
                <w:rFonts w:ascii="Calibri" w:hAnsi="Calibri"/>
                <w:b w:val="0"/>
                <w:i w:val="0"/>
                <w:color w:val="222222"/>
                <w:sz w:val="20"/>
              </w:rPr>
              <w:t>34. A quality-control rule for chip screens, from §32</w:t>
            </w:r>
          </w:p>
          <w:p>
            <w:pPr>
              <w:keepNext/>
              <w:spacing w:after="0"/>
            </w:pPr>
            <w:r>
              <w:rPr>
                <w:rFonts w:ascii="Calibri" w:hAnsi="Calibri"/>
                <w:b w:val="0"/>
                <w:i w:val="0"/>
                <w:color w:val="222222"/>
                <w:sz w:val="20"/>
              </w:rPr>
              <w:t>35. The dose response: the twin's knob grid against real concentration-response curves</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3" name="Picture 3"/>
            <wp:cNvGraphicFramePr>
              <a:graphicFrameLocks noChangeAspect="1"/>
            </wp:cNvGraphicFramePr>
            <a:graphic>
              <a:graphicData uri="http://schemas.openxmlformats.org/drawingml/2006/picture">
                <pic:pic>
                  <pic:nvPicPr>
                    <pic:cNvPr id="0" name="mechanism_classifier_real.png"/>
                    <pic:cNvPicPr/>
                  </pic:nvPicPr>
                  <pic:blipFill>
                    <a:blip r:embed="rId15"/>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4" name="Picture 4"/>
            <wp:cNvGraphicFramePr>
              <a:graphicFrameLocks noChangeAspect="1"/>
            </wp:cNvGraphicFramePr>
            <a:graphic>
              <a:graphicData uri="http://schemas.openxmlformats.org/drawingml/2006/picture">
                <pic:pic>
                  <pic:nvPicPr>
                    <pic:cNvPr id="0" name="mechanism_confusion.png"/>
                    <pic:cNvPicPr/>
                  </pic:nvPicPr>
                  <pic:blipFill>
                    <a:blip r:embed="rId16"/>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5" name="Picture 5"/>
            <wp:cNvGraphicFramePr>
              <a:graphicFrameLocks noChangeAspect="1"/>
            </wp:cNvGraphicFramePr>
            <a:graphic>
              <a:graphicData uri="http://schemas.openxmlformats.org/drawingml/2006/picture">
                <pic:pic>
                  <pic:nvPicPr>
                    <pic:cNvPr id="0" name="species_shift.png"/>
                    <pic:cNvPicPr/>
                  </pic:nvPicPr>
                  <pic:blipFill>
                    <a:blip r:embed="rId17"/>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6" name="Picture 6"/>
            <wp:cNvGraphicFramePr>
              <a:graphicFrameLocks noChangeAspect="1"/>
            </wp:cNvGraphicFramePr>
            <a:graphic>
              <a:graphicData uri="http://schemas.openxmlformats.org/drawingml/2006/picture">
                <pic:pic>
                  <pic:nvPicPr>
                    <pic:cNvPr id="0" name="baseline_species_comparison.png"/>
                    <pic:cNvPicPr/>
                  </pic:nvPicPr>
                  <pic:blipFill>
                    <a:blip r:embed="rId18"/>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7" name="Picture 7"/>
            <wp:cNvGraphicFramePr>
              <a:graphicFrameLocks noChangeAspect="1"/>
            </wp:cNvGraphicFramePr>
            <a:graphic>
              <a:graphicData uri="http://schemas.openxmlformats.org/drawingml/2006/picture">
                <pic:pic>
                  <pic:nvPicPr>
                    <pic:cNvPr id="0" name="platform_contrast_gabaa_antagonist.png"/>
                    <pic:cNvPicPr/>
                  </pic:nvPicPr>
                  <pic:blipFill>
                    <a:blip r:embed="rId19"/>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8" name="Picture 8"/>
            <wp:cNvGraphicFramePr>
              <a:graphicFrameLocks noChangeAspect="1"/>
            </wp:cNvGraphicFramePr>
            <a:graphic>
              <a:graphicData uri="http://schemas.openxmlformats.org/drawingml/2006/picture">
                <pic:pic>
                  <pic:nvPicPr>
                    <pic:cNvPr id="0" name="twin_architecture_simulated.png"/>
                    <pic:cNvPicPr/>
                  </pic:nvPicPr>
                  <pic:blipFill>
                    <a:blip r:embed="rId20"/>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9" name="Picture 9"/>
            <wp:cNvGraphicFramePr>
              <a:graphicFrameLocks noChangeAspect="1"/>
            </wp:cNvGraphicFramePr>
            <a:graphic>
              <a:graphicData uri="http://schemas.openxmlformats.org/drawingml/2006/picture">
                <pic:pic>
                  <pic:nvPicPr>
                    <pic:cNvPr id="0" name="hd12_calibration_simulated.png"/>
                    <pic:cNvPicPr/>
                  </pic:nvPicPr>
                  <pic:blipFill>
                    <a:blip r:embed="rId21"/>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0" name="Picture 10"/>
            <wp:cNvGraphicFramePr>
              <a:graphicFrameLocks noChangeAspect="1"/>
            </wp:cNvGraphicFramePr>
            <a:graphic>
              <a:graphicData uri="http://schemas.openxmlformats.org/drawingml/2006/picture">
                <pic:pic>
                  <pic:nvPicPr>
                    <pic:cNvPr id="0" name="hd13_drug_knob_validation_simulated.png"/>
                    <pic:cNvPicPr/>
                  </pic:nvPicPr>
                  <pic:blipFill>
                    <a:blip r:embed="rId22"/>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 On a laboratory it had never seen, the EPA's acute MEA screen, the GABA-A block and sodium-block knobs agree with the positive controls on every scored direction (§33, added after the first round).</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1" name="Picture 11"/>
            <wp:cNvGraphicFramePr>
              <a:graphicFrameLocks noChangeAspect="1"/>
            </wp:cNvGraphicFramePr>
            <a:graphic>
              <a:graphicData uri="http://schemas.openxmlformats.org/drawingml/2006/picture">
                <pic:pic>
                  <pic:nvPicPr>
                    <pic:cNvPr id="0" name="compartment_lag_by_device_type.png"/>
                    <pic:cNvPicPr/>
                  </pic:nvPicPr>
                  <pic:blipFill>
                    <a:blip r:embed="rId23"/>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2" name="Picture 12"/>
            <wp:cNvGraphicFramePr>
              <a:graphicFrameLocks noChangeAspect="1"/>
            </wp:cNvGraphicFramePr>
            <a:graphic>
              <a:graphicData uri="http://schemas.openxmlformats.org/drawingml/2006/picture">
                <pic:pic>
                  <pic:nvPicPr>
                    <pic:cNvPr id="0" name="axonal_flow_vs_chamber.png"/>
                    <pic:cNvPicPr/>
                  </pic:nvPicPr>
                  <pic:blipFill>
                    <a:blip r:embed="rId24"/>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3" name="Picture 13"/>
            <wp:cNvGraphicFramePr>
              <a:graphicFrameLocks noChangeAspect="1"/>
            </wp:cNvGraphicFramePr>
            <a:graphic>
              <a:graphicData uri="http://schemas.openxmlformats.org/drawingml/2006/picture">
                <pic:pic>
                  <pic:nvPicPr>
                    <pic:cNvPr id="0" name="inference_network_simulated.png"/>
                    <pic:cNvPicPr/>
                  </pic:nvPicPr>
                  <pic:blipFill>
                    <a:blip r:embed="rId25"/>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Appendix G shows the full rank histograms.</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6"/>
        <w:gridCol w:w="2188"/>
        <w:gridCol w:w="2346"/>
        <w:gridCol w:w="3656"/>
      </w:tblGrid>
      <w:tr>
        <w:trPr>
          <w:cantSplit/>
          <w:tblHeader/>
        </w:trPr>
        <w:tc>
          <w:tcPr>
            <w:tcW w:type="dxa" w:w="306"/>
            <w:shd w:val="clear" w:color="auto" w:fill="1F4E79"/>
            <w:vAlign w:val="center"/>
          </w:tcPr>
          <w:p>
            <w:pPr>
              <w:keepNext/>
              <w:spacing w:after="0"/>
              <w:jc w:val="center"/>
            </w:pPr>
            <w:r>
              <w:rPr>
                <w:rFonts w:ascii="Calibri" w:hAnsi="Calibri"/>
                <w:b/>
                <w:i w:val="0"/>
                <w:color w:val="FFFFFF"/>
                <w:sz w:val="20"/>
              </w:rPr>
              <w:t>#</w:t>
            </w:r>
          </w:p>
        </w:tc>
        <w:tc>
          <w:tcPr>
            <w:tcW w:type="dxa" w:w="2188"/>
            <w:shd w:val="clear" w:color="auto" w:fill="1F4E79"/>
            <w:vAlign w:val="center"/>
          </w:tcPr>
          <w:p>
            <w:pPr>
              <w:keepNext/>
              <w:spacing w:after="0"/>
            </w:pPr>
            <w:r>
              <w:rPr>
                <w:rFonts w:ascii="Calibri" w:hAnsi="Calibri"/>
                <w:b/>
                <w:i w:val="0"/>
                <w:color w:val="FFFFFF"/>
                <w:sz w:val="20"/>
              </w:rPr>
              <w:t>finding</w:t>
            </w:r>
          </w:p>
        </w:tc>
        <w:tc>
          <w:tcPr>
            <w:tcW w:type="dxa" w:w="2346"/>
            <w:shd w:val="clear" w:color="auto" w:fill="1F4E79"/>
            <w:vAlign w:val="center"/>
          </w:tcPr>
          <w:p>
            <w:pPr>
              <w:keepNext/>
              <w:spacing w:after="0"/>
            </w:pPr>
            <w:r>
              <w:rPr>
                <w:rFonts w:ascii="Calibri" w:hAnsi="Calibri"/>
                <w:b/>
                <w:i w:val="0"/>
                <w:color w:val="FFFFFF"/>
                <w:sz w:val="20"/>
              </w:rPr>
              <w:t>evidence</w:t>
            </w:r>
          </w:p>
        </w:tc>
        <w:tc>
          <w:tcPr>
            <w:tcW w:type="dxa" w:w="3656"/>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1</w:t>
            </w:r>
          </w:p>
        </w:tc>
        <w:tc>
          <w:tcPr>
            <w:tcW w:type="dxa" w:w="2188"/>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346"/>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656"/>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2</w:t>
            </w:r>
          </w:p>
        </w:tc>
        <w:tc>
          <w:tcPr>
            <w:tcW w:type="dxa" w:w="2188"/>
            <w:shd w:val="clear" w:color="auto" w:fill="F7F9FB"/>
            <w:vAlign w:val="center"/>
          </w:tcPr>
          <w:p>
            <w:pPr>
              <w:keepNext/>
              <w:spacing w:after="0"/>
            </w:pPr>
            <w:r>
              <w:rPr>
                <w:rFonts w:ascii="Calibri" w:hAnsi="Calibri"/>
                <w:b w:val="0"/>
                <w:i w:val="0"/>
                <w:color w:val="222222"/>
                <w:sz w:val="20"/>
              </w:rPr>
              <w:t>chamber readouts miss direction</w:t>
            </w:r>
          </w:p>
        </w:tc>
        <w:tc>
          <w:tcPr>
            <w:tcW w:type="dxa" w:w="2346"/>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656"/>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3</w:t>
            </w:r>
          </w:p>
        </w:tc>
        <w:tc>
          <w:tcPr>
            <w:tcW w:type="dxa" w:w="2188"/>
            <w:shd w:val="clear" w:color="auto" w:fill="FFFFFF"/>
            <w:vAlign w:val="center"/>
          </w:tcPr>
          <w:p>
            <w:pPr>
              <w:keepNext/>
              <w:spacing w:after="0"/>
            </w:pPr>
            <w:r>
              <w:rPr>
                <w:rFonts w:ascii="Calibri" w:hAnsi="Calibri"/>
                <w:b w:val="0"/>
                <w:i w:val="0"/>
                <w:color w:val="222222"/>
                <w:sz w:val="20"/>
              </w:rPr>
              <w:t>no cross-laboratory transfer</w:t>
            </w:r>
          </w:p>
        </w:tc>
        <w:tc>
          <w:tcPr>
            <w:tcW w:type="dxa" w:w="2346"/>
            <w:shd w:val="clear" w:color="auto" w:fill="FFFFFF"/>
            <w:vAlign w:val="center"/>
          </w:tcPr>
          <w:p>
            <w:pPr>
              <w:keepNext/>
              <w:spacing w:after="0"/>
            </w:pPr>
            <w:r>
              <w:rPr>
                <w:rFonts w:ascii="Calibri" w:hAnsi="Calibri"/>
                <w:b w:val="0"/>
                <w:i w:val="0"/>
                <w:color w:val="222222"/>
                <w:sz w:val="20"/>
              </w:rPr>
              <w:t>0.3482 against 0.3333 chance</w:t>
            </w:r>
          </w:p>
        </w:tc>
        <w:tc>
          <w:tcPr>
            <w:tcW w:type="dxa" w:w="3656"/>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4</w:t>
            </w:r>
          </w:p>
        </w:tc>
        <w:tc>
          <w:tcPr>
            <w:tcW w:type="dxa" w:w="2188"/>
            <w:shd w:val="clear" w:color="auto" w:fill="F7F9FB"/>
            <w:vAlign w:val="center"/>
          </w:tcPr>
          <w:p>
            <w:pPr>
              <w:keepNext/>
              <w:spacing w:after="0"/>
            </w:pPr>
            <w:r>
              <w:rPr>
                <w:rFonts w:ascii="Calibri" w:hAnsi="Calibri"/>
                <w:b w:val="0"/>
                <w:i w:val="0"/>
                <w:color w:val="222222"/>
                <w:sz w:val="20"/>
              </w:rPr>
              <w:t>domain adaptation backfires</w:t>
            </w:r>
          </w:p>
        </w:tc>
        <w:tc>
          <w:tcPr>
            <w:tcW w:type="dxa" w:w="2346"/>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656"/>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5</w:t>
            </w:r>
          </w:p>
        </w:tc>
        <w:tc>
          <w:tcPr>
            <w:tcW w:type="dxa" w:w="2188"/>
            <w:shd w:val="clear" w:color="auto" w:fill="FFFFFF"/>
            <w:vAlign w:val="center"/>
          </w:tcPr>
          <w:p>
            <w:pPr>
              <w:keepNext/>
              <w:spacing w:after="0"/>
            </w:pPr>
            <w:r>
              <w:rPr>
                <w:rFonts w:ascii="Calibri" w:hAnsi="Calibri"/>
                <w:b w:val="0"/>
                <w:i w:val="0"/>
                <w:color w:val="222222"/>
                <w:sz w:val="20"/>
              </w:rPr>
              <w:t>synchrony was an artifact</w:t>
            </w:r>
          </w:p>
        </w:tc>
        <w:tc>
          <w:tcPr>
            <w:tcW w:type="dxa" w:w="2346"/>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656"/>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6</w:t>
            </w:r>
          </w:p>
        </w:tc>
        <w:tc>
          <w:tcPr>
            <w:tcW w:type="dxa" w:w="2188"/>
            <w:shd w:val="clear" w:color="auto" w:fill="F7F9FB"/>
            <w:vAlign w:val="center"/>
          </w:tcPr>
          <w:p>
            <w:pPr>
              <w:keepNext/>
              <w:spacing w:after="0"/>
            </w:pPr>
            <w:r>
              <w:rPr>
                <w:rFonts w:ascii="Calibri" w:hAnsi="Calibri"/>
                <w:b w:val="0"/>
                <w:i w:val="0"/>
                <w:color w:val="222222"/>
                <w:sz w:val="20"/>
              </w:rPr>
              <w:t>posterior over-confidence</w:t>
            </w:r>
          </w:p>
        </w:tc>
        <w:tc>
          <w:tcPr>
            <w:tcW w:type="dxa" w:w="2346"/>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w:t>
            </w:r>
          </w:p>
        </w:tc>
        <w:tc>
          <w:tcPr>
            <w:tcW w:type="dxa" w:w="3656"/>
            <w:shd w:val="clear" w:color="auto" w:fill="F7F9FB"/>
            <w:vAlign w:val="center"/>
          </w:tcPr>
          <w:p>
            <w:pPr>
              <w:keepNext/>
              <w:spacing w:after="0"/>
            </w:pPr>
            <w:r>
              <w:rPr>
                <w:rFonts w:ascii="Calibri" w:hAnsi="Calibri"/>
                <w:b w:val="0"/>
                <w:i w:val="0"/>
                <w:color w:val="222222"/>
                <w:sz w:val="20"/>
              </w:rPr>
              <w:t>check rank uniformity before quoting an interval; quote only parameters that pass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7</w:t>
            </w:r>
          </w:p>
        </w:tc>
        <w:tc>
          <w:tcPr>
            <w:tcW w:type="dxa" w:w="2188"/>
            <w:shd w:val="clear" w:color="auto" w:fill="FFFFFF"/>
            <w:vAlign w:val="center"/>
          </w:tcPr>
          <w:p>
            <w:pPr>
              <w:keepNext/>
              <w:spacing w:after="0"/>
            </w:pPr>
            <w:r>
              <w:rPr>
                <w:rFonts w:ascii="Calibri" w:hAnsi="Calibri"/>
                <w:b w:val="0"/>
                <w:i w:val="0"/>
                <w:color w:val="222222"/>
                <w:sz w:val="20"/>
              </w:rPr>
              <w:t>baseline read as drug effect</w:t>
            </w:r>
          </w:p>
        </w:tc>
        <w:tc>
          <w:tcPr>
            <w:tcW w:type="dxa" w:w="2346"/>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656"/>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8</w:t>
            </w:r>
          </w:p>
        </w:tc>
        <w:tc>
          <w:tcPr>
            <w:tcW w:type="dxa" w:w="2188"/>
            <w:shd w:val="clear" w:color="auto" w:fill="F7F9FB"/>
            <w:vAlign w:val="center"/>
          </w:tcPr>
          <w:p>
            <w:pPr>
              <w:keepNext/>
              <w:spacing w:after="0"/>
            </w:pPr>
            <w:r>
              <w:rPr>
                <w:rFonts w:ascii="Calibri" w:hAnsi="Calibri"/>
                <w:b w:val="0"/>
                <w:i w:val="0"/>
                <w:color w:val="222222"/>
                <w:sz w:val="20"/>
              </w:rPr>
              <w:t>support rejection</w:t>
            </w:r>
          </w:p>
        </w:tc>
        <w:tc>
          <w:tcPr>
            <w:tcW w:type="dxa" w:w="2346"/>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656"/>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6"/>
            <w:shd w:val="clear" w:color="auto" w:fill="FFFFFF"/>
            <w:vAlign w:val="center"/>
          </w:tcPr>
          <w:p>
            <w:pPr>
              <w:keepNext w:val="0"/>
              <w:spacing w:after="0"/>
              <w:jc w:val="center"/>
            </w:pPr>
            <w:r>
              <w:rPr>
                <w:rFonts w:ascii="Calibri" w:hAnsi="Calibri"/>
                <w:b/>
                <w:i w:val="0"/>
                <w:color w:val="222222"/>
                <w:sz w:val="20"/>
              </w:rPr>
              <w:t>9</w:t>
            </w:r>
          </w:p>
        </w:tc>
        <w:tc>
          <w:tcPr>
            <w:tcW w:type="dxa" w:w="2188"/>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346"/>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656"/>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 Since round 1: in the EPA's rat cortical wells, GABA-A antagonists raise firing rate as the twin does (§33), so the real direction differs between laboratories</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4" name="Picture 14"/>
            <wp:cNvGraphicFramePr>
              <a:graphicFrameLocks noChangeAspect="1"/>
            </wp:cNvGraphicFramePr>
            <a:graphic>
              <a:graphicData uri="http://schemas.openxmlformats.org/drawingml/2006/picture">
                <pic:pic>
                  <pic:nvPicPr>
                    <pic:cNvPr id="0" name="depression_under_block_simulated.png"/>
                    <pic:cNvPicPr/>
                  </pic:nvPicPr>
                  <pic:blipFill>
                    <a:blip r:embed="rId26"/>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six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spacing w:after="120"/>
      </w:pPr>
      <w:r>
        <w:rPr>
          <w:rFonts w:ascii="Calibri" w:hAnsi="Calibri"/>
          <w:b/>
          <w:i w:val="0"/>
          <w:color w:val="156082"/>
          <w:sz w:val="21"/>
        </w:rPr>
        <w:t>6. Sample size and plate layout, from real untreated wells (Act IX, added after the first round).</w:t>
      </w:r>
      <w:r>
        <w:rPr>
          <w:rFonts w:ascii="Calibri" w:hAnsi="Calibri"/>
          <w:b w:val="0"/>
          <w:i w:val="0"/>
          <w:color w:val="222222"/>
          <w:sz w:val="21"/>
        </w:rPr>
        <w:t xml:space="preserve"> Before a lab runs a chip screen it needs to know how many wells a given change takes and how to lay them out. The EPA's own vehicle wells answer that for each of 15 readouts (§32). Untreated firing rate falls by a median of −32% over the exposure window, and the exposure day carries 0.42 of the variance, so every reading must be made against vehicle wells from the same day: against a historical reference no number of wells from one day sees a halving of firing rate, while 4 treated and 4 vehicle wells on that day do. Burst-shape and synchrony readouts are several times quieter than firing rate and need far fewer wells for the same relative change. §34 turns this into three quality-control rules.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76"/>
        <w:gridCol w:w="4519"/>
        <w:gridCol w:w="2301"/>
      </w:tblGrid>
      <w:tr>
        <w:trPr>
          <w:cantSplit/>
          <w:tblHeader/>
        </w:trPr>
        <w:tc>
          <w:tcPr>
            <w:tcW w:type="dxa" w:w="1676"/>
            <w:shd w:val="clear" w:color="auto" w:fill="1F4E79"/>
            <w:vAlign w:val="center"/>
          </w:tcPr>
          <w:p>
            <w:pPr>
              <w:keepNext/>
              <w:spacing w:after="0"/>
            </w:pPr>
            <w:r>
              <w:rPr>
                <w:rFonts w:ascii="Calibri" w:hAnsi="Calibri"/>
                <w:b/>
                <w:i w:val="0"/>
                <w:color w:val="FFFFFF"/>
                <w:sz w:val="20"/>
              </w:rPr>
              <w:t>step</w:t>
            </w:r>
          </w:p>
        </w:tc>
        <w:tc>
          <w:tcPr>
            <w:tcW w:type="dxa" w:w="4519"/>
            <w:shd w:val="clear" w:color="auto" w:fill="1F4E79"/>
            <w:vAlign w:val="center"/>
          </w:tcPr>
          <w:p>
            <w:pPr>
              <w:keepNext/>
              <w:spacing w:after="0"/>
            </w:pPr>
            <w:r>
              <w:rPr>
                <w:rFonts w:ascii="Calibri" w:hAnsi="Calibri"/>
                <w:b/>
                <w:i w:val="0"/>
                <w:color w:val="FFFFFF"/>
                <w:sz w:val="20"/>
              </w:rPr>
              <w:t>command</w:t>
            </w:r>
          </w:p>
        </w:tc>
        <w:tc>
          <w:tcPr>
            <w:tcW w:type="dxa" w:w="2301"/>
            <w:shd w:val="clear" w:color="auto" w:fill="1F4E79"/>
            <w:vAlign w:val="center"/>
          </w:tcPr>
          <w:p>
            <w:pPr>
              <w:keepNext/>
              <w:spacing w:after="0"/>
            </w:pPr>
            <w:r>
              <w:rPr>
                <w:rFonts w:ascii="Calibri" w:hAnsi="Calibri"/>
                <w:b/>
                <w:i w:val="0"/>
                <w:color w:val="FFFFFF"/>
                <w:sz w:val="20"/>
              </w:rPr>
              <w:t>what it does</w:t>
            </w:r>
          </w:p>
        </w:tc>
      </w:tr>
      <w:tr>
        <w:trPr>
          <w:cantSplit/>
        </w:trPr>
        <w:tc>
          <w:tcPr>
            <w:tcW w:type="dxa" w:w="1676"/>
            <w:shd w:val="clear" w:color="auto" w:fill="FFFFFF"/>
            <w:vAlign w:val="center"/>
          </w:tcPr>
          <w:p>
            <w:pPr>
              <w:keepNext/>
              <w:spacing w:after="0"/>
            </w:pPr>
            <w:r>
              <w:rPr>
                <w:rFonts w:ascii="Calibri" w:hAnsi="Calibri"/>
                <w:b/>
                <w:i w:val="0"/>
                <w:color w:val="222222"/>
                <w:sz w:val="20"/>
              </w:rPr>
              <w:t>1. get the code</w:t>
            </w:r>
          </w:p>
        </w:tc>
        <w:tc>
          <w:tcPr>
            <w:tcW w:type="dxa" w:w="451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301"/>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676"/>
            <w:shd w:val="clear" w:color="auto" w:fill="F7F9FB"/>
            <w:vAlign w:val="center"/>
          </w:tcPr>
          <w:p>
            <w:pPr>
              <w:keepNext/>
              <w:spacing w:after="0"/>
            </w:pPr>
            <w:r>
              <w:rPr>
                <w:rFonts w:ascii="Calibri" w:hAnsi="Calibri"/>
                <w:b/>
                <w:i w:val="0"/>
                <w:color w:val="222222"/>
                <w:sz w:val="20"/>
              </w:rPr>
              <w:t>2. create the environment</w:t>
            </w:r>
          </w:p>
        </w:tc>
        <w:tc>
          <w:tcPr>
            <w:tcW w:type="dxa" w:w="451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301"/>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676"/>
            <w:shd w:val="clear" w:color="auto" w:fill="FFFFFF"/>
            <w:vAlign w:val="center"/>
          </w:tcPr>
          <w:p>
            <w:pPr>
              <w:keepNext/>
              <w:spacing w:after="0"/>
            </w:pPr>
            <w:r>
              <w:rPr>
                <w:rFonts w:ascii="Calibri" w:hAnsi="Calibri"/>
                <w:b/>
                <w:i w:val="0"/>
                <w:color w:val="222222"/>
                <w:sz w:val="20"/>
              </w:rPr>
              <w:t>3. install</w:t>
            </w:r>
          </w:p>
        </w:tc>
        <w:tc>
          <w:tcPr>
            <w:tcW w:type="dxa" w:w="451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301"/>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676"/>
            <w:shd w:val="clear" w:color="auto" w:fill="F7F9FB"/>
            <w:vAlign w:val="center"/>
          </w:tcPr>
          <w:p>
            <w:pPr>
              <w:keepNext/>
              <w:spacing w:after="0"/>
            </w:pPr>
            <w:r>
              <w:rPr>
                <w:rFonts w:ascii="Calibri" w:hAnsi="Calibri"/>
                <w:b/>
                <w:i w:val="0"/>
                <w:color w:val="222222"/>
                <w:sz w:val="20"/>
              </w:rPr>
              <w:t>4. quick run</w:t>
            </w:r>
          </w:p>
        </w:tc>
        <w:tc>
          <w:tcPr>
            <w:tcW w:type="dxa" w:w="4519"/>
            <w:shd w:val="clear" w:color="auto" w:fill="F7F9FB"/>
            <w:vAlign w:val="center"/>
          </w:tcPr>
          <w:p>
            <w:pPr>
              <w:keepNext/>
              <w:spacing w:after="0"/>
            </w:pPr>
            <w:r>
              <w:rPr>
                <w:rFonts w:ascii="Consolas" w:hAnsi="Consolas"/>
                <w:b w:val="0"/>
                <w:i w:val="0"/>
                <w:color w:val="222222"/>
                <w:sz w:val="18"/>
              </w:rPr>
              <w:t>.venv/bin/python run_all.py --quick</w:t>
            </w:r>
          </w:p>
        </w:tc>
        <w:tc>
          <w:tcPr>
            <w:tcW w:type="dxa" w:w="2301"/>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676"/>
            <w:shd w:val="clear" w:color="auto" w:fill="FFFFFF"/>
            <w:vAlign w:val="center"/>
          </w:tcPr>
          <w:p>
            <w:pPr>
              <w:keepNext/>
              <w:spacing w:after="0"/>
            </w:pPr>
            <w:r>
              <w:rPr>
                <w:rFonts w:ascii="Calibri" w:hAnsi="Calibri"/>
                <w:b/>
                <w:i w:val="0"/>
                <w:color w:val="222222"/>
                <w:sz w:val="20"/>
              </w:rPr>
              <w:t>5. full run</w:t>
            </w:r>
          </w:p>
        </w:tc>
        <w:tc>
          <w:tcPr>
            <w:tcW w:type="dxa" w:w="4519"/>
            <w:shd w:val="clear" w:color="auto" w:fill="FFFFFF"/>
            <w:vAlign w:val="center"/>
          </w:tcPr>
          <w:p>
            <w:pPr>
              <w:keepNext/>
              <w:spacing w:after="0"/>
            </w:pPr>
            <w:r>
              <w:rPr>
                <w:rFonts w:ascii="Consolas" w:hAnsi="Consolas"/>
                <w:b w:val="0"/>
                <w:i w:val="0"/>
                <w:color w:val="222222"/>
                <w:sz w:val="18"/>
              </w:rPr>
              <w:t>.venv/bin/python run_all.py</w:t>
            </w:r>
          </w:p>
        </w:tc>
        <w:tc>
          <w:tcPr>
            <w:tcW w:type="dxa" w:w="2301"/>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676"/>
            <w:shd w:val="clear" w:color="auto" w:fill="F7F9FB"/>
            <w:vAlign w:val="center"/>
          </w:tcPr>
          <w:p>
            <w:pPr>
              <w:keepNext/>
              <w:spacing w:after="0"/>
            </w:pPr>
            <w:r>
              <w:rPr>
                <w:rFonts w:ascii="Calibri" w:hAnsi="Calibri"/>
                <w:b/>
                <w:i w:val="0"/>
                <w:color w:val="222222"/>
                <w:sz w:val="20"/>
              </w:rPr>
              <w:t>6. check the numbers</w:t>
            </w:r>
          </w:p>
        </w:tc>
        <w:tc>
          <w:tcPr>
            <w:tcW w:type="dxa" w:w="451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301"/>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676"/>
            <w:shd w:val="clear" w:color="auto" w:fill="FFFFFF"/>
            <w:vAlign w:val="center"/>
          </w:tcPr>
          <w:p>
            <w:pPr>
              <w:keepNext/>
              <w:spacing w:after="0"/>
            </w:pPr>
            <w:r>
              <w:rPr>
                <w:rFonts w:ascii="Calibri" w:hAnsi="Calibri"/>
                <w:b/>
                <w:i w:val="0"/>
                <w:color w:val="222222"/>
                <w:sz w:val="20"/>
              </w:rPr>
              <w:t>7. check the registrations</w:t>
            </w:r>
          </w:p>
        </w:tc>
        <w:tc>
          <w:tcPr>
            <w:tcW w:type="dxa" w:w="4519"/>
            <w:shd w:val="clear" w:color="auto" w:fill="FFFFFF"/>
            <w:vAlign w:val="center"/>
          </w:tcPr>
          <w:p>
            <w:pPr>
              <w:keepNext/>
              <w:spacing w:after="0"/>
            </w:pPr>
            <w:r>
              <w:rPr>
                <w:rFonts w:ascii="Consolas" w:hAnsi="Consolas"/>
                <w:b w:val="0"/>
                <w:i w:val="0"/>
                <w:color w:val="222222"/>
                <w:sz w:val="18"/>
              </w:rPr>
              <w:t>.venv/bin/python -m neuromps.report.timestamps</w:t>
            </w:r>
          </w:p>
        </w:tc>
        <w:tc>
          <w:tcPr>
            <w:tcW w:type="dxa" w:w="2301"/>
            <w:shd w:val="clear" w:color="auto" w:fill="FFFFFF"/>
            <w:vAlign w:val="center"/>
          </w:tcPr>
          <w:p>
            <w:pPr>
              <w:keepNext/>
              <w:spacing w:after="0"/>
            </w:pPr>
            <w:r>
              <w:rPr>
                <w:rFonts w:ascii="Calibri" w:hAnsi="Calibri"/>
                <w:b w:val="0"/>
                <w:i w:val="0"/>
                <w:color w:val="222222"/>
                <w:sz w:val="20"/>
              </w:rPr>
              <w:t>hash-chains every registration and checks that each was committed before its results (needs the full git history, not a shallow clone)</w:t>
            </w:r>
          </w:p>
        </w:tc>
      </w:tr>
      <w:tr>
        <w:trPr>
          <w:cantSplit/>
        </w:trPr>
        <w:tc>
          <w:tcPr>
            <w:tcW w:type="dxa" w:w="1676"/>
            <w:shd w:val="clear" w:color="auto" w:fill="F7F9FB"/>
            <w:vAlign w:val="center"/>
          </w:tcPr>
          <w:p>
            <w:pPr>
              <w:keepNext w:val="0"/>
              <w:spacing w:after="0"/>
            </w:pPr>
            <w:r>
              <w:rPr>
                <w:rFonts w:ascii="Calibri" w:hAnsi="Calibri"/>
                <w:b/>
                <w:i w:val="0"/>
                <w:color w:val="222222"/>
                <w:sz w:val="20"/>
              </w:rPr>
              <w:t>8. open the demo</w:t>
            </w:r>
          </w:p>
        </w:tc>
        <w:tc>
          <w:tcPr>
            <w:tcW w:type="dxa" w:w="4519"/>
            <w:shd w:val="clear" w:color="auto" w:fill="F7F9FB"/>
            <w:vAlign w:val="center"/>
          </w:tcPr>
          <w:p>
            <w:pPr>
              <w:keepNext w:val="0"/>
              <w:spacing w:after="0"/>
            </w:pPr>
            <w:r>
              <w:rPr>
                <w:rFonts w:ascii="Consolas" w:hAnsi="Consolas"/>
                <w:b w:val="0"/>
                <w:i w:val="0"/>
                <w:color w:val="222222"/>
                <w:sz w:val="18"/>
              </w:rPr>
              <w:t>.venv/bin/streamlit run app/app.py</w:t>
            </w:r>
          </w:p>
        </w:tc>
        <w:tc>
          <w:tcPr>
            <w:tcW w:type="dxa" w:w="2301"/>
            <w:shd w:val="clear" w:color="auto" w:fill="F7F9FB"/>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spacing w:after="120"/>
      </w:pPr>
      <w:r>
        <w:rPr>
          <w:rFonts w:ascii="Calibri" w:hAnsi="Calibri"/>
          <w:b w:val="0"/>
          <w:i w:val="0"/>
          <w:color w:val="222222"/>
          <w:sz w:val="21"/>
        </w:rPr>
        <w:t xml:space="preserve">The registrations are checked the same way. Every study that registered its predictions in </w:t>
      </w:r>
      <w:r>
        <w:rPr>
          <w:rFonts w:ascii="Consolas" w:hAnsi="Consolas"/>
          <w:b w:val="0"/>
          <w:i w:val="0"/>
          <w:color w:val="222222"/>
          <w:sz w:val="19"/>
        </w:rPr>
        <w:t>preregistration/</w:t>
      </w:r>
      <w:r>
        <w:rPr>
          <w:rFonts w:ascii="Calibri" w:hAnsi="Calibri"/>
          <w:b w:val="0"/>
          <w:i w:val="0"/>
          <w:color w:val="222222"/>
          <w:sz w:val="21"/>
        </w:rPr>
        <w:t xml:space="preserve"> records each prediction's outcome, and </w:t>
      </w:r>
      <w:r>
        <w:rPr>
          <w:rFonts w:ascii="Consolas" w:hAnsi="Consolas"/>
          <w:b w:val="0"/>
          <w:i w:val="0"/>
          <w:color w:val="222222"/>
          <w:sz w:val="19"/>
        </w:rPr>
        <w:t>neuromps.report.audit</w:t>
      </w:r>
      <w:r>
        <w:rPr>
          <w:rFonts w:ascii="Calibri" w:hAnsi="Calibri"/>
          <w:b w:val="0"/>
          <w:i w:val="0"/>
          <w:color w:val="222222"/>
          <w:sz w:val="21"/>
        </w:rPr>
        <w:t xml:space="preserve"> (run at the end of every </w:t>
      </w:r>
      <w:r>
        <w:rPr>
          <w:rFonts w:ascii="Consolas" w:hAnsi="Consolas"/>
          <w:b w:val="0"/>
          <w:i w:val="0"/>
          <w:color w:val="222222"/>
          <w:sz w:val="19"/>
        </w:rPr>
        <w:t>run_all</w:t>
      </w:r>
      <w:r>
        <w:rPr>
          <w:rFonts w:ascii="Calibri" w:hAnsi="Calibri"/>
          <w:b w:val="0"/>
          <w:i w:val="0"/>
          <w:color w:val="222222"/>
          <w:sz w:val="21"/>
        </w:rPr>
        <w:t xml:space="preserve">) counts them: 42 studies made 216 registered predictions, of which 97 passed, 80 failed and 38 were uninterpretable. The audit names any study whose predictions carry no outcome, so that none is left out unnoticed (none is now; </w:t>
      </w:r>
      <w:r>
        <w:rPr>
          <w:rFonts w:ascii="Consolas" w:hAnsi="Consolas"/>
          <w:b w:val="0"/>
          <w:i w:val="0"/>
          <w:color w:val="222222"/>
          <w:sz w:val="19"/>
        </w:rPr>
        <w:t>registration_audit.unrecognised</w:t>
      </w:r>
      <w:r>
        <w:rPr>
          <w:rFonts w:ascii="Calibri" w:hAnsi="Calibri"/>
          <w:b w:val="0"/>
          <w:i w:val="0"/>
          <w:color w:val="222222"/>
          <w:sz w:val="21"/>
        </w:rPr>
        <w:t xml:space="preserve">), and it leaves out the rhythm audit, which re-reads predictions already counted under their own stages.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each registration's checksum and the commit that first added it, a hash chain over them in commit order, and, for every result file that names its registration, whether the registration's commit came first. Of 41 registrations, 38 result files were checked and 0 came before their registration. The check cannot see the 3 registrations whose results do not name them (the twin's depression test, its prior classifier and the ToxCast noise floors), and it rests on this repository's own history, not on a third-party timestamp. The two manuscripts in preparation register their studies the same way in a separate, private repository.</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5" name="Picture 15"/>
            <wp:cNvGraphicFramePr>
              <a:graphicFrameLocks noChangeAspect="1"/>
            </wp:cNvGraphicFramePr>
            <a:graphic>
              <a:graphicData uri="http://schemas.openxmlformats.org/drawingml/2006/picture">
                <pic:pic>
                  <pic:nvPicPr>
                    <pic:cNvPr id="0" name="fly_chip_to_animal_dose_SIMULATED.png"/>
                    <pic:cNvPicPr/>
                  </pic:nvPicPr>
                  <pic:blipFill>
                    <a:blip r:embed="rId27"/>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6" name="Picture 16"/>
            <wp:cNvGraphicFramePr>
              <a:graphicFrameLocks noChangeAspect="1"/>
            </wp:cNvGraphicFramePr>
            <a:graphic>
              <a:graphicData uri="http://schemas.openxmlformats.org/drawingml/2006/picture">
                <pic:pic>
                  <pic:nvPicPr>
                    <pic:cNvPr id="0" name="fly_sentinel_ladder_SIMULATED.png"/>
                    <pic:cNvPicPr/>
                  </pic:nvPicPr>
                  <pic:blipFill>
                    <a:blip r:embed="rId28"/>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7" name="Picture 17"/>
            <wp:cNvGraphicFramePr>
              <a:graphicFrameLocks noChangeAspect="1"/>
            </wp:cNvGraphicFramePr>
            <a:graphic>
              <a:graphicData uri="http://schemas.openxmlformats.org/drawingml/2006/picture">
                <pic:pic>
                  <pic:nvPicPr>
                    <pic:cNvPr id="0" name="fly_output_tract_SIMULATED.png"/>
                    <pic:cNvPicPr/>
                  </pic:nvPicPr>
                  <pic:blipFill>
                    <a:blip r:embed="rId29"/>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18" name="Picture 18"/>
            <wp:cNvGraphicFramePr>
              <a:graphicFrameLocks noChangeAspect="1"/>
            </wp:cNvGraphicFramePr>
            <a:graphic>
              <a:graphicData uri="http://schemas.openxmlformats.org/drawingml/2006/picture">
                <pic:pic>
                  <pic:nvPicPr>
                    <pic:cNvPr id="0" name="fly_direction_SIMULATED.png"/>
                    <pic:cNvPicPr/>
                  </pic:nvPicPr>
                  <pic:blipFill>
                    <a:blip r:embed="rId30"/>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19" name="Picture 19"/>
            <wp:cNvGraphicFramePr>
              <a:graphicFrameLocks noChangeAspect="1"/>
            </wp:cNvGraphicFramePr>
            <a:graphic>
              <a:graphicData uri="http://schemas.openxmlformats.org/drawingml/2006/picture">
                <pic:pic>
                  <pic:nvPicPr>
                    <pic:cNvPr id="0" name="fly_motor_onsets_SIMULATED.png"/>
                    <pic:cNvPicPr/>
                  </pic:nvPicPr>
                  <pic:blipFill>
                    <a:blip r:embed="rId31"/>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0" name="Picture 20"/>
            <wp:cNvGraphicFramePr>
              <a:graphicFrameLocks noChangeAspect="1"/>
            </wp:cNvGraphicFramePr>
            <a:graphic>
              <a:graphicData uri="http://schemas.openxmlformats.org/drawingml/2006/picture">
                <pic:pic>
                  <pic:nvPicPr>
                    <pic:cNvPr id="0" name="fly_motor_tie_break_SIMULATED.png"/>
                    <pic:cNvPicPr/>
                  </pic:nvPicPr>
                  <pic:blipFill>
                    <a:blip r:embed="rId32"/>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GABA-A and GluCl block break it well before the chip flags them; whether acetylcholine block is caught first depends on how the rhythm is scored (a registered retest counts its low-dose rise in rhythm as a change at 0.2), so it is not claimed.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360" w:after="120"/>
      </w:pPr>
      <w:r>
        <w:rPr>
          <w:rFonts w:ascii="Calibri" w:hAnsi="Calibri"/>
          <w:b/>
          <w:i w:val="0"/>
          <w:color w:val="2F5597"/>
          <w:sz w:val="27"/>
        </w:rPr>
        <w:t>ACT IX: What a real screen's untreated wells say (after round 1)</w:t>
      </w:r>
    </w:p>
    <w:p>
      <w:pPr>
        <w:spacing w:after="120"/>
      </w:pPr>
      <w:r>
        <w:rPr>
          <w:rFonts w:ascii="Calibri" w:hAnsi="Calibri"/>
          <w:b w:val="0"/>
          <w:i/>
          <w:color w:val="222222"/>
          <w:sz w:val="21"/>
        </w:rPr>
        <w:t xml:space="preserve">Added after the first-round deadline (`report/POST_SUBMISSION_CHANGES.md`, entry 42). Unlike Acts VII and VIII, the measurements in this act are </w:t>
      </w:r>
      <w:r>
        <w:rPr>
          <w:rFonts w:ascii="Calibri" w:hAnsi="Calibri"/>
          <w:b w:val="0"/>
          <w:i/>
          <w:color w:val="222222"/>
          <w:sz w:val="21"/>
        </w:rPr>
        <w:t>real</w:t>
      </w:r>
      <w:r>
        <w:rPr>
          <w:rFonts w:ascii="Calibri" w:hAnsi="Calibri"/>
          <w:b w:val="0"/>
          <w:i/>
          <w:color w:val="222222"/>
          <w:sz w:val="21"/>
        </w:rPr>
        <w:t>: well-level recordings from the EPA's acute MEA screen. The twin's side of §33 and §35 is simulated and labelled so. All three analyses were registered before any response statistic was computed (`preregistration/toxcast_noise_floors.json`, `preregistration/twin_toxcast_positive_controls.json`, `preregistration/twin_toxcast_dose_response.json`). This is research decision support about measurement design; nothing here is a claim about any compound's effect.</w:t>
      </w:r>
    </w:p>
    <w:p>
      <w:pPr>
        <w:keepNext/>
        <w:spacing w:before="240" w:after="60"/>
      </w:pPr>
      <w:r>
        <w:rPr>
          <w:rFonts w:ascii="Calibri" w:hAnsi="Calibri"/>
          <w:b/>
          <w:i w:val="0"/>
          <w:color w:val="1F4E79"/>
          <w:sz w:val="23"/>
        </w:rPr>
        <w:t>32. How large a change can a chip see? The noise floor, per feature</w:t>
      </w:r>
    </w:p>
    <w:p>
      <w:pPr>
        <w:spacing w:after="120"/>
      </w:pPr>
      <w:r>
        <w:rPr>
          <w:rFonts w:ascii="Calibri" w:hAnsi="Calibri"/>
          <w:b w:val="0"/>
          <w:i w:val="0"/>
          <w:color w:val="222222"/>
          <w:sz w:val="21"/>
        </w:rPr>
        <w:t xml:space="preserve">A lab that wants to use a neural chip has to answer a plain question before any modelling: how many wells does it take to see a fall of a fifth, and in which readout? The answer depends on how much an </w:t>
      </w:r>
      <w:r>
        <w:rPr>
          <w:rFonts w:ascii="Calibri" w:hAnsi="Calibri"/>
          <w:b w:val="0"/>
          <w:i/>
          <w:color w:val="222222"/>
          <w:sz w:val="21"/>
        </w:rPr>
        <w:t>untreated</w:t>
      </w:r>
      <w:r>
        <w:rPr>
          <w:rFonts w:ascii="Calibri" w:hAnsi="Calibri"/>
          <w:b w:val="0"/>
          <w:i w:val="0"/>
          <w:color w:val="222222"/>
          <w:sz w:val="21"/>
        </w:rPr>
        <w:t xml:space="preserve"> well moves on its own, and on whether that movement is shared by wells recorded on the same day. Neither number is in the published curve fits we used in round 1. Both are in the EPA's raw database.</w:t>
      </w:r>
    </w:p>
    <w:p>
      <w:pPr>
        <w:keepNext/>
        <w:spacing w:after="120"/>
      </w:pPr>
      <w:r>
        <w:rPr>
          <w:rFonts w:ascii="Calibri" w:hAnsi="Calibri"/>
          <w:b/>
          <w:i w:val="0"/>
          <w:color w:val="156082"/>
          <w:sz w:val="21"/>
        </w:rPr>
        <w:t>The data.</w:t>
      </w:r>
      <w:r>
        <w:rPr>
          <w:rFonts w:ascii="Calibri" w:hAnsi="Calibri"/>
          <w:b w:val="0"/>
          <w:i w:val="0"/>
          <w:color w:val="222222"/>
          <w:sz w:val="21"/>
        </w:rPr>
        <w:t xml:space="preserve"> The EPA's ToxCast database (invitrodb, CC0) holds every well of its acute MEA screen: rat cortical cultures on 48-well plates, each well recorded 40 minutes before and 40 minutes after exposure, stored as the percent change from its own baseline. We read its full MySQL dump as text, never executing it, and extracted the 15 electrophysiology readouts (</w:t>
      </w:r>
      <w:r>
        <w:rPr>
          <w:rFonts w:ascii="Consolas" w:hAnsi="Consolas"/>
          <w:b w:val="0"/>
          <w:i w:val="0"/>
          <w:color w:val="222222"/>
          <w:sz w:val="19"/>
        </w:rPr>
        <w:t>neuromps.etl.toxcast_wells</w:t>
      </w:r>
      <w:r>
        <w:rPr>
          <w:rFonts w:ascii="Calibri" w:hAnsi="Calibri"/>
          <w:b w:val="0"/>
          <w:i w:val="0"/>
          <w:color w:val="222222"/>
          <w:sz w:val="21"/>
        </w:rPr>
        <w:t>). Seven of these readouts, firing rate among them, have no well rows in the public dump; we recovered them from the dump's own row numbering and checked the recovery against values the database stores independently: concentrations agree on every row and each exposure date's stored baseline is reproduced on every date (</w:t>
      </w:r>
      <w:r>
        <w:rPr>
          <w:rFonts w:ascii="Consolas" w:hAnsi="Consolas"/>
          <w:b w:val="0"/>
          <w:i w:val="0"/>
          <w:color w:val="222222"/>
          <w:sz w:val="19"/>
        </w:rPr>
        <w:t>neuromps.etl.toxcast_recover</w:t>
      </w:r>
      <w:r>
        <w:rPr>
          <w:rFonts w:ascii="Calibri" w:hAnsi="Calibri"/>
          <w:b w:val="0"/>
          <w:i w:val="0"/>
          <w:color w:val="222222"/>
          <w:sz w:val="21"/>
        </w:rPr>
        <w:t xml:space="preserve">; checks in </w:t>
      </w:r>
      <w:r>
        <w:rPr>
          <w:rFonts w:ascii="Consolas" w:hAnsi="Consolas"/>
          <w:b w:val="0"/>
          <w:i w:val="0"/>
          <w:color w:val="222222"/>
          <w:sz w:val="19"/>
        </w:rPr>
        <w:t>data/interim/toxcast_mea/recovery_checks.json</w:t>
      </w:r>
      <w:r>
        <w:rPr>
          <w:rFonts w:ascii="Calibri" w:hAnsi="Calibri"/>
          <w:b w:val="0"/>
          <w:i w:val="0"/>
          <w:color w:val="222222"/>
          <w:sz w:val="21"/>
        </w:rPr>
        <w:t>). The vehicle wells (DMSO or water) are the untreated reference: 714 wells on 97 exposure dates and 274 physical plates.</w:t>
      </w:r>
    </w:p>
    <w:p>
      <w:pPr>
        <w:keepNext/>
        <w:spacing w:before="120" w:after="40"/>
        <w:jc w:val="center"/>
      </w:pPr>
      <w:r>
        <w:drawing>
          <wp:inline xmlns:a="http://schemas.openxmlformats.org/drawingml/2006/main" xmlns:pic="http://schemas.openxmlformats.org/drawingml/2006/picture">
            <wp:extent cx="5394960" cy="2062560"/>
            <wp:docPr id="21" name="Picture 21"/>
            <wp:cNvGraphicFramePr>
              <a:graphicFrameLocks noChangeAspect="1"/>
            </wp:cNvGraphicFramePr>
            <a:graphic>
              <a:graphicData uri="http://schemas.openxmlformats.org/drawingml/2006/picture">
                <pic:pic>
                  <pic:nvPicPr>
                    <pic:cNvPr id="0" name="toxcast_noise_floors_real.png"/>
                    <pic:cNvPicPr/>
                  </pic:nvPicPr>
                  <pic:blipFill>
                    <a:blip r:embed="rId33"/>
                    <a:stretch>
                      <a:fillRect/>
                    </a:stretch>
                  </pic:blipFill>
                  <pic:spPr>
                    <a:xfrm>
                      <a:off x="0" y="0"/>
                      <a:ext cx="5394960" cy="2062560"/>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REAL ToxCast acute MEA vehicle wells. Left: each untreated well's change from its own baseline, 5th to 95th percentile (bar) and median (dot), per readout. Middle: the share of that variance carried by the exposure date, with a 95% interval from resampling dates. Right: the firing-rate fall detectable at 5% false alarms with 80% power against the number of wells, for three designs.</w:t>
      </w:r>
    </w:p>
    <w:p>
      <w:pPr>
        <w:spacing w:after="120"/>
      </w:pPr>
      <w:r>
        <w:rPr>
          <w:rFonts w:ascii="Calibri" w:hAnsi="Calibri"/>
          <w:b/>
          <w:i w:val="0"/>
          <w:color w:val="156082"/>
          <w:sz w:val="21"/>
        </w:rPr>
        <w:t>Three findings a chip user needs.</w:t>
      </w:r>
    </w:p>
    <w:p>
      <w:pPr>
        <w:spacing w:after="120"/>
        <w:ind w:left="432" w:hanging="259"/>
      </w:pPr>
      <w:r>
        <w:rPr>
          <w:rFonts w:ascii="Calibri" w:hAnsi="Calibri"/>
          <w:b w:val="0"/>
          <w:i w:val="0"/>
          <w:color w:val="222222"/>
          <w:sz w:val="21"/>
        </w:rPr>
        <w:t>1.</w:t>
        <w:tab/>
      </w:r>
      <w:r>
        <w:rPr>
          <w:rFonts w:ascii="Calibri" w:hAnsi="Calibri"/>
          <w:b/>
          <w:i w:val="0"/>
          <w:color w:val="156082"/>
          <w:sz w:val="21"/>
        </w:rPr>
        <w:t>Untreated wells drift, and by a lot.</w:t>
      </w:r>
      <w:r>
        <w:rPr>
          <w:rFonts w:ascii="Calibri" w:hAnsi="Calibri"/>
          <w:b w:val="0"/>
          <w:i w:val="0"/>
          <w:color w:val="222222"/>
          <w:sz w:val="21"/>
        </w:rPr>
        <w:t xml:space="preserve"> Over the 40-minute exposure window an untreated well's firing rate falls by a median of −32%, and one well in twenty falls by more than −69%. A treated well read only against its own baseline would show a large "effect" with no drug at all. Every change must be read against vehicle wells. Burst counts and cross-correlation drift the same way; burst shape, synchrony and network-burst readouts barely drift.</w:t>
      </w:r>
    </w:p>
    <w:p>
      <w:pPr>
        <w:spacing w:after="120"/>
        <w:ind w:left="432" w:hanging="259"/>
      </w:pPr>
      <w:r>
        <w:rPr>
          <w:rFonts w:ascii="Calibri" w:hAnsi="Calibri"/>
          <w:b w:val="0"/>
          <w:i w:val="0"/>
          <w:color w:val="222222"/>
          <w:sz w:val="21"/>
        </w:rPr>
        <w:t>2.</w:t>
        <w:tab/>
      </w:r>
      <w:r>
        <w:rPr>
          <w:rFonts w:ascii="Calibri" w:hAnsi="Calibri"/>
          <w:b/>
          <w:i w:val="0"/>
          <w:color w:val="156082"/>
          <w:sz w:val="21"/>
        </w:rPr>
        <w:t>Much of the noise is the day, not the well.</w:t>
      </w:r>
      <w:r>
        <w:rPr>
          <w:rFonts w:ascii="Calibri" w:hAnsi="Calibri"/>
          <w:b w:val="0"/>
          <w:i w:val="0"/>
          <w:color w:val="222222"/>
          <w:sz w:val="21"/>
        </w:rPr>
        <w:t xml:space="preserve"> The exposure date carries 0.42 of the variance in vehicle firing rate (95% interval 0.31 to 0.54, resampling dates); the physical plate adds almost nothing beyond it (plate share 0.40). Wells recorded on one day share that day's offset, so adding more of them does not average it away.</w:t>
      </w:r>
    </w:p>
    <w:p>
      <w:pPr>
        <w:spacing w:after="120"/>
        <w:ind w:left="432" w:hanging="259"/>
      </w:pPr>
      <w:r>
        <w:rPr>
          <w:rFonts w:ascii="Calibri" w:hAnsi="Calibri"/>
          <w:b w:val="0"/>
          <w:i w:val="0"/>
          <w:color w:val="222222"/>
          <w:sz w:val="21"/>
        </w:rPr>
        <w:t>3.</w:t>
        <w:tab/>
      </w:r>
      <w:r>
        <w:rPr>
          <w:rFonts w:ascii="Calibri" w:hAnsi="Calibri"/>
          <w:b/>
          <w:i w:val="0"/>
          <w:color w:val="156082"/>
          <w:sz w:val="21"/>
        </w:rPr>
        <w:t>So the design matters more than the well count.</w:t>
      </w:r>
      <w:r>
        <w:rPr>
          <w:rFonts w:ascii="Calibri" w:hAnsi="Calibri"/>
          <w:b w:val="0"/>
          <w:i w:val="0"/>
          <w:color w:val="222222"/>
          <w:sz w:val="21"/>
        </w:rPr>
        <w:t xml:space="preserve"> For a 20% fall in firing rate: 32 wells spread over independent dates suffice; the same number from one date, judged against the screen's historical vehicle mean, never does (more than 96 wells; even a 50% fall stays out of reach, since 96 wells from one date detect only a 52% fall); and wells from one date judged against the same number of vehicle wells from that date need 32 of each. For a 50% fall the counts are 3 independent wells, or 4 treated and 4 vehicle wells on one date. A single well detects only a fall of 68% or more, and rises are harder to see than falls of the same percentage (a 20% rise needs 48 independent wells).</w:t>
      </w:r>
    </w:p>
    <w:p>
      <w:pPr>
        <w:keepNext/>
        <w:spacing w:after="120"/>
      </w:pPr>
      <w:r>
        <w:rPr>
          <w:rFonts w:ascii="Calibri" w:hAnsi="Calibri"/>
          <w:b/>
          <w:i w:val="0"/>
          <w:color w:val="156082"/>
          <w:sz w:val="21"/>
        </w:rPr>
        <w:t>Wells needed to detect a fall, per readout</w:t>
      </w:r>
      <w:r>
        <w:rPr>
          <w:rFonts w:ascii="Calibri" w:hAnsi="Calibri"/>
          <w:b w:val="0"/>
          <w:i w:val="0"/>
          <w:color w:val="222222"/>
          <w:sz w:val="21"/>
        </w:rPr>
        <w:t xml:space="preserve"> (two-sided false alarms at 5% per test, power 80%; smallest count on the grid 1 to 96; A: wells spread over independent dates; B: all wells from one date against the historical vehicle mean; C: that many treated </w:t>
      </w:r>
      <w:r>
        <w:rPr>
          <w:rFonts w:ascii="Calibri" w:hAnsi="Calibri"/>
          <w:b w:val="0"/>
          <w:i/>
          <w:color w:val="222222"/>
          <w:sz w:val="21"/>
        </w:rPr>
        <w:t>and</w:t>
      </w:r>
      <w:r>
        <w:rPr>
          <w:rFonts w:ascii="Calibri" w:hAnsi="Calibri"/>
          <w:b w:val="0"/>
          <w:i w:val="0"/>
          <w:color w:val="222222"/>
          <w:sz w:val="21"/>
        </w:rPr>
        <w:t xml:space="preserve"> that many vehicle wells on one date; sorted by noise floor; every vehicle well of the screen, DMSO and water):</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43"/>
        <w:gridCol w:w="1898"/>
        <w:gridCol w:w="1079"/>
        <w:gridCol w:w="887"/>
        <w:gridCol w:w="1294"/>
        <w:gridCol w:w="1294"/>
      </w:tblGrid>
      <w:tr>
        <w:trPr>
          <w:cantSplit/>
          <w:tblHeader/>
        </w:trPr>
        <w:tc>
          <w:tcPr>
            <w:tcW w:type="dxa" w:w="2043"/>
            <w:shd w:val="clear" w:color="auto" w:fill="1F4E79"/>
            <w:vAlign w:val="center"/>
          </w:tcPr>
          <w:p>
            <w:pPr>
              <w:keepNext/>
              <w:spacing w:after="0"/>
            </w:pPr>
            <w:r>
              <w:rPr>
                <w:rFonts w:ascii="Calibri" w:hAnsi="Calibri"/>
                <w:b/>
                <w:i w:val="0"/>
                <w:color w:val="FFFFFF"/>
                <w:sz w:val="20"/>
              </w:rPr>
              <w:t>readout</w:t>
            </w:r>
          </w:p>
        </w:tc>
        <w:tc>
          <w:tcPr>
            <w:tcW w:type="dxa" w:w="1898"/>
            <w:shd w:val="clear" w:color="auto" w:fill="1F4E79"/>
            <w:vAlign w:val="center"/>
          </w:tcPr>
          <w:p>
            <w:pPr>
              <w:keepNext/>
              <w:spacing w:after="0"/>
            </w:pPr>
            <w:r>
              <w:rPr>
                <w:rFonts w:ascii="Calibri" w:hAnsi="Calibri"/>
                <w:b/>
                <w:i w:val="0"/>
                <w:color w:val="FFFFFF"/>
                <w:sz w:val="20"/>
              </w:rPr>
              <w:t>untreated change, median (5th to 95th pct.)</w:t>
            </w:r>
          </w:p>
        </w:tc>
        <w:tc>
          <w:tcPr>
            <w:tcW w:type="dxa" w:w="1079"/>
            <w:shd w:val="clear" w:color="auto" w:fill="1F4E79"/>
            <w:vAlign w:val="center"/>
          </w:tcPr>
          <w:p>
            <w:pPr>
              <w:keepNext/>
              <w:spacing w:after="0"/>
              <w:jc w:val="center"/>
            </w:pPr>
            <w:r>
              <w:rPr>
                <w:rFonts w:ascii="Calibri" w:hAnsi="Calibri"/>
                <w:b/>
                <w:i w:val="0"/>
                <w:color w:val="FFFFFF"/>
                <w:sz w:val="20"/>
              </w:rPr>
              <w:t>abs. q95 (log2)</w:t>
            </w:r>
          </w:p>
        </w:tc>
        <w:tc>
          <w:tcPr>
            <w:tcW w:type="dxa" w:w="887"/>
            <w:shd w:val="clear" w:color="auto" w:fill="1F4E79"/>
            <w:vAlign w:val="center"/>
          </w:tcPr>
          <w:p>
            <w:pPr>
              <w:keepNext/>
              <w:spacing w:after="0"/>
              <w:jc w:val="center"/>
            </w:pPr>
            <w:r>
              <w:rPr>
                <w:rFonts w:ascii="Calibri" w:hAnsi="Calibri"/>
                <w:b/>
                <w:i w:val="0"/>
                <w:color w:val="FFFFFF"/>
                <w:sz w:val="20"/>
              </w:rPr>
              <w:t>date share</w:t>
            </w:r>
          </w:p>
        </w:tc>
        <w:tc>
          <w:tcPr>
            <w:tcW w:type="dxa" w:w="1294"/>
            <w:shd w:val="clear" w:color="auto" w:fill="1F4E79"/>
            <w:vAlign w:val="center"/>
          </w:tcPr>
          <w:p>
            <w:pPr>
              <w:keepNext/>
              <w:spacing w:after="0"/>
            </w:pPr>
            <w:r>
              <w:rPr>
                <w:rFonts w:ascii="Calibri" w:hAnsi="Calibri"/>
                <w:b/>
                <w:i w:val="0"/>
                <w:color w:val="FFFFFF"/>
                <w:sz w:val="20"/>
              </w:rPr>
              <w:t>wells for a 20% fall (A / B / C)</w:t>
            </w:r>
          </w:p>
        </w:tc>
        <w:tc>
          <w:tcPr>
            <w:tcW w:type="dxa" w:w="1294"/>
            <w:shd w:val="clear" w:color="auto" w:fill="1F4E79"/>
            <w:vAlign w:val="center"/>
          </w:tcPr>
          <w:p>
            <w:pPr>
              <w:keepNext/>
              <w:spacing w:after="0"/>
            </w:pPr>
            <w:r>
              <w:rPr>
                <w:rFonts w:ascii="Calibri" w:hAnsi="Calibri"/>
                <w:b/>
                <w:i w:val="0"/>
                <w:color w:val="FFFFFF"/>
                <w:sz w:val="20"/>
              </w:rPr>
              <w:t>wells for a 50% fall (A / B / C)</w:t>
            </w:r>
          </w:p>
        </w:tc>
      </w:tr>
      <w:tr>
        <w:trPr>
          <w:cantSplit/>
        </w:trPr>
        <w:tc>
          <w:tcPr>
            <w:tcW w:type="dxa" w:w="2043"/>
            <w:shd w:val="clear" w:color="auto" w:fill="FFFFFF"/>
            <w:vAlign w:val="center"/>
          </w:tcPr>
          <w:p>
            <w:pPr>
              <w:keepNext/>
              <w:spacing w:after="0"/>
            </w:pPr>
            <w:r>
              <w:rPr>
                <w:rFonts w:ascii="Calibri" w:hAnsi="Calibri"/>
                <w:b/>
                <w:i w:val="0"/>
                <w:color w:val="222222"/>
                <w:sz w:val="20"/>
              </w:rPr>
              <w:t>network burst percentage</w:t>
            </w:r>
          </w:p>
        </w:tc>
        <w:tc>
          <w:tcPr>
            <w:tcW w:type="dxa" w:w="1898"/>
            <w:shd w:val="clear" w:color="auto" w:fill="FFFFFF"/>
            <w:vAlign w:val="center"/>
          </w:tcPr>
          <w:p>
            <w:pPr>
              <w:keepNext/>
              <w:spacing w:after="0"/>
            </w:pPr>
            <w:r>
              <w:rPr>
                <w:rFonts w:ascii="Calibri" w:hAnsi="Calibri"/>
                <w:b w:val="0"/>
                <w:i w:val="0"/>
                <w:color w:val="222222"/>
                <w:sz w:val="20"/>
              </w:rPr>
              <w:t>−1% (−12% to +2%)</w:t>
            </w:r>
          </w:p>
        </w:tc>
        <w:tc>
          <w:tcPr>
            <w:tcW w:type="dxa" w:w="1079"/>
            <w:shd w:val="clear" w:color="auto" w:fill="FFFFFF"/>
            <w:vAlign w:val="center"/>
          </w:tcPr>
          <w:p>
            <w:pPr>
              <w:keepNext/>
              <w:spacing w:after="0"/>
              <w:jc w:val="center"/>
            </w:pPr>
            <w:r>
              <w:rPr>
                <w:rFonts w:ascii="Calibri" w:hAnsi="Calibri"/>
                <w:b w:val="0"/>
                <w:i w:val="0"/>
                <w:color w:val="222222"/>
                <w:sz w:val="20"/>
              </w:rPr>
              <w:t>0.20</w:t>
            </w:r>
          </w:p>
        </w:tc>
        <w:tc>
          <w:tcPr>
            <w:tcW w:type="dxa" w:w="887"/>
            <w:shd w:val="clear" w:color="auto" w:fill="FFFFFF"/>
            <w:vAlign w:val="center"/>
          </w:tcPr>
          <w:p>
            <w:pPr>
              <w:keepNext/>
              <w:spacing w:after="0"/>
              <w:jc w:val="center"/>
            </w:pPr>
            <w:r>
              <w:rPr>
                <w:rFonts w:ascii="Calibri" w:hAnsi="Calibri"/>
                <w:b w:val="0"/>
                <w:i w:val="0"/>
                <w:color w:val="222222"/>
                <w:sz w:val="20"/>
              </w:rPr>
              <w:t>0.18</w:t>
            </w:r>
          </w:p>
        </w:tc>
        <w:tc>
          <w:tcPr>
            <w:tcW w:type="dxa" w:w="1294"/>
            <w:shd w:val="clear" w:color="auto" w:fill="FFFFFF"/>
            <w:vAlign w:val="center"/>
          </w:tcPr>
          <w:p>
            <w:pPr>
              <w:keepNext/>
              <w:spacing w:after="0"/>
              <w:jc w:val="center"/>
            </w:pPr>
            <w:r>
              <w:rPr>
                <w:rFonts w:ascii="Calibri" w:hAnsi="Calibri"/>
                <w:b w:val="0"/>
                <w:i w:val="0"/>
                <w:color w:val="222222"/>
                <w:sz w:val="20"/>
              </w:rPr>
              <w:t>3 / 8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synchrony index</w:t>
            </w:r>
          </w:p>
        </w:tc>
        <w:tc>
          <w:tcPr>
            <w:tcW w:type="dxa" w:w="1898"/>
            <w:shd w:val="clear" w:color="auto" w:fill="F7F9FB"/>
            <w:vAlign w:val="center"/>
          </w:tcPr>
          <w:p>
            <w:pPr>
              <w:keepNext/>
              <w:spacing w:after="0"/>
            </w:pPr>
            <w:r>
              <w:rPr>
                <w:rFonts w:ascii="Calibri" w:hAnsi="Calibri"/>
                <w:b w:val="0"/>
                <w:i w:val="0"/>
                <w:color w:val="222222"/>
                <w:sz w:val="20"/>
              </w:rPr>
              <w:t>−4% (−16% to +3%)</w:t>
            </w:r>
          </w:p>
        </w:tc>
        <w:tc>
          <w:tcPr>
            <w:tcW w:type="dxa" w:w="1079"/>
            <w:shd w:val="clear" w:color="auto" w:fill="F7F9FB"/>
            <w:vAlign w:val="center"/>
          </w:tcPr>
          <w:p>
            <w:pPr>
              <w:keepNext/>
              <w:spacing w:after="0"/>
              <w:jc w:val="center"/>
            </w:pPr>
            <w:r>
              <w:rPr>
                <w:rFonts w:ascii="Calibri" w:hAnsi="Calibri"/>
                <w:b w:val="0"/>
                <w:i w:val="0"/>
                <w:color w:val="222222"/>
                <w:sz w:val="20"/>
              </w:rPr>
              <w:t>0.26</w:t>
            </w:r>
          </w:p>
        </w:tc>
        <w:tc>
          <w:tcPr>
            <w:tcW w:type="dxa" w:w="887"/>
            <w:shd w:val="clear" w:color="auto" w:fill="F7F9FB"/>
            <w:vAlign w:val="center"/>
          </w:tcPr>
          <w:p>
            <w:pPr>
              <w:keepNext/>
              <w:spacing w:after="0"/>
              <w:jc w:val="center"/>
            </w:pPr>
            <w:r>
              <w:rPr>
                <w:rFonts w:ascii="Calibri" w:hAnsi="Calibri"/>
                <w:b w:val="0"/>
                <w:i w:val="0"/>
                <w:color w:val="222222"/>
                <w:sz w:val="20"/>
              </w:rPr>
              <w:t>0.32</w:t>
            </w:r>
          </w:p>
        </w:tc>
        <w:tc>
          <w:tcPr>
            <w:tcW w:type="dxa" w:w="1294"/>
            <w:shd w:val="clear" w:color="auto" w:fill="F7F9FB"/>
            <w:vAlign w:val="center"/>
          </w:tcPr>
          <w:p>
            <w:pPr>
              <w:keepNext/>
              <w:spacing w:after="0"/>
              <w:jc w:val="center"/>
            </w:pPr>
            <w:r>
              <w:rPr>
                <w:rFonts w:ascii="Calibri" w:hAnsi="Calibri"/>
                <w:b w:val="0"/>
                <w:i w:val="0"/>
                <w:color w:val="222222"/>
                <w:sz w:val="20"/>
              </w:rPr>
              <w:t>6 / 12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electrodes number mean</w:t>
            </w:r>
          </w:p>
        </w:tc>
        <w:tc>
          <w:tcPr>
            <w:tcW w:type="dxa" w:w="1898"/>
            <w:shd w:val="clear" w:color="auto" w:fill="FFFFFF"/>
            <w:vAlign w:val="center"/>
          </w:tcPr>
          <w:p>
            <w:pPr>
              <w:keepNext/>
              <w:spacing w:after="0"/>
            </w:pPr>
            <w:r>
              <w:rPr>
                <w:rFonts w:ascii="Calibri" w:hAnsi="Calibri"/>
                <w:b w:val="0"/>
                <w:i w:val="0"/>
                <w:color w:val="222222"/>
                <w:sz w:val="20"/>
              </w:rPr>
              <w:t>−6% (−21% to +10%)</w:t>
            </w:r>
          </w:p>
        </w:tc>
        <w:tc>
          <w:tcPr>
            <w:tcW w:type="dxa" w:w="1079"/>
            <w:shd w:val="clear" w:color="auto" w:fill="FFFFFF"/>
            <w:vAlign w:val="center"/>
          </w:tcPr>
          <w:p>
            <w:pPr>
              <w:keepNext/>
              <w:spacing w:after="0"/>
              <w:jc w:val="center"/>
            </w:pPr>
            <w:r>
              <w:rPr>
                <w:rFonts w:ascii="Calibri" w:hAnsi="Calibri"/>
                <w:b w:val="0"/>
                <w:i w:val="0"/>
                <w:color w:val="222222"/>
                <w:sz w:val="20"/>
              </w:rPr>
              <w:t>0.40</w:t>
            </w:r>
          </w:p>
        </w:tc>
        <w:tc>
          <w:tcPr>
            <w:tcW w:type="dxa" w:w="887"/>
            <w:shd w:val="clear" w:color="auto" w:fill="FFFFFF"/>
            <w:vAlign w:val="center"/>
          </w:tcPr>
          <w:p>
            <w:pPr>
              <w:keepNext/>
              <w:spacing w:after="0"/>
              <w:jc w:val="center"/>
            </w:pPr>
            <w:r>
              <w:rPr>
                <w:rFonts w:ascii="Calibri" w:hAnsi="Calibri"/>
                <w:b w:val="0"/>
                <w:i w:val="0"/>
                <w:color w:val="222222"/>
                <w:sz w:val="20"/>
              </w:rPr>
              <w:t>0.25</w:t>
            </w:r>
          </w:p>
        </w:tc>
        <w:tc>
          <w:tcPr>
            <w:tcW w:type="dxa" w:w="1294"/>
            <w:shd w:val="clear" w:color="auto" w:fill="FFFFFF"/>
            <w:vAlign w:val="center"/>
          </w:tcPr>
          <w:p>
            <w:pPr>
              <w:keepNext/>
              <w:spacing w:after="0"/>
              <w:jc w:val="center"/>
            </w:pPr>
            <w:r>
              <w:rPr>
                <w:rFonts w:ascii="Calibri" w:hAnsi="Calibri"/>
                <w:b w:val="0"/>
                <w:i w:val="0"/>
                <w:color w:val="222222"/>
                <w:sz w:val="20"/>
              </w:rPr>
              <w:t>3 / 4 / 4</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mean</w:t>
            </w:r>
          </w:p>
        </w:tc>
        <w:tc>
          <w:tcPr>
            <w:tcW w:type="dxa" w:w="1898"/>
            <w:shd w:val="clear" w:color="auto" w:fill="F7F9FB"/>
            <w:vAlign w:val="center"/>
          </w:tcPr>
          <w:p>
            <w:pPr>
              <w:keepNext/>
              <w:spacing w:after="0"/>
            </w:pPr>
            <w:r>
              <w:rPr>
                <w:rFonts w:ascii="Calibri" w:hAnsi="Calibri"/>
                <w:b w:val="0"/>
                <w:i w:val="0"/>
                <w:color w:val="222222"/>
                <w:sz w:val="20"/>
              </w:rPr>
              <w:t>−6% (−24% to +3%)</w:t>
            </w:r>
          </w:p>
        </w:tc>
        <w:tc>
          <w:tcPr>
            <w:tcW w:type="dxa" w:w="1079"/>
            <w:shd w:val="clear" w:color="auto" w:fill="F7F9FB"/>
            <w:vAlign w:val="center"/>
          </w:tcPr>
          <w:p>
            <w:pPr>
              <w:keepNext/>
              <w:spacing w:after="0"/>
              <w:jc w:val="center"/>
            </w:pPr>
            <w:r>
              <w:rPr>
                <w:rFonts w:ascii="Calibri" w:hAnsi="Calibri"/>
                <w:b w:val="0"/>
                <w:i w:val="0"/>
                <w:color w:val="222222"/>
                <w:sz w:val="20"/>
              </w:rPr>
              <w:t>0.40</w:t>
            </w:r>
          </w:p>
        </w:tc>
        <w:tc>
          <w:tcPr>
            <w:tcW w:type="dxa" w:w="887"/>
            <w:shd w:val="clear" w:color="auto" w:fill="F7F9FB"/>
            <w:vAlign w:val="center"/>
          </w:tcPr>
          <w:p>
            <w:pPr>
              <w:keepNext/>
              <w:spacing w:after="0"/>
              <w:jc w:val="center"/>
            </w:pPr>
            <w:r>
              <w:rPr>
                <w:rFonts w:ascii="Calibri" w:hAnsi="Calibri"/>
                <w:b w:val="0"/>
                <w:i w:val="0"/>
                <w:color w:val="222222"/>
                <w:sz w:val="20"/>
              </w:rPr>
              <w:t>0.39</w:t>
            </w:r>
          </w:p>
        </w:tc>
        <w:tc>
          <w:tcPr>
            <w:tcW w:type="dxa" w:w="1294"/>
            <w:shd w:val="clear" w:color="auto" w:fill="F7F9FB"/>
            <w:vAlign w:val="center"/>
          </w:tcPr>
          <w:p>
            <w:pPr>
              <w:keepNext/>
              <w:spacing w:after="0"/>
              <w:jc w:val="center"/>
            </w:pPr>
            <w:r>
              <w:rPr>
                <w:rFonts w:ascii="Calibri" w:hAnsi="Calibri"/>
                <w:b w:val="0"/>
                <w:i w:val="0"/>
                <w:color w:val="222222"/>
                <w:sz w:val="20"/>
              </w:rPr>
              <w:t>3 / 16 / 8</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burst spike number mean</w:t>
            </w:r>
          </w:p>
        </w:tc>
        <w:tc>
          <w:tcPr>
            <w:tcW w:type="dxa" w:w="1898"/>
            <w:shd w:val="clear" w:color="auto" w:fill="FFFFFF"/>
            <w:vAlign w:val="center"/>
          </w:tcPr>
          <w:p>
            <w:pPr>
              <w:keepNext/>
              <w:spacing w:after="0"/>
            </w:pPr>
            <w:r>
              <w:rPr>
                <w:rFonts w:ascii="Calibri" w:hAnsi="Calibri"/>
                <w:b w:val="0"/>
                <w:i w:val="0"/>
                <w:color w:val="222222"/>
                <w:sz w:val="20"/>
              </w:rPr>
              <w:t>−5% (−23% to +22%)</w:t>
            </w:r>
          </w:p>
        </w:tc>
        <w:tc>
          <w:tcPr>
            <w:tcW w:type="dxa" w:w="1079"/>
            <w:shd w:val="clear" w:color="auto" w:fill="FFFFFF"/>
            <w:vAlign w:val="center"/>
          </w:tcPr>
          <w:p>
            <w:pPr>
              <w:keepNext/>
              <w:spacing w:after="0"/>
              <w:jc w:val="center"/>
            </w:pPr>
            <w:r>
              <w:rPr>
                <w:rFonts w:ascii="Calibri" w:hAnsi="Calibri"/>
                <w:b w:val="0"/>
                <w:i w:val="0"/>
                <w:color w:val="222222"/>
                <w:sz w:val="20"/>
              </w:rPr>
              <w:t>0.43</w:t>
            </w:r>
          </w:p>
        </w:tc>
        <w:tc>
          <w:tcPr>
            <w:tcW w:type="dxa" w:w="887"/>
            <w:shd w:val="clear" w:color="auto" w:fill="FFFFFF"/>
            <w:vAlign w:val="center"/>
          </w:tcPr>
          <w:p>
            <w:pPr>
              <w:keepNext/>
              <w:spacing w:after="0"/>
              <w:jc w:val="center"/>
            </w:pPr>
            <w:r>
              <w:rPr>
                <w:rFonts w:ascii="Calibri" w:hAnsi="Calibri"/>
                <w:b w:val="0"/>
                <w:i w:val="0"/>
                <w:color w:val="222222"/>
                <w:sz w:val="20"/>
              </w:rPr>
              <w:t>0.33</w:t>
            </w:r>
          </w:p>
        </w:tc>
        <w:tc>
          <w:tcPr>
            <w:tcW w:type="dxa" w:w="1294"/>
            <w:shd w:val="clear" w:color="auto" w:fill="FFFFFF"/>
            <w:vAlign w:val="center"/>
          </w:tcPr>
          <w:p>
            <w:pPr>
              <w:keepNext/>
              <w:spacing w:after="0"/>
            </w:pPr>
            <w:r>
              <w:rPr>
                <w:rFonts w:ascii="Calibri" w:hAnsi="Calibri"/>
                <w:b w:val="0"/>
                <w:i w:val="0"/>
                <w:color w:val="222222"/>
                <w:sz w:val="20"/>
              </w:rPr>
              <w:t>4 / &gt;96 / 6</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cross correlation HWHM</w:t>
            </w:r>
          </w:p>
        </w:tc>
        <w:tc>
          <w:tcPr>
            <w:tcW w:type="dxa" w:w="1898"/>
            <w:shd w:val="clear" w:color="auto" w:fill="F7F9FB"/>
            <w:vAlign w:val="center"/>
          </w:tcPr>
          <w:p>
            <w:pPr>
              <w:keepNext/>
              <w:spacing w:after="0"/>
            </w:pPr>
            <w:r>
              <w:rPr>
                <w:rFonts w:ascii="Calibri" w:hAnsi="Calibri"/>
                <w:b w:val="0"/>
                <w:i w:val="0"/>
                <w:color w:val="222222"/>
                <w:sz w:val="20"/>
              </w:rPr>
              <w:t>+1% (−26% to +23%)</w:t>
            </w:r>
          </w:p>
        </w:tc>
        <w:tc>
          <w:tcPr>
            <w:tcW w:type="dxa" w:w="1079"/>
            <w:shd w:val="clear" w:color="auto" w:fill="F7F9FB"/>
            <w:vAlign w:val="center"/>
          </w:tcPr>
          <w:p>
            <w:pPr>
              <w:keepNext/>
              <w:spacing w:after="0"/>
              <w:jc w:val="center"/>
            </w:pPr>
            <w:r>
              <w:rPr>
                <w:rFonts w:ascii="Calibri" w:hAnsi="Calibri"/>
                <w:b w:val="0"/>
                <w:i w:val="0"/>
                <w:color w:val="222222"/>
                <w:sz w:val="20"/>
              </w:rPr>
              <w:t>0.49</w:t>
            </w:r>
          </w:p>
        </w:tc>
        <w:tc>
          <w:tcPr>
            <w:tcW w:type="dxa" w:w="887"/>
            <w:shd w:val="clear" w:color="auto" w:fill="F7F9FB"/>
            <w:vAlign w:val="center"/>
          </w:tcPr>
          <w:p>
            <w:pPr>
              <w:keepNext/>
              <w:spacing w:after="0"/>
              <w:jc w:val="center"/>
            </w:pPr>
            <w:r>
              <w:rPr>
                <w:rFonts w:ascii="Calibri" w:hAnsi="Calibri"/>
                <w:b w:val="0"/>
                <w:i w:val="0"/>
                <w:color w:val="222222"/>
                <w:sz w:val="20"/>
              </w:rPr>
              <w:t>0.33</w:t>
            </w:r>
          </w:p>
        </w:tc>
        <w:tc>
          <w:tcPr>
            <w:tcW w:type="dxa" w:w="1294"/>
            <w:shd w:val="clear" w:color="auto" w:fill="F7F9FB"/>
            <w:vAlign w:val="center"/>
          </w:tcPr>
          <w:p>
            <w:pPr>
              <w:keepNext/>
              <w:spacing w:after="0"/>
            </w:pPr>
            <w:r>
              <w:rPr>
                <w:rFonts w:ascii="Calibri" w:hAnsi="Calibri"/>
                <w:b w:val="0"/>
                <w:i w:val="0"/>
                <w:color w:val="222222"/>
                <w:sz w:val="20"/>
              </w:rPr>
              <w:t>6 / &gt;96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burst duration mean</w:t>
            </w:r>
          </w:p>
        </w:tc>
        <w:tc>
          <w:tcPr>
            <w:tcW w:type="dxa" w:w="1898"/>
            <w:shd w:val="clear" w:color="auto" w:fill="FFFFFF"/>
            <w:vAlign w:val="center"/>
          </w:tcPr>
          <w:p>
            <w:pPr>
              <w:keepNext/>
              <w:spacing w:after="0"/>
            </w:pPr>
            <w:r>
              <w:rPr>
                <w:rFonts w:ascii="Calibri" w:hAnsi="Calibri"/>
                <w:b w:val="0"/>
                <w:i w:val="0"/>
                <w:color w:val="222222"/>
                <w:sz w:val="20"/>
              </w:rPr>
              <w:t>+4% (−20% to +43%)</w:t>
            </w:r>
          </w:p>
        </w:tc>
        <w:tc>
          <w:tcPr>
            <w:tcW w:type="dxa" w:w="1079"/>
            <w:shd w:val="clear" w:color="auto" w:fill="FFFFFF"/>
            <w:vAlign w:val="center"/>
          </w:tcPr>
          <w:p>
            <w:pPr>
              <w:keepNext/>
              <w:spacing w:after="0"/>
              <w:jc w:val="center"/>
            </w:pPr>
            <w:r>
              <w:rPr>
                <w:rFonts w:ascii="Calibri" w:hAnsi="Calibri"/>
                <w:b w:val="0"/>
                <w:i w:val="0"/>
                <w:color w:val="222222"/>
                <w:sz w:val="20"/>
              </w:rPr>
              <w:t>0.54</w:t>
            </w:r>
          </w:p>
        </w:tc>
        <w:tc>
          <w:tcPr>
            <w:tcW w:type="dxa" w:w="887"/>
            <w:shd w:val="clear" w:color="auto" w:fill="FFFFFF"/>
            <w:vAlign w:val="center"/>
          </w:tcPr>
          <w:p>
            <w:pPr>
              <w:keepNext/>
              <w:spacing w:after="0"/>
              <w:jc w:val="center"/>
            </w:pPr>
            <w:r>
              <w:rPr>
                <w:rFonts w:ascii="Calibri" w:hAnsi="Calibri"/>
                <w:b w:val="0"/>
                <w:i w:val="0"/>
                <w:color w:val="222222"/>
                <w:sz w:val="20"/>
              </w:rPr>
              <w:t>0.36</w:t>
            </w:r>
          </w:p>
        </w:tc>
        <w:tc>
          <w:tcPr>
            <w:tcW w:type="dxa" w:w="1294"/>
            <w:shd w:val="clear" w:color="auto" w:fill="FFFFFF"/>
            <w:vAlign w:val="center"/>
          </w:tcPr>
          <w:p>
            <w:pPr>
              <w:keepNext/>
              <w:spacing w:after="0"/>
            </w:pPr>
            <w:r>
              <w:rPr>
                <w:rFonts w:ascii="Calibri" w:hAnsi="Calibri"/>
                <w:b w:val="0"/>
                <w:i w:val="0"/>
                <w:color w:val="222222"/>
                <w:sz w:val="20"/>
              </w:rPr>
              <w:t>5 / &gt;96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per network burst spike number std</w:t>
            </w:r>
          </w:p>
        </w:tc>
        <w:tc>
          <w:tcPr>
            <w:tcW w:type="dxa" w:w="1898"/>
            <w:shd w:val="clear" w:color="auto" w:fill="F7F9FB"/>
            <w:vAlign w:val="center"/>
          </w:tcPr>
          <w:p>
            <w:pPr>
              <w:keepNext/>
              <w:spacing w:after="0"/>
            </w:pPr>
            <w:r>
              <w:rPr>
                <w:rFonts w:ascii="Calibri" w:hAnsi="Calibri"/>
                <w:b w:val="0"/>
                <w:i w:val="0"/>
                <w:color w:val="222222"/>
                <w:sz w:val="20"/>
              </w:rPr>
              <w:t>+2% (−31% to +56%)</w:t>
            </w:r>
          </w:p>
        </w:tc>
        <w:tc>
          <w:tcPr>
            <w:tcW w:type="dxa" w:w="1079"/>
            <w:shd w:val="clear" w:color="auto" w:fill="F7F9FB"/>
            <w:vAlign w:val="center"/>
          </w:tcPr>
          <w:p>
            <w:pPr>
              <w:keepNext/>
              <w:spacing w:after="0"/>
              <w:jc w:val="center"/>
            </w:pPr>
            <w:r>
              <w:rPr>
                <w:rFonts w:ascii="Calibri" w:hAnsi="Calibri"/>
                <w:b w:val="0"/>
                <w:i w:val="0"/>
                <w:color w:val="222222"/>
                <w:sz w:val="20"/>
              </w:rPr>
              <w:t>0.80</w:t>
            </w:r>
          </w:p>
        </w:tc>
        <w:tc>
          <w:tcPr>
            <w:tcW w:type="dxa" w:w="887"/>
            <w:shd w:val="clear" w:color="auto" w:fill="F7F9FB"/>
            <w:vAlign w:val="center"/>
          </w:tcPr>
          <w:p>
            <w:pPr>
              <w:keepNext/>
              <w:spacing w:after="0"/>
              <w:jc w:val="center"/>
            </w:pPr>
            <w:r>
              <w:rPr>
                <w:rFonts w:ascii="Calibri" w:hAnsi="Calibri"/>
                <w:b w:val="0"/>
                <w:i w:val="0"/>
                <w:color w:val="222222"/>
                <w:sz w:val="20"/>
              </w:rPr>
              <w:t>0.38</w:t>
            </w:r>
          </w:p>
        </w:tc>
        <w:tc>
          <w:tcPr>
            <w:tcW w:type="dxa" w:w="1294"/>
            <w:shd w:val="clear" w:color="auto" w:fill="F7F9FB"/>
            <w:vAlign w:val="center"/>
          </w:tcPr>
          <w:p>
            <w:pPr>
              <w:keepNext/>
              <w:spacing w:after="0"/>
            </w:pPr>
            <w:r>
              <w:rPr>
                <w:rFonts w:ascii="Calibri" w:hAnsi="Calibri"/>
                <w:b w:val="0"/>
                <w:i w:val="0"/>
                <w:color w:val="222222"/>
                <w:sz w:val="20"/>
              </w:rPr>
              <w:t>16 / &gt;96 / 20</w:t>
            </w:r>
          </w:p>
        </w:tc>
        <w:tc>
          <w:tcPr>
            <w:tcW w:type="dxa" w:w="1294"/>
            <w:shd w:val="clear" w:color="auto" w:fill="F7F9FB"/>
            <w:vAlign w:val="center"/>
          </w:tcPr>
          <w:p>
            <w:pPr>
              <w:keepNext/>
              <w:spacing w:after="0"/>
              <w:jc w:val="center"/>
            </w:pPr>
            <w:r>
              <w:rPr>
                <w:rFonts w:ascii="Calibri" w:hAnsi="Calibri"/>
                <w:b w:val="0"/>
                <w:i w:val="0"/>
                <w:color w:val="222222"/>
                <w:sz w:val="20"/>
              </w:rPr>
              <w:t>2 / 2 / 2</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spike number mean</w:t>
            </w:r>
          </w:p>
        </w:tc>
        <w:tc>
          <w:tcPr>
            <w:tcW w:type="dxa" w:w="1898"/>
            <w:shd w:val="clear" w:color="auto" w:fill="FFFFFF"/>
            <w:vAlign w:val="center"/>
          </w:tcPr>
          <w:p>
            <w:pPr>
              <w:keepNext/>
              <w:spacing w:after="0"/>
            </w:pPr>
            <w:r>
              <w:rPr>
                <w:rFonts w:ascii="Calibri" w:hAnsi="Calibri"/>
                <w:b w:val="0"/>
                <w:i w:val="0"/>
                <w:color w:val="222222"/>
                <w:sz w:val="20"/>
              </w:rPr>
              <w:t>−25% (−52% to +40%)</w:t>
            </w:r>
          </w:p>
        </w:tc>
        <w:tc>
          <w:tcPr>
            <w:tcW w:type="dxa" w:w="1079"/>
            <w:shd w:val="clear" w:color="auto" w:fill="FFFFFF"/>
            <w:vAlign w:val="center"/>
          </w:tcPr>
          <w:p>
            <w:pPr>
              <w:keepNext/>
              <w:spacing w:after="0"/>
              <w:jc w:val="center"/>
            </w:pPr>
            <w:r>
              <w:rPr>
                <w:rFonts w:ascii="Calibri" w:hAnsi="Calibri"/>
                <w:b w:val="0"/>
                <w:i w:val="0"/>
                <w:color w:val="222222"/>
                <w:sz w:val="20"/>
              </w:rPr>
              <w:t>1.11</w:t>
            </w:r>
          </w:p>
        </w:tc>
        <w:tc>
          <w:tcPr>
            <w:tcW w:type="dxa" w:w="887"/>
            <w:shd w:val="clear" w:color="auto" w:fill="FFFFFF"/>
            <w:vAlign w:val="center"/>
          </w:tcPr>
          <w:p>
            <w:pPr>
              <w:keepNext/>
              <w:spacing w:after="0"/>
              <w:jc w:val="center"/>
            </w:pPr>
            <w:r>
              <w:rPr>
                <w:rFonts w:ascii="Calibri" w:hAnsi="Calibri"/>
                <w:b w:val="0"/>
                <w:i w:val="0"/>
                <w:color w:val="222222"/>
                <w:sz w:val="20"/>
              </w:rPr>
              <w:t>0.31</w:t>
            </w:r>
          </w:p>
        </w:tc>
        <w:tc>
          <w:tcPr>
            <w:tcW w:type="dxa" w:w="1294"/>
            <w:shd w:val="clear" w:color="auto" w:fill="FFFFFF"/>
            <w:vAlign w:val="center"/>
          </w:tcPr>
          <w:p>
            <w:pPr>
              <w:keepNext/>
              <w:spacing w:after="0"/>
            </w:pPr>
            <w:r>
              <w:rPr>
                <w:rFonts w:ascii="Calibri" w:hAnsi="Calibri"/>
                <w:b w:val="0"/>
                <w:i w:val="0"/>
                <w:color w:val="222222"/>
                <w:sz w:val="20"/>
              </w:rPr>
              <w:t>20 / &gt;96 / 32</w:t>
            </w:r>
          </w:p>
        </w:tc>
        <w:tc>
          <w:tcPr>
            <w:tcW w:type="dxa" w:w="1294"/>
            <w:shd w:val="clear" w:color="auto" w:fill="FFFFFF"/>
            <w:vAlign w:val="center"/>
          </w:tcPr>
          <w:p>
            <w:pPr>
              <w:keepNext/>
              <w:spacing w:after="0"/>
              <w:jc w:val="center"/>
            </w:pPr>
            <w:r>
              <w:rPr>
                <w:rFonts w:ascii="Calibri" w:hAnsi="Calibri"/>
                <w:b w:val="0"/>
                <w:i w:val="0"/>
                <w:color w:val="222222"/>
                <w:sz w:val="20"/>
              </w:rPr>
              <w:t>2 / 3 / 3</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std</w:t>
            </w:r>
          </w:p>
        </w:tc>
        <w:tc>
          <w:tcPr>
            <w:tcW w:type="dxa" w:w="1898"/>
            <w:shd w:val="clear" w:color="auto" w:fill="F7F9FB"/>
            <w:vAlign w:val="center"/>
          </w:tcPr>
          <w:p>
            <w:pPr>
              <w:keepNext/>
              <w:spacing w:after="0"/>
            </w:pPr>
            <w:r>
              <w:rPr>
                <w:rFonts w:ascii="Calibri" w:hAnsi="Calibri"/>
                <w:b w:val="0"/>
                <w:i w:val="0"/>
                <w:color w:val="222222"/>
                <w:sz w:val="20"/>
              </w:rPr>
              <w:t>+2% (−29% to +121%)</w:t>
            </w:r>
          </w:p>
        </w:tc>
        <w:tc>
          <w:tcPr>
            <w:tcW w:type="dxa" w:w="1079"/>
            <w:shd w:val="clear" w:color="auto" w:fill="F7F9FB"/>
            <w:vAlign w:val="center"/>
          </w:tcPr>
          <w:p>
            <w:pPr>
              <w:keepNext/>
              <w:spacing w:after="0"/>
              <w:jc w:val="center"/>
            </w:pPr>
            <w:r>
              <w:rPr>
                <w:rFonts w:ascii="Calibri" w:hAnsi="Calibri"/>
                <w:b w:val="0"/>
                <w:i w:val="0"/>
                <w:color w:val="222222"/>
                <w:sz w:val="20"/>
              </w:rPr>
              <w:t>1.20</w:t>
            </w:r>
          </w:p>
        </w:tc>
        <w:tc>
          <w:tcPr>
            <w:tcW w:type="dxa" w:w="887"/>
            <w:shd w:val="clear" w:color="auto" w:fill="F7F9FB"/>
            <w:vAlign w:val="center"/>
          </w:tcPr>
          <w:p>
            <w:pPr>
              <w:keepNext/>
              <w:spacing w:after="0"/>
              <w:jc w:val="center"/>
            </w:pPr>
            <w:r>
              <w:rPr>
                <w:rFonts w:ascii="Calibri" w:hAnsi="Calibri"/>
                <w:b w:val="0"/>
                <w:i w:val="0"/>
                <w:color w:val="222222"/>
                <w:sz w:val="20"/>
              </w:rPr>
              <w:t>0.19</w:t>
            </w:r>
          </w:p>
        </w:tc>
        <w:tc>
          <w:tcPr>
            <w:tcW w:type="dxa" w:w="1294"/>
            <w:shd w:val="clear" w:color="auto" w:fill="F7F9FB"/>
            <w:vAlign w:val="center"/>
          </w:tcPr>
          <w:p>
            <w:pPr>
              <w:keepNext/>
              <w:spacing w:after="0"/>
            </w:pPr>
            <w:r>
              <w:rPr>
                <w:rFonts w:ascii="Calibri" w:hAnsi="Calibri"/>
                <w:b w:val="0"/>
                <w:i w:val="0"/>
                <w:color w:val="222222"/>
                <w:sz w:val="20"/>
              </w:rPr>
              <w:t>24 / &gt;96 / 48</w:t>
            </w:r>
          </w:p>
        </w:tc>
        <w:tc>
          <w:tcPr>
            <w:tcW w:type="dxa" w:w="1294"/>
            <w:shd w:val="clear" w:color="auto" w:fill="F7F9FB"/>
            <w:vAlign w:val="center"/>
          </w:tcPr>
          <w:p>
            <w:pPr>
              <w:keepNext/>
              <w:spacing w:after="0"/>
              <w:jc w:val="center"/>
            </w:pPr>
            <w:r>
              <w:rPr>
                <w:rFonts w:ascii="Calibri" w:hAnsi="Calibri"/>
                <w:b w:val="0"/>
                <w:i w:val="0"/>
                <w:color w:val="222222"/>
                <w:sz w:val="20"/>
              </w:rPr>
              <w:t>3 / 4 / 4</w:t>
            </w:r>
          </w:p>
        </w:tc>
      </w:tr>
      <w:tr>
        <w:trPr>
          <w:cantSplit/>
        </w:trPr>
        <w:tc>
          <w:tcPr>
            <w:tcW w:type="dxa" w:w="2043"/>
            <w:shd w:val="clear" w:color="auto" w:fill="FFFFFF"/>
            <w:vAlign w:val="center"/>
          </w:tcPr>
          <w:p>
            <w:pPr>
              <w:keepNext/>
              <w:spacing w:after="0"/>
            </w:pPr>
            <w:r>
              <w:rPr>
                <w:rFonts w:ascii="Calibri" w:hAnsi="Calibri"/>
                <w:b/>
                <w:i w:val="0"/>
                <w:color w:val="222222"/>
                <w:sz w:val="20"/>
              </w:rPr>
              <w:t>spike number</w:t>
            </w:r>
          </w:p>
        </w:tc>
        <w:tc>
          <w:tcPr>
            <w:tcW w:type="dxa" w:w="1898"/>
            <w:shd w:val="clear" w:color="auto" w:fill="FFFFFF"/>
            <w:vAlign w:val="center"/>
          </w:tcPr>
          <w:p>
            <w:pPr>
              <w:keepNext/>
              <w:spacing w:after="0"/>
            </w:pPr>
            <w:r>
              <w:rPr>
                <w:rFonts w:ascii="Calibri" w:hAnsi="Calibri"/>
                <w:b w:val="0"/>
                <w:i w:val="0"/>
                <w:color w:val="222222"/>
                <w:sz w:val="20"/>
              </w:rPr>
              <w:t>−32% (−69% to +5%)</w:t>
            </w:r>
          </w:p>
        </w:tc>
        <w:tc>
          <w:tcPr>
            <w:tcW w:type="dxa" w:w="1079"/>
            <w:shd w:val="clear" w:color="auto" w:fill="FFFFFF"/>
            <w:vAlign w:val="center"/>
          </w:tcPr>
          <w:p>
            <w:pPr>
              <w:keepNext/>
              <w:spacing w:after="0"/>
              <w:jc w:val="center"/>
            </w:pPr>
            <w:r>
              <w:rPr>
                <w:rFonts w:ascii="Calibri" w:hAnsi="Calibri"/>
                <w:b w:val="0"/>
                <w:i w:val="0"/>
                <w:color w:val="222222"/>
                <w:sz w:val="20"/>
              </w:rPr>
              <w:t>1.71</w:t>
            </w:r>
          </w:p>
        </w:tc>
        <w:tc>
          <w:tcPr>
            <w:tcW w:type="dxa" w:w="887"/>
            <w:shd w:val="clear" w:color="auto" w:fill="FFFFFF"/>
            <w:vAlign w:val="center"/>
          </w:tcPr>
          <w:p>
            <w:pPr>
              <w:keepNext/>
              <w:spacing w:after="0"/>
              <w:jc w:val="center"/>
            </w:pPr>
            <w:r>
              <w:rPr>
                <w:rFonts w:ascii="Calibri" w:hAnsi="Calibri"/>
                <w:b w:val="0"/>
                <w:i w:val="0"/>
                <w:color w:val="222222"/>
                <w:sz w:val="20"/>
              </w:rPr>
              <w:t>0.42</w:t>
            </w:r>
          </w:p>
        </w:tc>
        <w:tc>
          <w:tcPr>
            <w:tcW w:type="dxa" w:w="1294"/>
            <w:shd w:val="clear" w:color="auto" w:fill="FFFFFF"/>
            <w:vAlign w:val="center"/>
          </w:tcPr>
          <w:p>
            <w:pPr>
              <w:keepNext/>
              <w:spacing w:after="0"/>
            </w:pPr>
            <w:r>
              <w:rPr>
                <w:rFonts w:ascii="Calibri" w:hAnsi="Calibri"/>
                <w:b w:val="0"/>
                <w:i w:val="0"/>
                <w:color w:val="222222"/>
                <w:sz w:val="20"/>
              </w:rPr>
              <w:t>32 / &gt;96 / 48</w:t>
            </w:r>
          </w:p>
        </w:tc>
        <w:tc>
          <w:tcPr>
            <w:tcW w:type="dxa" w:w="1294"/>
            <w:shd w:val="clear" w:color="auto" w:fill="FFFFFF"/>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7F9FB"/>
            <w:vAlign w:val="center"/>
          </w:tcPr>
          <w:p>
            <w:pPr>
              <w:keepNext/>
              <w:spacing w:after="0"/>
            </w:pPr>
            <w:r>
              <w:rPr>
                <w:rFonts w:ascii="Calibri" w:hAnsi="Calibri"/>
                <w:b/>
                <w:i w:val="0"/>
                <w:color w:val="222222"/>
                <w:sz w:val="20"/>
              </w:rPr>
              <w:t>firing rate mean</w:t>
            </w:r>
          </w:p>
        </w:tc>
        <w:tc>
          <w:tcPr>
            <w:tcW w:type="dxa" w:w="1898"/>
            <w:shd w:val="clear" w:color="auto" w:fill="F7F9FB"/>
            <w:vAlign w:val="center"/>
          </w:tcPr>
          <w:p>
            <w:pPr>
              <w:keepNext/>
              <w:spacing w:after="0"/>
            </w:pPr>
            <w:r>
              <w:rPr>
                <w:rFonts w:ascii="Calibri" w:hAnsi="Calibri"/>
                <w:b w:val="0"/>
                <w:i w:val="0"/>
                <w:color w:val="222222"/>
                <w:sz w:val="20"/>
              </w:rPr>
              <w:t>−32% (−69% to +5%)</w:t>
            </w:r>
          </w:p>
        </w:tc>
        <w:tc>
          <w:tcPr>
            <w:tcW w:type="dxa" w:w="1079"/>
            <w:shd w:val="clear" w:color="auto" w:fill="F7F9FB"/>
            <w:vAlign w:val="center"/>
          </w:tcPr>
          <w:p>
            <w:pPr>
              <w:keepNext/>
              <w:spacing w:after="0"/>
              <w:jc w:val="center"/>
            </w:pPr>
            <w:r>
              <w:rPr>
                <w:rFonts w:ascii="Calibri" w:hAnsi="Calibri"/>
                <w:b w:val="0"/>
                <w:i w:val="0"/>
                <w:color w:val="222222"/>
                <w:sz w:val="20"/>
              </w:rPr>
              <w:t>1.71</w:t>
            </w:r>
          </w:p>
        </w:tc>
        <w:tc>
          <w:tcPr>
            <w:tcW w:type="dxa" w:w="887"/>
            <w:shd w:val="clear" w:color="auto" w:fill="F7F9FB"/>
            <w:vAlign w:val="center"/>
          </w:tcPr>
          <w:p>
            <w:pPr>
              <w:keepNext/>
              <w:spacing w:after="0"/>
              <w:jc w:val="center"/>
            </w:pPr>
            <w:r>
              <w:rPr>
                <w:rFonts w:ascii="Calibri" w:hAnsi="Calibri"/>
                <w:b w:val="0"/>
                <w:i w:val="0"/>
                <w:color w:val="222222"/>
                <w:sz w:val="20"/>
              </w:rPr>
              <w:t>0.42</w:t>
            </w:r>
          </w:p>
        </w:tc>
        <w:tc>
          <w:tcPr>
            <w:tcW w:type="dxa" w:w="1294"/>
            <w:shd w:val="clear" w:color="auto" w:fill="F7F9FB"/>
            <w:vAlign w:val="center"/>
          </w:tcPr>
          <w:p>
            <w:pPr>
              <w:keepNext/>
              <w:spacing w:after="0"/>
            </w:pPr>
            <w:r>
              <w:rPr>
                <w:rFonts w:ascii="Calibri" w:hAnsi="Calibri"/>
                <w:b w:val="0"/>
                <w:i w:val="0"/>
                <w:color w:val="222222"/>
                <w:sz w:val="20"/>
              </w:rPr>
              <w:t>32 / &gt;96 / 32</w:t>
            </w:r>
          </w:p>
        </w:tc>
        <w:tc>
          <w:tcPr>
            <w:tcW w:type="dxa" w:w="1294"/>
            <w:shd w:val="clear" w:color="auto" w:fill="F7F9FB"/>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FFFFF"/>
            <w:vAlign w:val="center"/>
          </w:tcPr>
          <w:p>
            <w:pPr>
              <w:keepNext/>
              <w:spacing w:after="0"/>
            </w:pPr>
            <w:r>
              <w:rPr>
                <w:rFonts w:ascii="Calibri" w:hAnsi="Calibri"/>
                <w:b/>
                <w:i w:val="0"/>
                <w:color w:val="222222"/>
                <w:sz w:val="20"/>
              </w:rPr>
              <w:t>burst number</w:t>
            </w:r>
          </w:p>
        </w:tc>
        <w:tc>
          <w:tcPr>
            <w:tcW w:type="dxa" w:w="1898"/>
            <w:shd w:val="clear" w:color="auto" w:fill="FFFFFF"/>
            <w:vAlign w:val="center"/>
          </w:tcPr>
          <w:p>
            <w:pPr>
              <w:keepNext/>
              <w:spacing w:after="0"/>
            </w:pPr>
            <w:r>
              <w:rPr>
                <w:rFonts w:ascii="Calibri" w:hAnsi="Calibri"/>
                <w:b w:val="0"/>
                <w:i w:val="0"/>
                <w:color w:val="222222"/>
                <w:sz w:val="20"/>
              </w:rPr>
              <w:t>−35% (−73% to +4%)</w:t>
            </w:r>
          </w:p>
        </w:tc>
        <w:tc>
          <w:tcPr>
            <w:tcW w:type="dxa" w:w="1079"/>
            <w:shd w:val="clear" w:color="auto" w:fill="FFFFFF"/>
            <w:vAlign w:val="center"/>
          </w:tcPr>
          <w:p>
            <w:pPr>
              <w:keepNext/>
              <w:spacing w:after="0"/>
              <w:jc w:val="center"/>
            </w:pPr>
            <w:r>
              <w:rPr>
                <w:rFonts w:ascii="Calibri" w:hAnsi="Calibri"/>
                <w:b w:val="0"/>
                <w:i w:val="0"/>
                <w:color w:val="222222"/>
                <w:sz w:val="20"/>
              </w:rPr>
              <w:t>1.87</w:t>
            </w:r>
          </w:p>
        </w:tc>
        <w:tc>
          <w:tcPr>
            <w:tcW w:type="dxa" w:w="887"/>
            <w:shd w:val="clear" w:color="auto" w:fill="FFFFFF"/>
            <w:vAlign w:val="center"/>
          </w:tcPr>
          <w:p>
            <w:pPr>
              <w:keepNext/>
              <w:spacing w:after="0"/>
              <w:jc w:val="center"/>
            </w:pPr>
            <w:r>
              <w:rPr>
                <w:rFonts w:ascii="Calibri" w:hAnsi="Calibri"/>
                <w:b w:val="0"/>
                <w:i w:val="0"/>
                <w:color w:val="222222"/>
                <w:sz w:val="20"/>
              </w:rPr>
              <w:t>0.38</w:t>
            </w:r>
          </w:p>
        </w:tc>
        <w:tc>
          <w:tcPr>
            <w:tcW w:type="dxa" w:w="1294"/>
            <w:shd w:val="clear" w:color="auto" w:fill="FFFFFF"/>
            <w:vAlign w:val="center"/>
          </w:tcPr>
          <w:p>
            <w:pPr>
              <w:keepNext/>
              <w:spacing w:after="0"/>
            </w:pPr>
            <w:r>
              <w:rPr>
                <w:rFonts w:ascii="Calibri" w:hAnsi="Calibri"/>
                <w:b w:val="0"/>
                <w:i w:val="0"/>
                <w:color w:val="222222"/>
                <w:sz w:val="20"/>
              </w:rPr>
              <w:t>48 / &gt;96 / 48</w:t>
            </w:r>
          </w:p>
        </w:tc>
        <w:tc>
          <w:tcPr>
            <w:tcW w:type="dxa" w:w="1294"/>
            <w:shd w:val="clear" w:color="auto" w:fill="FFFFFF"/>
            <w:vAlign w:val="center"/>
          </w:tcPr>
          <w:p>
            <w:pPr>
              <w:keepNext/>
              <w:spacing w:after="0"/>
            </w:pPr>
            <w:r>
              <w:rPr>
                <w:rFonts w:ascii="Calibri" w:hAnsi="Calibri"/>
                <w:b w:val="0"/>
                <w:i w:val="0"/>
                <w:color w:val="222222"/>
                <w:sz w:val="20"/>
              </w:rPr>
              <w:t>4 / &gt;96 / 5</w:t>
            </w:r>
          </w:p>
        </w:tc>
      </w:tr>
      <w:tr>
        <w:trPr>
          <w:cantSplit/>
        </w:trPr>
        <w:tc>
          <w:tcPr>
            <w:tcW w:type="dxa" w:w="2043"/>
            <w:shd w:val="clear" w:color="auto" w:fill="F7F9FB"/>
            <w:vAlign w:val="center"/>
          </w:tcPr>
          <w:p>
            <w:pPr>
              <w:keepNext/>
              <w:spacing w:after="0"/>
            </w:pPr>
            <w:r>
              <w:rPr>
                <w:rFonts w:ascii="Calibri" w:hAnsi="Calibri"/>
                <w:b/>
                <w:i w:val="0"/>
                <w:color w:val="222222"/>
                <w:sz w:val="20"/>
              </w:rPr>
              <w:t>interburst interval mean</w:t>
            </w:r>
          </w:p>
        </w:tc>
        <w:tc>
          <w:tcPr>
            <w:tcW w:type="dxa" w:w="1898"/>
            <w:shd w:val="clear" w:color="auto" w:fill="F7F9FB"/>
            <w:vAlign w:val="center"/>
          </w:tcPr>
          <w:p>
            <w:pPr>
              <w:keepNext/>
              <w:spacing w:after="0"/>
            </w:pPr>
            <w:r>
              <w:rPr>
                <w:rFonts w:ascii="Calibri" w:hAnsi="Calibri"/>
                <w:b w:val="0"/>
                <w:i w:val="0"/>
                <w:color w:val="222222"/>
                <w:sz w:val="20"/>
              </w:rPr>
              <w:t>+61% (−15% to +327%)</w:t>
            </w:r>
          </w:p>
        </w:tc>
        <w:tc>
          <w:tcPr>
            <w:tcW w:type="dxa" w:w="1079"/>
            <w:shd w:val="clear" w:color="auto" w:fill="F7F9FB"/>
            <w:vAlign w:val="center"/>
          </w:tcPr>
          <w:p>
            <w:pPr>
              <w:keepNext/>
              <w:spacing w:after="0"/>
              <w:jc w:val="center"/>
            </w:pPr>
            <w:r>
              <w:rPr>
                <w:rFonts w:ascii="Calibri" w:hAnsi="Calibri"/>
                <w:b w:val="0"/>
                <w:i w:val="0"/>
                <w:color w:val="222222"/>
                <w:sz w:val="20"/>
              </w:rPr>
              <w:t>2.13</w:t>
            </w:r>
          </w:p>
        </w:tc>
        <w:tc>
          <w:tcPr>
            <w:tcW w:type="dxa" w:w="887"/>
            <w:shd w:val="clear" w:color="auto" w:fill="F7F9FB"/>
            <w:vAlign w:val="center"/>
          </w:tcPr>
          <w:p>
            <w:pPr>
              <w:keepNext/>
              <w:spacing w:after="0"/>
              <w:jc w:val="center"/>
            </w:pPr>
            <w:r>
              <w:rPr>
                <w:rFonts w:ascii="Calibri" w:hAnsi="Calibri"/>
                <w:b w:val="0"/>
                <w:i w:val="0"/>
                <w:color w:val="222222"/>
                <w:sz w:val="20"/>
              </w:rPr>
              <w:t>0.15</w:t>
            </w:r>
          </w:p>
        </w:tc>
        <w:tc>
          <w:tcPr>
            <w:tcW w:type="dxa" w:w="1294"/>
            <w:shd w:val="clear" w:color="auto" w:fill="F7F9FB"/>
            <w:vAlign w:val="center"/>
          </w:tcPr>
          <w:p>
            <w:pPr>
              <w:keepNext/>
              <w:spacing w:after="0"/>
            </w:pPr>
            <w:r>
              <w:rPr>
                <w:rFonts w:ascii="Calibri" w:hAnsi="Calibri"/>
                <w:b w:val="0"/>
                <w:i w:val="0"/>
                <w:color w:val="222222"/>
                <w:sz w:val="20"/>
              </w:rPr>
              <w:t>48 / &gt;96 / 96</w:t>
            </w:r>
          </w:p>
        </w:tc>
        <w:tc>
          <w:tcPr>
            <w:tcW w:type="dxa" w:w="1294"/>
            <w:shd w:val="clear" w:color="auto" w:fill="F7F9FB"/>
            <w:vAlign w:val="center"/>
          </w:tcPr>
          <w:p>
            <w:pPr>
              <w:keepNext/>
              <w:spacing w:after="0"/>
              <w:jc w:val="center"/>
            </w:pPr>
            <w:r>
              <w:rPr>
                <w:rFonts w:ascii="Calibri" w:hAnsi="Calibri"/>
                <w:b w:val="0"/>
                <w:i w:val="0"/>
                <w:color w:val="222222"/>
                <w:sz w:val="20"/>
              </w:rPr>
              <w:t>5 / 12 / 8</w:t>
            </w:r>
          </w:p>
        </w:tc>
      </w:tr>
      <w:tr>
        <w:trPr>
          <w:cantSplit/>
        </w:trPr>
        <w:tc>
          <w:tcPr>
            <w:tcW w:type="dxa" w:w="2043"/>
            <w:shd w:val="clear" w:color="auto" w:fill="FFFFFF"/>
            <w:vAlign w:val="center"/>
          </w:tcPr>
          <w:p>
            <w:pPr>
              <w:keepNext w:val="0"/>
              <w:spacing w:after="0"/>
            </w:pPr>
            <w:r>
              <w:rPr>
                <w:rFonts w:ascii="Calibri" w:hAnsi="Calibri"/>
                <w:b/>
                <w:i w:val="0"/>
                <w:color w:val="222222"/>
                <w:sz w:val="20"/>
              </w:rPr>
              <w:t>cross correlation area</w:t>
            </w:r>
          </w:p>
        </w:tc>
        <w:tc>
          <w:tcPr>
            <w:tcW w:type="dxa" w:w="1898"/>
            <w:shd w:val="clear" w:color="auto" w:fill="FFFFFF"/>
            <w:vAlign w:val="center"/>
          </w:tcPr>
          <w:p>
            <w:pPr>
              <w:keepNext w:val="0"/>
              <w:spacing w:after="0"/>
            </w:pPr>
            <w:r>
              <w:rPr>
                <w:rFonts w:ascii="Calibri" w:hAnsi="Calibri"/>
                <w:b w:val="0"/>
                <w:i w:val="0"/>
                <w:color w:val="222222"/>
                <w:sz w:val="20"/>
              </w:rPr>
              <w:t>−43% (−77% to +3%)</w:t>
            </w:r>
          </w:p>
        </w:tc>
        <w:tc>
          <w:tcPr>
            <w:tcW w:type="dxa" w:w="1079"/>
            <w:shd w:val="clear" w:color="auto" w:fill="FFFFFF"/>
            <w:vAlign w:val="center"/>
          </w:tcPr>
          <w:p>
            <w:pPr>
              <w:keepNext w:val="0"/>
              <w:spacing w:after="0"/>
              <w:jc w:val="center"/>
            </w:pPr>
            <w:r>
              <w:rPr>
                <w:rFonts w:ascii="Calibri" w:hAnsi="Calibri"/>
                <w:b w:val="0"/>
                <w:i w:val="0"/>
                <w:color w:val="222222"/>
                <w:sz w:val="20"/>
              </w:rPr>
              <w:t>2.15</w:t>
            </w:r>
          </w:p>
        </w:tc>
        <w:tc>
          <w:tcPr>
            <w:tcW w:type="dxa" w:w="887"/>
            <w:shd w:val="clear" w:color="auto" w:fill="FFFFFF"/>
            <w:vAlign w:val="center"/>
          </w:tcPr>
          <w:p>
            <w:pPr>
              <w:keepNext w:val="0"/>
              <w:spacing w:after="0"/>
              <w:jc w:val="center"/>
            </w:pPr>
            <w:r>
              <w:rPr>
                <w:rFonts w:ascii="Calibri" w:hAnsi="Calibri"/>
                <w:b w:val="0"/>
                <w:i w:val="0"/>
                <w:color w:val="222222"/>
                <w:sz w:val="20"/>
              </w:rPr>
              <w:t>0.44</w:t>
            </w:r>
          </w:p>
        </w:tc>
        <w:tc>
          <w:tcPr>
            <w:tcW w:type="dxa" w:w="1294"/>
            <w:shd w:val="clear" w:color="auto" w:fill="FFFFFF"/>
            <w:vAlign w:val="center"/>
          </w:tcPr>
          <w:p>
            <w:pPr>
              <w:keepNext w:val="0"/>
              <w:spacing w:after="0"/>
            </w:pPr>
            <w:r>
              <w:rPr>
                <w:rFonts w:ascii="Calibri" w:hAnsi="Calibri"/>
                <w:b w:val="0"/>
                <w:i w:val="0"/>
                <w:color w:val="222222"/>
                <w:sz w:val="20"/>
              </w:rPr>
              <w:t>48 / &gt;96 / 64</w:t>
            </w:r>
          </w:p>
        </w:tc>
        <w:tc>
          <w:tcPr>
            <w:tcW w:type="dxa" w:w="1294"/>
            <w:shd w:val="clear" w:color="auto" w:fill="FFFFFF"/>
            <w:vAlign w:val="center"/>
          </w:tcPr>
          <w:p>
            <w:pPr>
              <w:keepNext w:val="0"/>
              <w:spacing w:after="0"/>
            </w:pPr>
            <w:r>
              <w:rPr>
                <w:rFonts w:ascii="Calibri" w:hAnsi="Calibri"/>
                <w:b w:val="0"/>
                <w:i w:val="0"/>
                <w:color w:val="222222"/>
                <w:sz w:val="20"/>
              </w:rPr>
              <w:t>5 / &gt;96 / 6</w:t>
            </w:r>
          </w:p>
        </w:tc>
      </w:tr>
    </w:tbl>
    <w:p>
      <w:pPr>
        <w:spacing w:after="80"/>
      </w:pPr>
    </w:p>
    <w:p>
      <w:pPr>
        <w:spacing w:after="120"/>
      </w:pPr>
      <w:r>
        <w:rPr>
          <w:rFonts w:ascii="Calibri" w:hAnsi="Calibri"/>
          <w:b w:val="0"/>
          <w:i w:val="0"/>
          <w:color w:val="222222"/>
          <w:sz w:val="21"/>
        </w:rPr>
        <w:t>The same pattern holds across readouts. Burst shape (burst duration, spikes per burst, the share of spikes in bursts), synchrony and network-burst readouts are quiet: a handful of wells sees a fall of a fifth. Firing rate, spike and burst counts and cross-correlation area are several times noisier, and for them a one-date experiment against a historical reference cannot see even a halving.</w:t>
      </w:r>
    </w:p>
    <w:p>
      <w:pPr>
        <w:spacing w:after="120"/>
      </w:pPr>
      <w:r>
        <w:rPr>
          <w:rFonts w:ascii="Calibri" w:hAnsi="Calibri"/>
          <w:b/>
          <w:i w:val="0"/>
          <w:color w:val="156082"/>
          <w:sz w:val="21"/>
        </w:rPr>
        <w:t>How we checked the arithmetic.</w:t>
      </w:r>
      <w:r>
        <w:rPr>
          <w:rFonts w:ascii="Calibri" w:hAnsi="Calibri"/>
          <w:b w:val="0"/>
          <w:i w:val="0"/>
          <w:color w:val="222222"/>
          <w:sz w:val="21"/>
        </w:rPr>
        <w:t xml:space="preserve"> The counts come from resampling the vehicle wells through a two-level model (a shrunken effect per date plus a within-date residual), which is what lets us ask about 96 wells from one date when no date has more than a handful. Two assumptions could make it wrong, and both are checked in </w:t>
      </w:r>
      <w:r>
        <w:rPr>
          <w:rFonts w:ascii="Consolas" w:hAnsi="Consolas"/>
          <w:b w:val="0"/>
          <w:i w:val="0"/>
          <w:color w:val="222222"/>
          <w:sz w:val="19"/>
        </w:rPr>
        <w:t>toxcast_noise_floors.components.*.model_checks</w:t>
      </w:r>
      <w:r>
        <w:rPr>
          <w:rFonts w:ascii="Calibri" w:hAnsi="Calibri"/>
          <w:b w:val="0"/>
          <w:i w:val="0"/>
          <w:color w:val="222222"/>
          <w:sz w:val="21"/>
        </w:rPr>
        <w:t>. First, the model might misrepresent the real wells: for firing rate, plain resampling of real wells (and, up to six wells, of real wells from one real date) gives thresholds within −0.135 (relative) of the model's. For three quiet readouts with a single well at the floor (synchrony, burst percentage, network-burst percentage) the model is conservative by up to −0.598 (relative), so their counts are upper bounds. Second, the vehicle might matter: on DMSO wells alone (706), the date share of firing rate is 0.41 and the independent-well count for a 20% fall is unchanged at 32. The counts assume treated wells scatter around their shifted mean as vehicle wells scatter around theirs; a drug that also makes wells more variable needs more.</w:t>
      </w:r>
    </w:p>
    <w:p>
      <w:pPr>
        <w:keepNext/>
        <w:spacing w:before="240" w:after="60"/>
      </w:pPr>
      <w:r>
        <w:rPr>
          <w:rFonts w:ascii="Calibri" w:hAnsi="Calibri"/>
          <w:b/>
          <w:i w:val="0"/>
          <w:color w:val="1F4E79"/>
          <w:sz w:val="23"/>
        </w:rPr>
        <w:t>33. The twin meets a laboratory it has never seen</w:t>
      </w:r>
    </w:p>
    <w:p>
      <w:pPr>
        <w:keepNext/>
        <w:spacing w:after="120"/>
      </w:pPr>
      <w:r>
        <w:rPr>
          <w:rFonts w:ascii="Calibri" w:hAnsi="Calibri"/>
          <w:b w:val="0"/>
          <w:i w:val="0"/>
          <w:color w:val="222222"/>
          <w:sz w:val="21"/>
        </w:rPr>
        <w:t>The twin was calibrated on one laboratory's baselines (ScreenNeuroPharm's chambers), and its drug knobs were checked (§14) against recordings from that laboratory and two others. The EPA screen is one it has never seen: on almost every exposure date it runs three positive controls, bicuculline and picrotoxin (both remove GABA-A inhibition) and tetrodotoxin (blocks sodium channels), each at one concentration. The twin has a knob for each mechanism: the GABA-A block knob for the first two, the excitability knob for TTX. Before computing any real statistic we registered the six readouts the two share, the rule for reading a direction from the twin (eight simulated chips, each recorded untreated and treated, must agree), and the agreement test; then the twin computed and we committed its predictions (</w:t>
      </w:r>
      <w:r>
        <w:rPr>
          <w:rFonts w:ascii="Consolas" w:hAnsi="Consolas"/>
          <w:b w:val="0"/>
          <w:i w:val="0"/>
          <w:color w:val="222222"/>
          <w:sz w:val="19"/>
        </w:rPr>
        <w:t>outputs/twin/toxcast_positive_controls_predictions_simulated.json</w:t>
      </w:r>
      <w:r>
        <w:rPr>
          <w:rFonts w:ascii="Calibri" w:hAnsi="Calibri"/>
          <w:b w:val="0"/>
          <w:i w:val="0"/>
          <w:color w:val="222222"/>
          <w:sz w:val="21"/>
        </w:rPr>
        <w:t>). Each real change is a well's change from its own baseline minus the median of the same date's vehicle wells, the correction §32 says every reading needs.</w:t>
      </w:r>
    </w:p>
    <w:p>
      <w:pPr>
        <w:keepNext/>
        <w:spacing w:before="120" w:after="40"/>
        <w:jc w:val="center"/>
      </w:pPr>
      <w:r>
        <w:drawing>
          <wp:inline xmlns:a="http://schemas.openxmlformats.org/drawingml/2006/main" xmlns:pic="http://schemas.openxmlformats.org/drawingml/2006/picture">
            <wp:extent cx="5394960" cy="1758688"/>
            <wp:docPr id="22" name="Picture 22"/>
            <wp:cNvGraphicFramePr>
              <a:graphicFrameLocks noChangeAspect="1"/>
            </wp:cNvGraphicFramePr>
            <a:graphic>
              <a:graphicData uri="http://schemas.openxmlformats.org/drawingml/2006/picture">
                <pic:pic>
                  <pic:nvPicPr>
                    <pic:cNvPr id="0" name="twin_toxcast_positive_controls.png"/>
                    <pic:cNvPicPr/>
                  </pic:nvPicPr>
                  <pic:blipFill>
                    <a:blip r:embed="rId34"/>
                    <a:stretch>
                      <a:fillRect/>
                    </a:stretch>
                  </pic:blipFill>
                  <pic:spPr>
                    <a:xfrm>
                      <a:off x="0" y="0"/>
                      <a:ext cx="5394960" cy="1758688"/>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SIMULATED twin knob changes (squares) against REAL ToxCast positive-control changes (circles, median with a 95% interval from resampling dates), per shared readout. "agree" and "differ" are scored cells; "n/s" means the twin made no call or the real direction was not established.</w:t>
      </w:r>
    </w:p>
    <w:p>
      <w:pPr>
        <w:spacing w:after="120"/>
      </w:pPr>
      <w:r>
        <w:rPr>
          <w:rFonts w:ascii="Calibri" w:hAnsi="Calibri"/>
          <w:b/>
          <w:i w:val="0"/>
          <w:color w:val="156082"/>
          <w:sz w:val="21"/>
        </w:rPr>
        <w:t>Every scored direction agrees:</w:t>
      </w:r>
      <w:r>
        <w:rPr>
          <w:rFonts w:ascii="Calibri" w:hAnsi="Calibri"/>
          <w:b w:val="0"/>
          <w:i w:val="0"/>
          <w:color w:val="222222"/>
          <w:sz w:val="21"/>
        </w:rPr>
        <w:t xml:space="preserve"> 12 of 12, four per drug, so all four registered predictions pass. The one that matters most is firing rate under GABA-A block. The twin raises it (2.367 log2), and §18 (row 9) recorded that as the twin's one wrong direction, because the real GABA-A antagonist pairs in our asset, from two other laboratories, lower it (−0.335 log2). In the EPA's rat cortical wells, bicuculline raises it by 1.124 log2 over 348 wells and picrotoxin by 1.624 log2, and TTX lowers it by −4.034 log2 (silence) where the twin predicts −3.065. So the direction of firing rate under disinhibition differs between laboratories and platforms; it is not simply a defect of the twin.</w:t>
      </w:r>
    </w:p>
    <w:p>
      <w:pPr>
        <w:spacing w:after="120"/>
      </w:pPr>
      <w:r>
        <w:rPr>
          <w:rFonts w:ascii="Calibri" w:hAnsi="Calibri"/>
          <w:b/>
          <w:i w:val="0"/>
          <w:color w:val="156082"/>
          <w:sz w:val="21"/>
        </w:rPr>
        <w:t>Why this is a low bar, which we checked after seeing the result.</w:t>
      </w:r>
      <w:r>
        <w:rPr>
          <w:rFonts w:ascii="Calibri" w:hAnsi="Calibri"/>
          <w:b w:val="0"/>
          <w:i w:val="0"/>
          <w:color w:val="222222"/>
          <w:sz w:val="21"/>
        </w:rPr>
        <w:t xml:space="preserve"> At these strong doses nearly every readout moves with firing rate. A rule that knows only whether each drug raised or lowered firing rate, and predicts every other readout the same way, scores 11 of 11 on the same cells, where the twin, firing rate excluded, scores 9 of 9. The twin earns no credit beyond that rule, and where they differ the rule is right: burst rate rises under bicuculline (0.382 log2) and picrotoxin (0.899), while the twin leans the other way (−0.261, too inconsistent across chips to count as a call). Magnitudes do not transfer: the twin overstates the rise in spikes per burst under GABA-A block (2.907 log2 against 1.042 for bicuculline), as §14 found for the sodium knob. The fair summary: the twin is not wrong on an unseen laboratory's strongest controls, and that is all this test can show.</w:t>
      </w:r>
    </w:p>
    <w:p>
      <w:pPr>
        <w:keepNext/>
        <w:spacing w:before="240" w:after="60"/>
      </w:pPr>
      <w:r>
        <w:rPr>
          <w:rFonts w:ascii="Calibri" w:hAnsi="Calibri"/>
          <w:b/>
          <w:i w:val="0"/>
          <w:color w:val="1F4E79"/>
          <w:sz w:val="23"/>
        </w:rPr>
        <w:t>34. A quality-control rule for chip screens, from §32</w:t>
      </w:r>
    </w:p>
    <w:p>
      <w:pPr>
        <w:spacing w:after="120"/>
      </w:pPr>
      <w:r>
        <w:rPr>
          <w:rFonts w:ascii="Calibri" w:hAnsi="Calibri"/>
          <w:b w:val="0"/>
          <w:i w:val="0"/>
          <w:color w:val="222222"/>
          <w:sz w:val="21"/>
        </w:rPr>
        <w:t xml:space="preserve">Three rules follow from the vehicle wells. The computation in </w:t>
      </w:r>
      <w:r>
        <w:rPr>
          <w:rFonts w:ascii="Consolas" w:hAnsi="Consolas"/>
          <w:b w:val="0"/>
          <w:i w:val="0"/>
          <w:color w:val="222222"/>
          <w:sz w:val="19"/>
        </w:rPr>
        <w:t>neuromps.models.toxcast_noise_floors</w:t>
      </w:r>
      <w:r>
        <w:rPr>
          <w:rFonts w:ascii="Calibri" w:hAnsi="Calibri"/>
          <w:b w:val="0"/>
          <w:i w:val="0"/>
          <w:color w:val="222222"/>
          <w:sz w:val="21"/>
        </w:rPr>
        <w:t xml:space="preserve"> applies unchanged to any lab's own vehicle wells, given a date for each.</w:t>
      </w:r>
    </w:p>
    <w:p>
      <w:pPr>
        <w:spacing w:after="120"/>
        <w:ind w:left="432" w:hanging="259"/>
      </w:pPr>
      <w:r>
        <w:rPr>
          <w:rFonts w:ascii="Calibri" w:hAnsi="Calibri"/>
          <w:b w:val="0"/>
          <w:i w:val="0"/>
          <w:color w:val="222222"/>
          <w:sz w:val="21"/>
        </w:rPr>
        <w:t>•</w:t>
        <w:tab/>
      </w:r>
      <w:r>
        <w:rPr>
          <w:rFonts w:ascii="Calibri" w:hAnsi="Calibri"/>
          <w:b/>
          <w:i w:val="0"/>
          <w:color w:val="156082"/>
          <w:sz w:val="21"/>
        </w:rPr>
        <w:t>Judge every treated well against vehicle wells from the same day, never against its own baseline alone.</w:t>
      </w:r>
      <w:r>
        <w:rPr>
          <w:rFonts w:ascii="Calibri" w:hAnsi="Calibri"/>
          <w:b w:val="0"/>
          <w:i w:val="0"/>
          <w:color w:val="222222"/>
          <w:sz w:val="21"/>
        </w:rPr>
        <w:t xml:space="preserve"> The vehicle drift (a median −32% in firing rate) is larger than most effects a screen looks for.</w:t>
      </w:r>
    </w:p>
    <w:p>
      <w:pPr>
        <w:spacing w:after="120"/>
        <w:ind w:left="432" w:hanging="259"/>
      </w:pPr>
      <w:r>
        <w:rPr>
          <w:rFonts w:ascii="Calibri" w:hAnsi="Calibri"/>
          <w:b w:val="0"/>
          <w:i w:val="0"/>
          <w:color w:val="222222"/>
          <w:sz w:val="21"/>
        </w:rPr>
        <w:t>•</w:t>
        <w:tab/>
      </w:r>
      <w:r>
        <w:rPr>
          <w:rFonts w:ascii="Calibri" w:hAnsi="Calibri"/>
          <w:b/>
          <w:i w:val="0"/>
          <w:color w:val="156082"/>
          <w:sz w:val="21"/>
        </w:rPr>
        <w:t>Put vehicle wells on every exposure date, or spread replicates across dates.</w:t>
      </w:r>
      <w:r>
        <w:rPr>
          <w:rFonts w:ascii="Calibri" w:hAnsi="Calibri"/>
          <w:b w:val="0"/>
          <w:i w:val="0"/>
          <w:color w:val="222222"/>
          <w:sz w:val="21"/>
        </w:rPr>
        <w:t xml:space="preserve"> With about two-fifths of the variance shared by the day, a one-day experiment against a historical reference is blind to a 50% fall in firing rate however many wells it uses; the same wells against same-day vehicles see it with 4 of each. The EPA's own normalization already works per date; a smaller lab should copy it.</w:t>
      </w:r>
    </w:p>
    <w:p>
      <w:pPr>
        <w:spacing w:after="120"/>
        <w:ind w:left="432" w:hanging="259"/>
      </w:pPr>
      <w:r>
        <w:rPr>
          <w:rFonts w:ascii="Calibri" w:hAnsi="Calibri"/>
          <w:b w:val="0"/>
          <w:i w:val="0"/>
          <w:color w:val="222222"/>
          <w:sz w:val="21"/>
        </w:rPr>
        <w:t>•</w:t>
        <w:tab/>
      </w:r>
      <w:r>
        <w:rPr>
          <w:rFonts w:ascii="Calibri" w:hAnsi="Calibri"/>
          <w:b/>
          <w:i w:val="0"/>
          <w:color w:val="156082"/>
          <w:sz w:val="21"/>
        </w:rPr>
        <w:t>Choose readouts by their noise floor, not only by their meaning.</w:t>
      </w:r>
      <w:r>
        <w:rPr>
          <w:rFonts w:ascii="Calibri" w:hAnsi="Calibri"/>
          <w:b w:val="0"/>
          <w:i w:val="0"/>
          <w:color w:val="222222"/>
          <w:sz w:val="21"/>
        </w:rPr>
        <w:t xml:space="preserve"> For a fall of a fifth, burst-shape and synchrony readouts need a handful of wells where firing rate needs 32. This also sharpens §20's fly result: the 0.149 log2 firing-rate change at which the simulated fly's behaviour had already failed is below what even 96 independent real wells detect (a 0.167 log2 rise).</w:t>
      </w:r>
    </w:p>
    <w:p>
      <w:pPr>
        <w:spacing w:after="120"/>
      </w:pPr>
      <w:r>
        <w:rPr>
          <w:rFonts w:ascii="Calibri" w:hAnsi="Calibri"/>
          <w:b/>
          <w:i w:val="0"/>
          <w:color w:val="156082"/>
          <w:sz w:val="21"/>
        </w:rPr>
        <w:t>What this act does not show.</w:t>
      </w:r>
      <w:r>
        <w:rPr>
          <w:rFonts w:ascii="Calibri" w:hAnsi="Calibri"/>
          <w:b w:val="0"/>
          <w:i w:val="0"/>
          <w:color w:val="222222"/>
          <w:sz w:val="21"/>
        </w:rPr>
        <w:t xml:space="preserve"> The noise floors are one laboratory's, on one rat cortical preparation and one platform; another lab's will differ and should be measured the same way. Seven of the fifteen readouts rest on recovered well assignments (§32); the checks that support them are exact, but they test dates and concentrations, not a well's position on its plate. The positive controls are single, saturating concentrations, so §33 tests directions at the extremes; §35 puts the dose response itself to the test.</w:t>
      </w:r>
    </w:p>
    <w:p>
      <w:pPr>
        <w:keepNext/>
        <w:spacing w:before="240" w:after="60"/>
      </w:pPr>
      <w:r>
        <w:rPr>
          <w:rFonts w:ascii="Calibri" w:hAnsi="Calibri"/>
          <w:b/>
          <w:i w:val="0"/>
          <w:color w:val="1F4E79"/>
          <w:sz w:val="23"/>
        </w:rPr>
        <w:t>35. The dose response: the twin's knob grid against real concentration-response curves</w:t>
      </w:r>
    </w:p>
    <w:p>
      <w:pPr>
        <w:spacing w:after="120"/>
      </w:pPr>
      <w:r>
        <w:rPr>
          <w:rFonts w:ascii="Calibri" w:hAnsi="Calibri"/>
          <w:b w:val="0"/>
          <w:i w:val="0"/>
          <w:color w:val="222222"/>
          <w:sz w:val="21"/>
        </w:rPr>
        <w:t xml:space="preserve">§33 left the obvious question open. The screen's positive controls are run at one saturating concentration, so they say nothing about whether the twin's knobs move the readouts </w:t>
      </w:r>
      <w:r>
        <w:rPr>
          <w:rFonts w:ascii="Calibri" w:hAnsi="Calibri"/>
          <w:b w:val="0"/>
          <w:i/>
          <w:color w:val="222222"/>
          <w:sz w:val="21"/>
        </w:rPr>
        <w:t>in the order</w:t>
      </w:r>
      <w:r>
        <w:rPr>
          <w:rFonts w:ascii="Calibri" w:hAnsi="Calibri"/>
          <w:b w:val="0"/>
          <w:i w:val="0"/>
          <w:color w:val="222222"/>
          <w:sz w:val="21"/>
        </w:rPr>
        <w:t xml:space="preserve"> a rising concentration does. The screen also runs about five hundred compounds over seven concentrations each, and for some of them the primary target is one of the twin's four knobs.</w:t>
      </w:r>
    </w:p>
    <w:p>
      <w:pPr>
        <w:keepNext/>
        <w:spacing w:after="120"/>
      </w:pPr>
      <w:r>
        <w:rPr>
          <w:rFonts w:ascii="Calibri" w:hAnsi="Calibri"/>
          <w:b w:val="0"/>
          <w:i w:val="0"/>
          <w:color w:val="222222"/>
          <w:sz w:val="21"/>
        </w:rPr>
        <w:t xml:space="preserve">Registered first (decision D30, </w:t>
      </w:r>
      <w:r>
        <w:rPr>
          <w:rFonts w:ascii="Consolas" w:hAnsi="Consolas"/>
          <w:b w:val="0"/>
          <w:i w:val="0"/>
          <w:color w:val="222222"/>
          <w:sz w:val="19"/>
        </w:rPr>
        <w:t>preregistration/twin_toxcast_dose_response.json</w:t>
      </w:r>
      <w:r>
        <w:rPr>
          <w:rFonts w:ascii="Calibri" w:hAnsi="Calibri"/>
          <w:b w:val="0"/>
          <w:i w:val="0"/>
          <w:color w:val="222222"/>
          <w:sz w:val="21"/>
        </w:rPr>
        <w:t xml:space="preserve">, committed before the twin ran): the compound list with one class label each, the knob grids, the rank rule matching a concentration to a knob level, the rule for which bins count as moving, an exclusion rule for the screen's own viability readout, and the predictions with their thresholds. Firing rate was declared already seen — an earlier private analysis had looked at it — and is reported here, never tested. The twin's curves (12 simulated chips, four knobs, seven levels each, every recording paired with its own chip untreated and run through the same </w:t>
      </w:r>
      <w:r>
        <w:rPr>
          <w:rFonts w:ascii="Consolas" w:hAnsi="Consolas"/>
          <w:b w:val="0"/>
          <w:i w:val="0"/>
          <w:color w:val="222222"/>
          <w:sz w:val="19"/>
        </w:rPr>
        <w:t>features/mea.py</w:t>
      </w:r>
      <w:r>
        <w:rPr>
          <w:rFonts w:ascii="Calibri" w:hAnsi="Calibri"/>
          <w:b w:val="0"/>
          <w:i w:val="0"/>
          <w:color w:val="222222"/>
          <w:sz w:val="21"/>
        </w:rPr>
        <w:t xml:space="preserve"> path) were committed before a single treated well was read. Concentrations are matched to knob levels by rank, because the two axes share no unit and every registered score is unchanged by a monotone map between them.</w:t>
      </w:r>
    </w:p>
    <w:p>
      <w:pPr>
        <w:keepNext/>
        <w:spacing w:before="120" w:after="40"/>
        <w:jc w:val="center"/>
      </w:pPr>
      <w:r>
        <w:drawing>
          <wp:inline xmlns:a="http://schemas.openxmlformats.org/drawingml/2006/main" xmlns:pic="http://schemas.openxmlformats.org/drawingml/2006/picture">
            <wp:extent cx="5394960" cy="3597471"/>
            <wp:docPr id="23" name="Picture 23"/>
            <wp:cNvGraphicFramePr>
              <a:graphicFrameLocks noChangeAspect="1"/>
            </wp:cNvGraphicFramePr>
            <a:graphic>
              <a:graphicData uri="http://schemas.openxmlformats.org/drawingml/2006/picture">
                <pic:pic>
                  <pic:nvPicPr>
                    <pic:cNvPr id="0" name="twin_toxcast_dose_response.png"/>
                    <pic:cNvPicPr/>
                  </pic:nvPicPr>
                  <pic:blipFill>
                    <a:blip r:embed="rId35"/>
                    <a:stretch>
                      <a:fillRect/>
                    </a:stretch>
                  </pic:blipFill>
                  <pic:spPr>
                    <a:xfrm>
                      <a:off x="0" y="0"/>
                      <a:ext cx="5394960" cy="3597471"/>
                    </a:xfrm>
                    <a:prstGeom prst="rect"/>
                  </pic:spPr>
                </pic:pic>
              </a:graphicData>
            </a:graphic>
          </wp:inline>
        </w:drawing>
      </w:r>
    </w:p>
    <w:p>
      <w:pPr>
        <w:spacing w:after="200"/>
        <w:jc w:val="center"/>
      </w:pPr>
      <w:r>
        <w:rPr>
          <w:rFonts w:ascii="Calibri" w:hAnsi="Calibri"/>
          <w:b/>
          <w:i/>
          <w:color w:val="222222"/>
          <w:sz w:val="17"/>
        </w:rPr>
        <w:t xml:space="preserve">Figure 23. </w:t>
      </w:r>
      <w:r>
        <w:rPr>
          <w:rFonts w:ascii="Calibri" w:hAnsi="Calibri"/>
          <w:b w:val="0"/>
          <w:i/>
          <w:color w:val="222222"/>
          <w:sz w:val="17"/>
        </w:rPr>
        <w:t>Left: Spearman correlation between the SIMULATED twin's matched curve and the REAL ToxCast curve, one bar per compound and readout, with the registered hit line and the two nulls' means. Right: the best-scoring pair, REAL wells (circles, median against same-date vehicle wells) against the SIMULATED twin's rank-matched knob curve (squares).</w:t>
      </w:r>
    </w:p>
    <w:p>
      <w:pPr>
        <w:spacing w:after="120"/>
      </w:pPr>
      <w:r>
        <w:rPr>
          <w:rFonts w:ascii="Calibri" w:hAnsi="Calibri"/>
          <w:b/>
          <w:i w:val="0"/>
          <w:color w:val="156082"/>
          <w:sz w:val="21"/>
        </w:rPr>
        <w:t>Two of the four registered predictions pass</w:t>
      </w:r>
      <w:r>
        <w:rPr>
          <w:rFonts w:ascii="Calibri" w:hAnsi="Calibri"/>
          <w:b w:val="0"/>
          <w:i w:val="0"/>
          <w:color w:val="222222"/>
          <w:sz w:val="21"/>
        </w:rPr>
        <w:t xml:space="preserve"> (2 of 4), over 13 compounds and 26 scored compound-readout pairs.</w:t>
      </w:r>
    </w:p>
    <w:p>
      <w:pPr>
        <w:spacing w:after="120"/>
        <w:ind w:left="432" w:hanging="259"/>
      </w:pPr>
      <w:r>
        <w:rPr>
          <w:rFonts w:ascii="Calibri" w:hAnsi="Calibri"/>
          <w:b w:val="0"/>
          <w:i w:val="0"/>
          <w:color w:val="222222"/>
          <w:sz w:val="21"/>
        </w:rPr>
        <w:t>•</w:t>
        <w:tab/>
      </w:r>
      <w:r>
        <w:rPr>
          <w:rFonts w:ascii="Calibri" w:hAnsi="Calibri"/>
          <w:b/>
          <w:i w:val="0"/>
          <w:color w:val="156082"/>
          <w:sz w:val="21"/>
        </w:rPr>
        <w:t>P1 (shape) fails.</w:t>
      </w:r>
      <w:r>
        <w:rPr>
          <w:rFonts w:ascii="Calibri" w:hAnsi="Calibri"/>
          <w:b w:val="0"/>
          <w:i w:val="0"/>
          <w:color w:val="222222"/>
          <w:sz w:val="21"/>
        </w:rPr>
        <w:t xml:space="preserve"> Only 10 of 26 pairs reach the registered correlation of 0.6, a hit rate of 0.38 against the 0.5 the registration required, at a mean Spearman of 0.34.</w:t>
      </w:r>
    </w:p>
    <w:p>
      <w:pPr>
        <w:spacing w:after="120"/>
        <w:ind w:left="432" w:hanging="259"/>
      </w:pPr>
      <w:r>
        <w:rPr>
          <w:rFonts w:ascii="Calibri" w:hAnsi="Calibri"/>
          <w:b w:val="0"/>
          <w:i w:val="0"/>
          <w:color w:val="222222"/>
          <w:sz w:val="21"/>
        </w:rPr>
        <w:t>•</w:t>
        <w:tab/>
      </w:r>
      <w:r>
        <w:rPr>
          <w:rFonts w:ascii="Calibri" w:hAnsi="Calibri"/>
          <w:b/>
          <w:i w:val="0"/>
          <w:color w:val="156082"/>
          <w:sz w:val="21"/>
        </w:rPr>
        <w:t>P2 (beat the follow-firing-rate rule) fails</w:t>
      </w:r>
      <w:r>
        <w:rPr>
          <w:rFonts w:ascii="Calibri" w:hAnsi="Calibri"/>
          <w:b w:val="0"/>
          <w:i w:val="0"/>
          <w:color w:val="222222"/>
          <w:sz w:val="21"/>
        </w:rPr>
        <w:t>, as in §33. Predicting every readout's curve from the compound's own real firing-rate curve scores 0.52, so the twin is behind by −0.18.</w:t>
      </w:r>
    </w:p>
    <w:p>
      <w:pPr>
        <w:spacing w:after="120"/>
        <w:ind w:left="432" w:hanging="259"/>
      </w:pPr>
      <w:r>
        <w:rPr>
          <w:rFonts w:ascii="Calibri" w:hAnsi="Calibri"/>
          <w:b w:val="0"/>
          <w:i w:val="0"/>
          <w:color w:val="222222"/>
          <w:sz w:val="21"/>
        </w:rPr>
        <w:t>•</w:t>
        <w:tab/>
      </w:r>
      <w:r>
        <w:rPr>
          <w:rFonts w:ascii="Calibri" w:hAnsi="Calibri"/>
          <w:b/>
          <w:i w:val="0"/>
          <w:color w:val="156082"/>
          <w:sz w:val="21"/>
        </w:rPr>
        <w:t>P3 (the mechanism label matters) passes, and not narrowly.</w:t>
      </w:r>
      <w:r>
        <w:rPr>
          <w:rFonts w:ascii="Calibri" w:hAnsi="Calibri"/>
          <w:b w:val="0"/>
          <w:i w:val="0"/>
          <w:color w:val="222222"/>
          <w:sz w:val="21"/>
        </w:rPr>
        <w:t xml:space="preserve"> Scored under a knob the compound is not labelled with, the same curves give −0.13 over 64 combinations, so the labelled knob leads by 0.47. Whatever the twin's curves carry, it is specific to the mechanism, not a shape any knob would produce.</w:t>
      </w:r>
    </w:p>
    <w:p>
      <w:pPr>
        <w:spacing w:after="120"/>
        <w:ind w:left="432" w:hanging="259"/>
      </w:pPr>
      <w:r>
        <w:rPr>
          <w:rFonts w:ascii="Calibri" w:hAnsi="Calibri"/>
          <w:b w:val="0"/>
          <w:i w:val="0"/>
          <w:color w:val="222222"/>
          <w:sz w:val="21"/>
        </w:rPr>
        <w:t>•</w:t>
        <w:tab/>
      </w:r>
      <w:r>
        <w:rPr>
          <w:rFonts w:ascii="Calibri" w:hAnsi="Calibri"/>
          <w:b/>
          <w:i w:val="0"/>
          <w:color w:val="156082"/>
          <w:sz w:val="21"/>
        </w:rPr>
        <w:t>P4 (which readout moves first) passes.</w:t>
      </w:r>
      <w:r>
        <w:rPr>
          <w:rFonts w:ascii="Calibri" w:hAnsi="Calibri"/>
          <w:b w:val="0"/>
          <w:i w:val="0"/>
          <w:color w:val="222222"/>
          <w:sz w:val="21"/>
        </w:rPr>
        <w:t xml:space="preserve"> The twin names the first-moving readout for 8 of 11 compounds where both sides make a call, a rate of 0.73; in almost every case that readout is spikes per burst, which the vehicle wells of §32 also showed to be among the quietest.</w:t>
      </w:r>
    </w:p>
    <w:p>
      <w:pPr>
        <w:spacing w:after="120"/>
        <w:ind w:left="432" w:hanging="259"/>
      </w:pPr>
      <w:r>
        <w:rPr>
          <w:rFonts w:ascii="Calibri" w:hAnsi="Calibri"/>
          <w:b w:val="0"/>
          <w:i w:val="0"/>
          <w:color w:val="222222"/>
          <w:sz w:val="21"/>
        </w:rPr>
        <w:t>•</w:t>
        <w:tab/>
      </w:r>
      <w:r>
        <w:rPr>
          <w:rFonts w:ascii="Calibri" w:hAnsi="Calibri"/>
          <w:b/>
          <w:i w:val="0"/>
          <w:color w:val="156082"/>
          <w:sz w:val="21"/>
        </w:rPr>
        <w:t>Firing rate (seen, so reported only).</w:t>
      </w:r>
      <w:r>
        <w:rPr>
          <w:rFonts w:ascii="Calibri" w:hAnsi="Calibri"/>
          <w:b w:val="0"/>
          <w:i w:val="0"/>
          <w:color w:val="222222"/>
          <w:sz w:val="21"/>
        </w:rPr>
        <w:t xml:space="preserve"> At each compound's highest retained concentration the twin's sign agrees with the real one for 9 of 13 compounds. Three of the four that differ are GABA-A antagonists whose real firing rate collapses at the top concentration where the twin's disinhibition knob raises it; the fourth is the one barbiturate, where the real change is small and the twin's knob is weak.</w:t>
      </w:r>
    </w:p>
    <w:p>
      <w:pPr>
        <w:spacing w:after="120"/>
      </w:pPr>
      <w:r>
        <w:rPr>
          <w:rFonts w:ascii="Calibri" w:hAnsi="Calibri"/>
          <w:b/>
          <w:i w:val="0"/>
          <w:color w:val="156082"/>
          <w:sz w:val="21"/>
        </w:rPr>
        <w:t>The assumption this rests on, and the check.</w:t>
      </w:r>
      <w:r>
        <w:rPr>
          <w:rFonts w:ascii="Calibri" w:hAnsi="Calibri"/>
          <w:b w:val="0"/>
          <w:i w:val="0"/>
          <w:color w:val="222222"/>
          <w:sz w:val="21"/>
        </w:rPr>
        <w:t xml:space="preserve"> The rank match assumes the screen's concentration range covers a comparable span of each mechanism to the knob grid. Rescoring with the grid's two strongest levels removed changes little (0.31 against 0.34), so the result does not hinge on where the grid ends.</w:t>
      </w:r>
    </w:p>
    <w:p>
      <w:pPr>
        <w:spacing w:after="120"/>
      </w:pPr>
      <w:r>
        <w:rPr>
          <w:rFonts w:ascii="Calibri" w:hAnsi="Calibri"/>
          <w:b/>
          <w:i w:val="0"/>
          <w:color w:val="156082"/>
          <w:sz w:val="21"/>
        </w:rPr>
        <w:t>Where the registered test broke, found after the fact.</w:t>
      </w:r>
      <w:r>
        <w:rPr>
          <w:rFonts w:ascii="Calibri" w:hAnsi="Calibri"/>
          <w:b w:val="0"/>
          <w:i w:val="0"/>
          <w:color w:val="222222"/>
          <w:sz w:val="21"/>
        </w:rPr>
        <w:t xml:space="preserve"> The registered exclusion rule — drop every concentration from the first one at which the plates' own viability readout falls below its vehicle noise floor — excluded nothing anywhere. In a forty-minute acute exposure that readout barely moves, and for two compounds some bins pooled more wells than any single exposure date's vehicle set can supply, so the rule had no power to judge them at all (</w:t>
      </w:r>
      <w:r>
        <w:rPr>
          <w:rFonts w:ascii="Consolas" w:hAnsi="Consolas"/>
          <w:b w:val="0"/>
          <w:i w:val="0"/>
          <w:color w:val="222222"/>
          <w:sz w:val="19"/>
        </w:rPr>
        <w:t>viability_untestable_bins</w:t>
      </w:r>
      <w:r>
        <w:rPr>
          <w:rFonts w:ascii="Calibri" w:hAnsi="Calibri"/>
          <w:b w:val="0"/>
          <w:i w:val="0"/>
          <w:color w:val="222222"/>
          <w:sz w:val="21"/>
        </w:rPr>
        <w:t xml:space="preserve">). The top concentration therefore stayed in every curve. </w:t>
      </w:r>
      <w:r>
        <w:rPr>
          <w:rFonts w:ascii="Calibri" w:hAnsi="Calibri"/>
          <w:b/>
          <w:i w:val="0"/>
          <w:color w:val="222222"/>
          <w:sz w:val="21"/>
        </w:rPr>
        <w:t>Post hoc</w:t>
      </w:r>
      <w:r>
        <w:rPr>
          <w:rFonts w:ascii="Calibri" w:hAnsi="Calibri"/>
          <w:b w:val="0"/>
          <w:i w:val="0"/>
          <w:color w:val="222222"/>
          <w:sz w:val="21"/>
        </w:rPr>
        <w:t xml:space="preserve">, dropping each compound's highest concentration lifts the twin to 0.65 mean Spearman and 17 of 22 pairs above the hit line, ahead of the firing-rate rule (0.45). Dropping any one bin would do that only if the curves were noise, so we checked: dropping the lowest concentration instead gives 0.22 and a middle one 0.32, both at or below the registered score. The failure is specific to the highest concentration, which is exactly where this screen cannot tell a mechanism apart from a general loss of activity. None of this changes the registered verdict: </w:t>
      </w:r>
      <w:r>
        <w:rPr>
          <w:rFonts w:ascii="Calibri" w:hAnsi="Calibri"/>
          <w:b/>
          <w:i w:val="0"/>
          <w:color w:val="222222"/>
          <w:sz w:val="21"/>
        </w:rPr>
        <w:t>P1 and P2 fail as registered.</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The twin's sodium and AMPA knobs are not dose-responsive at the grid used here: both abolish activity at their weakest level, so for them the match is a step, not a curve, and the one sodium-channel compound contributes no scored pair. A compound's wells are pooled across exposure dates while the null draws within one date, which makes the moving-bin rule slightly permissive for the few compounds run on more than one date. And the class labels are the compounds' established primary targets, not measurements made here; a compound that acts on something else as well will not match its knob however good the twin is.</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4" name="Picture 24"/>
            <wp:cNvGraphicFramePr>
              <a:graphicFrameLocks noChangeAspect="1"/>
            </wp:cNvGraphicFramePr>
            <a:graphic>
              <a:graphicData uri="http://schemas.openxmlformats.org/drawingml/2006/picture">
                <pic:pic>
                  <pic:nvPicPr>
                    <pic:cNvPr id="0" name="hd14_posterior_ranks_simulated.png"/>
                    <pic:cNvPicPr/>
                  </pic:nvPicPr>
                  <pic:blipFill>
                    <a:blip r:embed="rId36"/>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24. </w:t>
      </w:r>
      <w:r>
        <w:rPr>
          <w:rFonts w:ascii="Calibri" w:hAnsi="Calibri"/>
          <w:b w:val="0"/>
          <w:i/>
          <w:color w:val="222222"/>
          <w:sz w:val="17"/>
        </w:rPr>
        <w:t>SIMULATED posterior calibration: the rank of the true parameter among posterior samples. Flat would be calibrated; these are not.</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25" name="Picture 25"/>
            <wp:cNvGraphicFramePr>
              <a:graphicFrameLocks noChangeAspect="1"/>
            </wp:cNvGraphicFramePr>
            <a:graphic>
              <a:graphicData uri="http://schemas.openxmlformats.org/drawingml/2006/picture">
                <pic:pic>
                  <pic:nvPicPr>
                    <pic:cNvPr id="0" name="microchannel_asymmetry_real.png"/>
                    <pic:cNvPicPr/>
                  </pic:nvPicPr>
                  <pic:blipFill>
                    <a:blip r:embed="rId37"/>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25.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