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On the same spike files, our extractor and the depositors' published meaRtools output differ more than twofold in burst rate (§3), the kind of divergence that pooling published summary tables would hide. A post hoc rerun of our extractor under their stated settings traces it to the human iPSC plates and mainly to the burst-rate denominator: dividing by the electrodes that burst rather than by every active one moves the pooled ratio from 0.4423 to 0.9087.</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p>
            <w:pPr>
              <w:keepNext/>
              <w:spacing w:after="0"/>
            </w:pPr>
            <w:r>
              <w:rPr>
                <w:rFonts w:ascii="Calibri" w:hAnsi="Calibri"/>
                <w:b w:val="0"/>
                <w:i w:val="0"/>
                <w:color w:val="222222"/>
                <w:sz w:val="20"/>
              </w:rPr>
              <w:t>36. Is a human iPSC chip noisier than a rat one? Split-half noise from one lab</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meaRtools output the depositors published, REAL recordings. One panel per feature: our value (vertical) against their published value (horizontal) for each well and DIV, coloured by plate; the dashed line is equality. Only </w:t>
      </w:r>
      <w:r>
        <w:rPr>
          <w:rFonts w:ascii="Consolas" w:hAnsi="Consolas"/>
          <w:b w:val="0"/>
          <w:i/>
          <w:color w:val="222222"/>
          <w:sz w:val="15"/>
        </w:rPr>
        <w:t>pct_spikes_in_bursts</w:t>
      </w:r>
      <w:r>
        <w:rPr>
          <w:rFonts w:ascii="Calibri" w:hAnsi="Calibri"/>
          <w:b w:val="0"/>
          <w:i/>
          <w:color w:val="222222"/>
          <w:sz w:val="17"/>
        </w:rPr>
        <w:t xml:space="preserve"> lands on equality; burst rate differs about twofold.</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after="120"/>
      </w:pPr>
      <w:r>
        <w:rPr>
          <w:rFonts w:ascii="Calibri" w:hAnsi="Calibri"/>
          <w:b/>
          <w:i w:val="0"/>
          <w:color w:val="156082"/>
          <w:sz w:val="21"/>
        </w:rPr>
        <w:t>Where the difference comes from (post hoc).</w:t>
      </w:r>
      <w:r>
        <w:rPr>
          <w:rFonts w:ascii="Calibri" w:hAnsi="Calibri"/>
          <w:b w:val="0"/>
          <w:i w:val="0"/>
          <w:color w:val="222222"/>
          <w:sz w:val="21"/>
        </w:rPr>
        <w:t xml:space="preserve"> The comparison above runs our extractor on the depositors' spike files and sets it beside the output they published; it does not rerun meaRtools. To find out which choices separate the two, we reran our own extractor with the depositors' stated settings (Kapucu et al. 2022, Methods) switched on one at a time. This is post hoc: a scratch analysis showed the result before the code in </w:t>
      </w:r>
      <w:r>
        <w:rPr>
          <w:rFonts w:ascii="Consolas" w:hAnsi="Consolas"/>
          <w:b w:val="0"/>
          <w:i w:val="0"/>
          <w:color w:val="222222"/>
          <w:sz w:val="19"/>
        </w:rPr>
        <w:t>models/extractor_ladder.py</w:t>
      </w:r>
      <w:r>
        <w:rPr>
          <w:rFonts w:ascii="Calibri" w:hAnsi="Calibri"/>
          <w:b w:val="0"/>
          <w:i w:val="0"/>
          <w:color w:val="222222"/>
          <w:sz w:val="21"/>
        </w:rPr>
        <w:t xml:space="preserve"> was written, so it is labelled exploratory and is not registered.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875"/>
        <w:gridCol w:w="2732"/>
        <w:gridCol w:w="2780"/>
        <w:gridCol w:w="1110"/>
      </w:tblGrid>
      <w:tr>
        <w:trPr>
          <w:cantSplit/>
          <w:tblHeader/>
        </w:trPr>
        <w:tc>
          <w:tcPr>
            <w:tcW w:type="dxa" w:w="1875"/>
            <w:shd w:val="clear" w:color="auto" w:fill="1F4E79"/>
            <w:vAlign w:val="center"/>
          </w:tcPr>
          <w:p>
            <w:pPr>
              <w:keepNext/>
              <w:spacing w:after="0"/>
            </w:pPr>
            <w:r>
              <w:rPr>
                <w:rFonts w:ascii="Calibri" w:hAnsi="Calibri"/>
                <w:b/>
                <w:i w:val="0"/>
                <w:color w:val="FFFFFF"/>
                <w:sz w:val="20"/>
              </w:rPr>
              <w:t>setting</w:t>
            </w:r>
          </w:p>
        </w:tc>
        <w:tc>
          <w:tcPr>
            <w:tcW w:type="dxa" w:w="2732"/>
            <w:shd w:val="clear" w:color="auto" w:fill="1F4E79"/>
            <w:vAlign w:val="center"/>
          </w:tcPr>
          <w:p>
            <w:pPr>
              <w:keepNext/>
              <w:spacing w:after="0"/>
            </w:pPr>
            <w:r>
              <w:rPr>
                <w:rFonts w:ascii="Calibri" w:hAnsi="Calibri"/>
                <w:b/>
                <w:i w:val="0"/>
                <w:color w:val="FFFFFF"/>
                <w:sz w:val="20"/>
              </w:rPr>
              <w:t>depositors (meaRtools, as stated)</w:t>
            </w:r>
          </w:p>
        </w:tc>
        <w:tc>
          <w:tcPr>
            <w:tcW w:type="dxa" w:w="2780"/>
            <w:shd w:val="clear" w:color="auto" w:fill="1F4E79"/>
            <w:vAlign w:val="center"/>
          </w:tcPr>
          <w:p>
            <w:pPr>
              <w:keepNext/>
              <w:spacing w:after="0"/>
            </w:pPr>
            <w:r>
              <w:rPr>
                <w:rFonts w:ascii="Calibri" w:hAnsi="Calibri"/>
                <w:b/>
                <w:i w:val="0"/>
                <w:color w:val="FFFFFF"/>
                <w:sz w:val="20"/>
              </w:rPr>
              <w:t>ours (</w:t>
            </w:r>
            <w:r>
              <w:rPr>
                <w:rFonts w:ascii="Consolas" w:hAnsi="Consolas"/>
                <w:b/>
                <w:i w:val="0"/>
                <w:color w:val="FFFFFF"/>
                <w:sz w:val="18"/>
              </w:rPr>
              <w:t>features/mea.py</w:t>
            </w:r>
            <w:r>
              <w:rPr>
                <w:rFonts w:ascii="Calibri" w:hAnsi="Calibri"/>
                <w:b/>
                <w:i w:val="0"/>
                <w:color w:val="FFFFFF"/>
                <w:sz w:val="20"/>
              </w:rPr>
              <w:t>)</w:t>
            </w:r>
          </w:p>
        </w:tc>
        <w:tc>
          <w:tcPr>
            <w:tcW w:type="dxa" w:w="1110"/>
            <w:shd w:val="clear" w:color="auto" w:fill="1F4E79"/>
            <w:vAlign w:val="center"/>
          </w:tcPr>
          <w:p>
            <w:pPr>
              <w:keepNext/>
              <w:spacing w:after="0"/>
            </w:pPr>
            <w:r>
              <w:rPr>
                <w:rFonts w:ascii="Calibri" w:hAnsi="Calibri"/>
                <w:b/>
                <w:i w:val="0"/>
                <w:color w:val="FFFFFF"/>
                <w:sz w:val="20"/>
              </w:rPr>
              <w:t>ladder step</w:t>
            </w:r>
          </w:p>
        </w:tc>
      </w:tr>
      <w:tr>
        <w:trPr>
          <w:cantSplit/>
        </w:trPr>
        <w:tc>
          <w:tcPr>
            <w:tcW w:type="dxa" w:w="1875"/>
            <w:shd w:val="clear" w:color="auto" w:fill="FFFFFF"/>
            <w:vAlign w:val="center"/>
          </w:tcPr>
          <w:p>
            <w:pPr>
              <w:keepNext/>
              <w:spacing w:after="0"/>
            </w:pPr>
            <w:r>
              <w:rPr>
                <w:rFonts w:ascii="Calibri" w:hAnsi="Calibri"/>
                <w:b/>
                <w:i w:val="0"/>
                <w:color w:val="222222"/>
                <w:sz w:val="20"/>
              </w:rPr>
              <w:t>active electrode</w:t>
            </w:r>
          </w:p>
        </w:tc>
        <w:tc>
          <w:tcPr>
            <w:tcW w:type="dxa" w:w="2732"/>
            <w:shd w:val="clear" w:color="auto" w:fill="FFFFFF"/>
            <w:vAlign w:val="center"/>
          </w:tcPr>
          <w:p>
            <w:pPr>
              <w:keepNext/>
              <w:spacing w:after="0"/>
            </w:pPr>
            <w:r>
              <w:rPr>
                <w:rFonts w:ascii="Calibri" w:hAnsi="Calibri"/>
                <w:b w:val="0"/>
                <w:i w:val="0"/>
                <w:color w:val="222222"/>
                <w:sz w:val="20"/>
              </w:rPr>
              <w:t>more than 10 spikes/min</w:t>
            </w:r>
          </w:p>
        </w:tc>
        <w:tc>
          <w:tcPr>
            <w:tcW w:type="dxa" w:w="2780"/>
            <w:shd w:val="clear" w:color="auto" w:fill="FFFFFF"/>
            <w:vAlign w:val="center"/>
          </w:tcPr>
          <w:p>
            <w:pPr>
              <w:keepNext/>
              <w:spacing w:after="0"/>
            </w:pPr>
            <w:r>
              <w:rPr>
                <w:rFonts w:ascii="Calibri" w:hAnsi="Calibri"/>
                <w:b w:val="0"/>
                <w:i w:val="0"/>
                <w:color w:val="222222"/>
                <w:sz w:val="20"/>
              </w:rPr>
              <w:t>at least 5 spikes/min</w:t>
            </w:r>
          </w:p>
        </w:tc>
        <w:tc>
          <w:tcPr>
            <w:tcW w:type="dxa" w:w="1110"/>
            <w:shd w:val="clear" w:color="auto" w:fill="FFFFFF"/>
            <w:vAlign w:val="center"/>
          </w:tcPr>
          <w:p>
            <w:pPr>
              <w:keepNext/>
              <w:spacing w:after="0"/>
            </w:pPr>
            <w:r>
              <w:rPr>
                <w:rFonts w:ascii="Calibri" w:hAnsi="Calibri"/>
                <w:b w:val="0"/>
                <w:i w:val="0"/>
                <w:color w:val="222222"/>
                <w:sz w:val="20"/>
              </w:rPr>
              <w:t>S1</w:t>
            </w:r>
          </w:p>
        </w:tc>
      </w:tr>
      <w:tr>
        <w:trPr>
          <w:cantSplit/>
        </w:trPr>
        <w:tc>
          <w:tcPr>
            <w:tcW w:type="dxa" w:w="1875"/>
            <w:shd w:val="clear" w:color="auto" w:fill="F7F9FB"/>
            <w:vAlign w:val="center"/>
          </w:tcPr>
          <w:p>
            <w:pPr>
              <w:keepNext/>
              <w:spacing w:after="0"/>
            </w:pPr>
            <w:r>
              <w:rPr>
                <w:rFonts w:ascii="Calibri" w:hAnsi="Calibri"/>
                <w:b/>
                <w:i w:val="0"/>
                <w:color w:val="222222"/>
                <w:sz w:val="20"/>
              </w:rPr>
              <w:t>noisy electrodes</w:t>
            </w:r>
          </w:p>
        </w:tc>
        <w:tc>
          <w:tcPr>
            <w:tcW w:type="dxa" w:w="2732"/>
            <w:shd w:val="clear" w:color="auto" w:fill="F7F9FB"/>
            <w:vAlign w:val="center"/>
          </w:tcPr>
          <w:p>
            <w:pPr>
              <w:keepNext/>
              <w:spacing w:after="0"/>
            </w:pPr>
            <w:r>
              <w:rPr>
                <w:rFonts w:ascii="Calibri" w:hAnsi="Calibri"/>
                <w:b w:val="0"/>
                <w:i w:val="0"/>
                <w:color w:val="222222"/>
                <w:sz w:val="20"/>
              </w:rPr>
              <w:t>discarded</w:t>
            </w:r>
          </w:p>
        </w:tc>
        <w:tc>
          <w:tcPr>
            <w:tcW w:type="dxa" w:w="2780"/>
            <w:shd w:val="clear" w:color="auto" w:fill="F7F9FB"/>
            <w:vAlign w:val="center"/>
          </w:tcPr>
          <w:p>
            <w:pPr>
              <w:keepNext/>
              <w:spacing w:after="0"/>
            </w:pPr>
            <w:r>
              <w:rPr>
                <w:rFonts w:ascii="Calibri" w:hAnsi="Calibri"/>
                <w:b w:val="0"/>
                <w:i w:val="0"/>
                <w:color w:val="222222"/>
                <w:sz w:val="20"/>
              </w:rPr>
              <w:t>flagged, kept</w:t>
            </w:r>
          </w:p>
        </w:tc>
        <w:tc>
          <w:tcPr>
            <w:tcW w:type="dxa" w:w="1110"/>
            <w:shd w:val="clear" w:color="auto" w:fill="F7F9FB"/>
            <w:vAlign w:val="center"/>
          </w:tcPr>
          <w:p>
            <w:pPr>
              <w:keepNext/>
              <w:spacing w:after="0"/>
            </w:pPr>
            <w:r>
              <w:rPr>
                <w:rFonts w:ascii="Calibri" w:hAnsi="Calibri"/>
                <w:b w:val="0"/>
                <w:i w:val="0"/>
                <w:color w:val="222222"/>
                <w:sz w:val="20"/>
              </w:rPr>
              <w:t>S2</w:t>
            </w:r>
          </w:p>
        </w:tc>
      </w:tr>
      <w:tr>
        <w:trPr>
          <w:cantSplit/>
        </w:trPr>
        <w:tc>
          <w:tcPr>
            <w:tcW w:type="dxa" w:w="1875"/>
            <w:shd w:val="clear" w:color="auto" w:fill="FFFFFF"/>
            <w:vAlign w:val="center"/>
          </w:tcPr>
          <w:p>
            <w:pPr>
              <w:keepNext/>
              <w:spacing w:after="0"/>
            </w:pPr>
            <w:r>
              <w:rPr>
                <w:rFonts w:ascii="Calibri" w:hAnsi="Calibri"/>
                <w:b/>
                <w:i w:val="0"/>
                <w:color w:val="222222"/>
                <w:sz w:val="20"/>
              </w:rPr>
              <w:t>burst rate divided by</w:t>
            </w:r>
          </w:p>
        </w:tc>
        <w:tc>
          <w:tcPr>
            <w:tcW w:type="dxa" w:w="2732"/>
            <w:shd w:val="clear" w:color="auto" w:fill="FFFFFF"/>
            <w:vAlign w:val="center"/>
          </w:tcPr>
          <w:p>
            <w:pPr>
              <w:keepNext/>
              <w:spacing w:after="0"/>
            </w:pPr>
            <w:r>
              <w:rPr>
                <w:rFonts w:ascii="Calibri" w:hAnsi="Calibri"/>
                <w:b w:val="0"/>
                <w:i w:val="0"/>
                <w:color w:val="222222"/>
                <w:sz w:val="20"/>
              </w:rPr>
              <w:t>electrodes that burst</w:t>
            </w:r>
          </w:p>
        </w:tc>
        <w:tc>
          <w:tcPr>
            <w:tcW w:type="dxa" w:w="2780"/>
            <w:shd w:val="clear" w:color="auto" w:fill="FFFFFF"/>
            <w:vAlign w:val="center"/>
          </w:tcPr>
          <w:p>
            <w:pPr>
              <w:keepNext/>
              <w:spacing w:after="0"/>
            </w:pPr>
            <w:r>
              <w:rPr>
                <w:rFonts w:ascii="Calibri" w:hAnsi="Calibri"/>
                <w:b w:val="0"/>
                <w:i w:val="0"/>
                <w:color w:val="222222"/>
                <w:sz w:val="20"/>
              </w:rPr>
              <w:t>every active electrode</w:t>
            </w:r>
          </w:p>
        </w:tc>
        <w:tc>
          <w:tcPr>
            <w:tcW w:type="dxa" w:w="1110"/>
            <w:shd w:val="clear" w:color="auto" w:fill="FFFFFF"/>
            <w:vAlign w:val="center"/>
          </w:tcPr>
          <w:p>
            <w:pPr>
              <w:keepNext/>
              <w:spacing w:after="0"/>
            </w:pPr>
            <w:r>
              <w:rPr>
                <w:rFonts w:ascii="Calibri" w:hAnsi="Calibri"/>
                <w:b w:val="0"/>
                <w:i w:val="0"/>
                <w:color w:val="222222"/>
                <w:sz w:val="20"/>
              </w:rPr>
              <w:t>S3</w:t>
            </w:r>
          </w:p>
        </w:tc>
      </w:tr>
      <w:tr>
        <w:trPr>
          <w:cantSplit/>
        </w:trPr>
        <w:tc>
          <w:tcPr>
            <w:tcW w:type="dxa" w:w="1875"/>
            <w:shd w:val="clear" w:color="auto" w:fill="F7F9FB"/>
            <w:vAlign w:val="center"/>
          </w:tcPr>
          <w:p>
            <w:pPr>
              <w:keepNext/>
              <w:spacing w:after="0"/>
            </w:pPr>
            <w:r>
              <w:rPr>
                <w:rFonts w:ascii="Calibri" w:hAnsi="Calibri"/>
                <w:b/>
                <w:i w:val="0"/>
                <w:color w:val="222222"/>
                <w:sz w:val="20"/>
              </w:rPr>
              <w:t>burst detector</w:t>
            </w:r>
          </w:p>
        </w:tc>
        <w:tc>
          <w:tcPr>
            <w:tcW w:type="dxa" w:w="2732"/>
            <w:shd w:val="clear" w:color="auto" w:fill="F7F9FB"/>
            <w:vAlign w:val="center"/>
          </w:tcPr>
          <w:p>
            <w:pPr>
              <w:keepNext/>
              <w:spacing w:after="0"/>
            </w:pPr>
            <w:r>
              <w:rPr>
                <w:rFonts w:ascii="Calibri" w:hAnsi="Calibri"/>
                <w:b w:val="0"/>
                <w:i w:val="0"/>
                <w:color w:val="222222"/>
                <w:sz w:val="20"/>
              </w:rPr>
              <w:t>logISI (adaptive); bursts closer than 100 ms merged</w:t>
            </w:r>
          </w:p>
        </w:tc>
        <w:tc>
          <w:tcPr>
            <w:tcW w:type="dxa" w:w="2780"/>
            <w:shd w:val="clear" w:color="auto" w:fill="F7F9FB"/>
            <w:vAlign w:val="center"/>
          </w:tcPr>
          <w:p>
            <w:pPr>
              <w:keepNext/>
              <w:spacing w:after="0"/>
            </w:pPr>
            <w:r>
              <w:rPr>
                <w:rFonts w:ascii="Calibri" w:hAnsi="Calibri"/>
                <w:b w:val="0"/>
                <w:i w:val="0"/>
                <w:color w:val="222222"/>
                <w:sz w:val="20"/>
              </w:rPr>
              <w:t>fixed: ISI ≤ 100 ms</w:t>
            </w:r>
          </w:p>
        </w:tc>
        <w:tc>
          <w:tcPr>
            <w:tcW w:type="dxa" w:w="1110"/>
            <w:shd w:val="clear" w:color="auto" w:fill="F7F9FB"/>
            <w:vAlign w:val="center"/>
          </w:tcPr>
          <w:p>
            <w:pPr>
              <w:keepNext/>
              <w:spacing w:after="0"/>
            </w:pPr>
            <w:r>
              <w:rPr>
                <w:rFonts w:ascii="Calibri" w:hAnsi="Calibri"/>
                <w:b w:val="0"/>
                <w:i w:val="0"/>
                <w:color w:val="222222"/>
                <w:sz w:val="20"/>
              </w:rPr>
              <w:t>not tested</w:t>
            </w:r>
          </w:p>
        </w:tc>
      </w:tr>
      <w:tr>
        <w:trPr>
          <w:cantSplit/>
        </w:trPr>
        <w:tc>
          <w:tcPr>
            <w:tcW w:type="dxa" w:w="1875"/>
            <w:shd w:val="clear" w:color="auto" w:fill="FFFFFF"/>
            <w:vAlign w:val="center"/>
          </w:tcPr>
          <w:p>
            <w:pPr>
              <w:keepNext/>
              <w:spacing w:after="0"/>
            </w:pPr>
            <w:r>
              <w:rPr>
                <w:rFonts w:ascii="Calibri" w:hAnsi="Calibri"/>
                <w:b/>
                <w:i w:val="0"/>
                <w:color w:val="222222"/>
                <w:sz w:val="20"/>
              </w:rPr>
              <w:t>minimum spikes per burst</w:t>
            </w:r>
          </w:p>
        </w:tc>
        <w:tc>
          <w:tcPr>
            <w:tcW w:type="dxa" w:w="2732"/>
            <w:shd w:val="clear" w:color="auto" w:fill="FFFFFF"/>
            <w:vAlign w:val="center"/>
          </w:tcPr>
          <w:p>
            <w:pPr>
              <w:keepNext/>
              <w:spacing w:after="0"/>
              <w:jc w:val="center"/>
            </w:pPr>
            <w:r>
              <w:rPr>
                <w:rFonts w:ascii="Calibri" w:hAnsi="Calibri"/>
                <w:b w:val="0"/>
                <w:i w:val="0"/>
                <w:color w:val="222222"/>
                <w:sz w:val="20"/>
              </w:rPr>
              <w:t>5</w:t>
            </w:r>
          </w:p>
        </w:tc>
        <w:tc>
          <w:tcPr>
            <w:tcW w:type="dxa" w:w="2780"/>
            <w:shd w:val="clear" w:color="auto" w:fill="FFFFFF"/>
            <w:vAlign w:val="center"/>
          </w:tcPr>
          <w:p>
            <w:pPr>
              <w:keepNext/>
              <w:spacing w:after="0"/>
              <w:jc w:val="center"/>
            </w:pPr>
            <w:r>
              <w:rPr>
                <w:rFonts w:ascii="Calibri" w:hAnsi="Calibri"/>
                <w:b w:val="0"/>
                <w:i w:val="0"/>
                <w:color w:val="222222"/>
                <w:sz w:val="20"/>
              </w:rPr>
              <w:t>5</w:t>
            </w:r>
          </w:p>
        </w:tc>
        <w:tc>
          <w:tcPr>
            <w:tcW w:type="dxa" w:w="1110"/>
            <w:shd w:val="clear" w:color="auto" w:fill="FFFFFF"/>
            <w:vAlign w:val="center"/>
          </w:tcPr>
          <w:p>
            <w:pPr>
              <w:keepNext/>
              <w:spacing w:after="0"/>
            </w:pPr>
            <w:r>
              <w:rPr>
                <w:rFonts w:ascii="Calibri" w:hAnsi="Calibri"/>
                <w:b w:val="0"/>
                <w:i w:val="0"/>
                <w:color w:val="222222"/>
                <w:sz w:val="20"/>
              </w:rPr>
              <w:t>same</w:t>
            </w:r>
          </w:p>
        </w:tc>
      </w:tr>
      <w:tr>
        <w:trPr>
          <w:cantSplit/>
        </w:trPr>
        <w:tc>
          <w:tcPr>
            <w:tcW w:type="dxa" w:w="1875"/>
            <w:shd w:val="clear" w:color="auto" w:fill="F7F9FB"/>
            <w:vAlign w:val="center"/>
          </w:tcPr>
          <w:p>
            <w:pPr>
              <w:keepNext w:val="0"/>
              <w:spacing w:after="0"/>
            </w:pPr>
            <w:r>
              <w:rPr>
                <w:rFonts w:ascii="Calibri" w:hAnsi="Calibri"/>
                <w:b/>
                <w:i w:val="0"/>
                <w:color w:val="222222"/>
                <w:sz w:val="20"/>
              </w:rPr>
              <w:t>STTC window</w:t>
            </w:r>
          </w:p>
        </w:tc>
        <w:tc>
          <w:tcPr>
            <w:tcW w:type="dxa" w:w="2732"/>
            <w:shd w:val="clear" w:color="auto" w:fill="F7F9FB"/>
            <w:vAlign w:val="center"/>
          </w:tcPr>
          <w:p>
            <w:pPr>
              <w:keepNext w:val="0"/>
              <w:spacing w:after="0"/>
            </w:pPr>
            <w:r>
              <w:rPr>
                <w:rFonts w:ascii="Calibri" w:hAnsi="Calibri"/>
                <w:b w:val="0"/>
                <w:i w:val="0"/>
                <w:color w:val="222222"/>
                <w:sz w:val="20"/>
              </w:rPr>
              <w:t>50 ms</w:t>
            </w:r>
          </w:p>
        </w:tc>
        <w:tc>
          <w:tcPr>
            <w:tcW w:type="dxa" w:w="2780"/>
            <w:shd w:val="clear" w:color="auto" w:fill="F7F9FB"/>
            <w:vAlign w:val="center"/>
          </w:tcPr>
          <w:p>
            <w:pPr>
              <w:keepNext w:val="0"/>
              <w:spacing w:after="0"/>
            </w:pPr>
            <w:r>
              <w:rPr>
                <w:rFonts w:ascii="Calibri" w:hAnsi="Calibri"/>
                <w:b w:val="0"/>
                <w:i w:val="0"/>
                <w:color w:val="222222"/>
                <w:sz w:val="20"/>
              </w:rPr>
              <w:t>50 ms</w:t>
            </w:r>
          </w:p>
        </w:tc>
        <w:tc>
          <w:tcPr>
            <w:tcW w:type="dxa" w:w="1110"/>
            <w:shd w:val="clear" w:color="auto" w:fill="F7F9FB"/>
            <w:vAlign w:val="center"/>
          </w:tcPr>
          <w:p>
            <w:pPr>
              <w:keepNext w:val="0"/>
              <w:spacing w:after="0"/>
            </w:pPr>
            <w:r>
              <w:rPr>
                <w:rFonts w:ascii="Calibri" w:hAnsi="Calibri"/>
                <w:b w:val="0"/>
                <w:i w:val="0"/>
                <w:color w:val="222222"/>
                <w:sz w:val="20"/>
              </w:rPr>
              <w:t>same</w:t>
            </w:r>
          </w:p>
        </w:tc>
      </w:tr>
    </w:tbl>
    <w:p>
      <w:pPr>
        <w:spacing w:after="80"/>
      </w:pPr>
    </w:p>
    <w:p>
      <w:pPr>
        <w:keepNext/>
        <w:spacing w:after="120"/>
      </w:pPr>
      <w:r>
        <w:rPr>
          <w:rFonts w:ascii="Calibri" w:hAnsi="Calibri"/>
          <w:b w:val="0"/>
          <w:i w:val="0"/>
          <w:color w:val="222222"/>
          <w:sz w:val="21"/>
        </w:rPr>
        <w:t>Each step keeps the one before it; the median ratio ours/theirs for burst rate, per plate: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20"/>
        <w:gridCol w:w="1096"/>
        <w:gridCol w:w="1543"/>
        <w:gridCol w:w="1543"/>
        <w:gridCol w:w="1394"/>
      </w:tblGrid>
      <w:tr>
        <w:trPr>
          <w:cantSplit/>
          <w:tblHeader/>
        </w:trPr>
        <w:tc>
          <w:tcPr>
            <w:tcW w:type="dxa" w:w="2920"/>
            <w:shd w:val="clear" w:color="auto" w:fill="1F4E79"/>
            <w:vAlign w:val="center"/>
          </w:tcPr>
          <w:p>
            <w:pPr>
              <w:keepNext/>
              <w:spacing w:after="0"/>
            </w:pPr>
            <w:r>
              <w:rPr>
                <w:rFonts w:ascii="Calibri" w:hAnsi="Calibri"/>
                <w:b/>
                <w:i w:val="0"/>
                <w:color w:val="FFFFFF"/>
                <w:sz w:val="20"/>
              </w:rPr>
              <w:t>burst rate</w:t>
            </w:r>
          </w:p>
        </w:tc>
        <w:tc>
          <w:tcPr>
            <w:tcW w:type="dxa" w:w="1096"/>
            <w:shd w:val="clear" w:color="auto" w:fill="1F4E79"/>
            <w:vAlign w:val="center"/>
          </w:tcPr>
          <w:p>
            <w:pPr>
              <w:keepNext/>
              <w:spacing w:after="0"/>
              <w:jc w:val="center"/>
            </w:pPr>
            <w:r>
              <w:rPr>
                <w:rFonts w:ascii="Calibri" w:hAnsi="Calibri"/>
                <w:b/>
                <w:i w:val="0"/>
                <w:color w:val="FFFFFF"/>
                <w:sz w:val="20"/>
              </w:rPr>
              <w:t>pooled</w:t>
            </w:r>
          </w:p>
        </w:tc>
        <w:tc>
          <w:tcPr>
            <w:tcW w:type="dxa" w:w="1543"/>
            <w:shd w:val="clear" w:color="auto" w:fill="1F4E79"/>
            <w:vAlign w:val="center"/>
          </w:tcPr>
          <w:p>
            <w:pPr>
              <w:keepNext/>
              <w:spacing w:after="0"/>
              <w:jc w:val="center"/>
            </w:pPr>
            <w:r>
              <w:rPr>
                <w:rFonts w:ascii="Calibri" w:hAnsi="Calibri"/>
                <w:b/>
                <w:i w:val="0"/>
                <w:color w:val="FFFFFF"/>
                <w:sz w:val="20"/>
              </w:rPr>
              <w:t>hPSC_MEA1</w:t>
            </w:r>
          </w:p>
        </w:tc>
        <w:tc>
          <w:tcPr>
            <w:tcW w:type="dxa" w:w="1543"/>
            <w:shd w:val="clear" w:color="auto" w:fill="1F4E79"/>
            <w:vAlign w:val="center"/>
          </w:tcPr>
          <w:p>
            <w:pPr>
              <w:keepNext/>
              <w:spacing w:after="0"/>
              <w:jc w:val="center"/>
            </w:pPr>
            <w:r>
              <w:rPr>
                <w:rFonts w:ascii="Calibri" w:hAnsi="Calibri"/>
                <w:b/>
                <w:i w:val="0"/>
                <w:color w:val="FFFFFF"/>
                <w:sz w:val="20"/>
              </w:rPr>
              <w:t>hPSC_MEA2</w:t>
            </w:r>
          </w:p>
        </w:tc>
        <w:tc>
          <w:tcPr>
            <w:tcW w:type="dxa" w:w="1394"/>
            <w:shd w:val="clear" w:color="auto" w:fill="1F4E79"/>
            <w:vAlign w:val="center"/>
          </w:tcPr>
          <w:p>
            <w:pPr>
              <w:keepNext/>
              <w:spacing w:after="0"/>
              <w:jc w:val="center"/>
            </w:pPr>
            <w:r>
              <w:rPr>
                <w:rFonts w:ascii="Calibri" w:hAnsi="Calibri"/>
                <w:b/>
                <w:i w:val="0"/>
                <w:color w:val="FFFFFF"/>
                <w:sz w:val="20"/>
              </w:rPr>
              <w:t>Rat_MEA1</w:t>
            </w:r>
          </w:p>
        </w:tc>
      </w:tr>
      <w:tr>
        <w:trPr>
          <w:cantSplit/>
        </w:trPr>
        <w:tc>
          <w:tcPr>
            <w:tcW w:type="dxa" w:w="2920"/>
            <w:shd w:val="clear" w:color="auto" w:fill="FFFFFF"/>
            <w:vAlign w:val="center"/>
          </w:tcPr>
          <w:p>
            <w:pPr>
              <w:keepNext/>
              <w:spacing w:after="0"/>
            </w:pPr>
            <w:r>
              <w:rPr>
                <w:rFonts w:ascii="Calibri" w:hAnsi="Calibri"/>
                <w:b/>
                <w:i w:val="0"/>
                <w:color w:val="222222"/>
                <w:sz w:val="20"/>
              </w:rPr>
              <w:t>S0, ours</w:t>
            </w:r>
          </w:p>
        </w:tc>
        <w:tc>
          <w:tcPr>
            <w:tcW w:type="dxa" w:w="1096"/>
            <w:shd w:val="clear" w:color="auto" w:fill="FFFFFF"/>
            <w:vAlign w:val="center"/>
          </w:tcPr>
          <w:p>
            <w:pPr>
              <w:keepNext/>
              <w:spacing w:after="0"/>
              <w:jc w:val="center"/>
            </w:pPr>
            <w:r>
              <w:rPr>
                <w:rFonts w:ascii="Calibri" w:hAnsi="Calibri"/>
                <w:b w:val="0"/>
                <w:i w:val="0"/>
                <w:color w:val="222222"/>
                <w:sz w:val="20"/>
              </w:rPr>
              <w:t>0.4423</w:t>
            </w:r>
          </w:p>
        </w:tc>
        <w:tc>
          <w:tcPr>
            <w:tcW w:type="dxa" w:w="1543"/>
            <w:shd w:val="clear" w:color="auto" w:fill="FFFFFF"/>
            <w:vAlign w:val="center"/>
          </w:tcPr>
          <w:p>
            <w:pPr>
              <w:keepNext/>
              <w:spacing w:after="0"/>
              <w:jc w:val="center"/>
            </w:pPr>
            <w:r>
              <w:rPr>
                <w:rFonts w:ascii="Calibri" w:hAnsi="Calibri"/>
                <w:b w:val="0"/>
                <w:i w:val="0"/>
                <w:color w:val="222222"/>
                <w:sz w:val="20"/>
              </w:rPr>
              <w:t>0.3417</w:t>
            </w:r>
          </w:p>
        </w:tc>
        <w:tc>
          <w:tcPr>
            <w:tcW w:type="dxa" w:w="1543"/>
            <w:shd w:val="clear" w:color="auto" w:fill="FFFFFF"/>
            <w:vAlign w:val="center"/>
          </w:tcPr>
          <w:p>
            <w:pPr>
              <w:keepNext/>
              <w:spacing w:after="0"/>
              <w:jc w:val="center"/>
            </w:pPr>
            <w:r>
              <w:rPr>
                <w:rFonts w:ascii="Calibri" w:hAnsi="Calibri"/>
                <w:b w:val="0"/>
                <w:i w:val="0"/>
                <w:color w:val="222222"/>
                <w:sz w:val="20"/>
              </w:rPr>
              <w:t>0.3841</w:t>
            </w:r>
          </w:p>
        </w:tc>
        <w:tc>
          <w:tcPr>
            <w:tcW w:type="dxa" w:w="1394"/>
            <w:shd w:val="clear" w:color="auto" w:fill="FFFFFF"/>
            <w:vAlign w:val="center"/>
          </w:tcPr>
          <w:p>
            <w:pPr>
              <w:keepNext/>
              <w:spacing w:after="0"/>
              <w:jc w:val="center"/>
            </w:pPr>
            <w:r>
              <w:rPr>
                <w:rFonts w:ascii="Calibri" w:hAnsi="Calibri"/>
                <w:b w:val="0"/>
                <w:i w:val="0"/>
                <w:color w:val="222222"/>
                <w:sz w:val="20"/>
              </w:rPr>
              <w:t>0.9573</w:t>
            </w:r>
          </w:p>
        </w:tc>
      </w:tr>
      <w:tr>
        <w:trPr>
          <w:cantSplit/>
        </w:trPr>
        <w:tc>
          <w:tcPr>
            <w:tcW w:type="dxa" w:w="2920"/>
            <w:shd w:val="clear" w:color="auto" w:fill="F7F9FB"/>
            <w:vAlign w:val="center"/>
          </w:tcPr>
          <w:p>
            <w:pPr>
              <w:keepNext/>
              <w:spacing w:after="0"/>
            </w:pPr>
            <w:r>
              <w:rPr>
                <w:rFonts w:ascii="Calibri" w:hAnsi="Calibri"/>
                <w:b/>
                <w:i w:val="0"/>
                <w:color w:val="222222"/>
                <w:sz w:val="20"/>
              </w:rPr>
              <w:t>S1, active above 10 spikes/min</w:t>
            </w:r>
          </w:p>
        </w:tc>
        <w:tc>
          <w:tcPr>
            <w:tcW w:type="dxa" w:w="1096"/>
            <w:shd w:val="clear" w:color="auto" w:fill="F7F9FB"/>
            <w:vAlign w:val="center"/>
          </w:tcPr>
          <w:p>
            <w:pPr>
              <w:keepNext/>
              <w:spacing w:after="0"/>
              <w:jc w:val="center"/>
            </w:pPr>
            <w:r>
              <w:rPr>
                <w:rFonts w:ascii="Calibri" w:hAnsi="Calibri"/>
                <w:b w:val="0"/>
                <w:i w:val="0"/>
                <w:color w:val="222222"/>
                <w:sz w:val="20"/>
              </w:rPr>
              <w:t>0.6998</w:t>
            </w:r>
          </w:p>
        </w:tc>
        <w:tc>
          <w:tcPr>
            <w:tcW w:type="dxa" w:w="1543"/>
            <w:shd w:val="clear" w:color="auto" w:fill="F7F9FB"/>
            <w:vAlign w:val="center"/>
          </w:tcPr>
          <w:p>
            <w:pPr>
              <w:keepNext/>
              <w:spacing w:after="0"/>
              <w:jc w:val="center"/>
            </w:pPr>
            <w:r>
              <w:rPr>
                <w:rFonts w:ascii="Calibri" w:hAnsi="Calibri"/>
                <w:b w:val="0"/>
                <w:i w:val="0"/>
                <w:color w:val="222222"/>
                <w:sz w:val="20"/>
              </w:rPr>
              <w:t>0.5273</w:t>
            </w:r>
          </w:p>
        </w:tc>
        <w:tc>
          <w:tcPr>
            <w:tcW w:type="dxa" w:w="1543"/>
            <w:shd w:val="clear" w:color="auto" w:fill="F7F9FB"/>
            <w:vAlign w:val="center"/>
          </w:tcPr>
          <w:p>
            <w:pPr>
              <w:keepNext/>
              <w:spacing w:after="0"/>
              <w:jc w:val="center"/>
            </w:pPr>
            <w:r>
              <w:rPr>
                <w:rFonts w:ascii="Calibri" w:hAnsi="Calibri"/>
                <w:b w:val="0"/>
                <w:i w:val="0"/>
                <w:color w:val="222222"/>
                <w:sz w:val="20"/>
              </w:rPr>
              <w:t>0.5567</w:t>
            </w:r>
          </w:p>
        </w:tc>
        <w:tc>
          <w:tcPr>
            <w:tcW w:type="dxa" w:w="1394"/>
            <w:shd w:val="clear" w:color="auto" w:fill="F7F9FB"/>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FFFFF"/>
            <w:vAlign w:val="center"/>
          </w:tcPr>
          <w:p>
            <w:pPr>
              <w:keepNext/>
              <w:spacing w:after="0"/>
            </w:pPr>
            <w:r>
              <w:rPr>
                <w:rFonts w:ascii="Calibri" w:hAnsi="Calibri"/>
                <w:b/>
                <w:i w:val="0"/>
                <w:color w:val="222222"/>
                <w:sz w:val="20"/>
              </w:rPr>
              <w:t>S2, + noisy electrodes dropped</w:t>
            </w:r>
          </w:p>
        </w:tc>
        <w:tc>
          <w:tcPr>
            <w:tcW w:type="dxa" w:w="1096"/>
            <w:shd w:val="clear" w:color="auto" w:fill="FFFFFF"/>
            <w:vAlign w:val="center"/>
          </w:tcPr>
          <w:p>
            <w:pPr>
              <w:keepNext/>
              <w:spacing w:after="0"/>
              <w:jc w:val="center"/>
            </w:pPr>
            <w:r>
              <w:rPr>
                <w:rFonts w:ascii="Calibri" w:hAnsi="Calibri"/>
                <w:b w:val="0"/>
                <w:i w:val="0"/>
                <w:color w:val="222222"/>
                <w:sz w:val="20"/>
              </w:rPr>
              <w:t>0.6967</w:t>
            </w:r>
          </w:p>
        </w:tc>
        <w:tc>
          <w:tcPr>
            <w:tcW w:type="dxa" w:w="1543"/>
            <w:shd w:val="clear" w:color="auto" w:fill="FFFFFF"/>
            <w:vAlign w:val="center"/>
          </w:tcPr>
          <w:p>
            <w:pPr>
              <w:keepNext/>
              <w:spacing w:after="0"/>
              <w:jc w:val="center"/>
            </w:pPr>
            <w:r>
              <w:rPr>
                <w:rFonts w:ascii="Calibri" w:hAnsi="Calibri"/>
                <w:b w:val="0"/>
                <w:i w:val="0"/>
                <w:color w:val="222222"/>
                <w:sz w:val="20"/>
              </w:rPr>
              <w:t>0.5273</w:t>
            </w:r>
          </w:p>
        </w:tc>
        <w:tc>
          <w:tcPr>
            <w:tcW w:type="dxa" w:w="1543"/>
            <w:shd w:val="clear" w:color="auto" w:fill="FFFFFF"/>
            <w:vAlign w:val="center"/>
          </w:tcPr>
          <w:p>
            <w:pPr>
              <w:keepNext/>
              <w:spacing w:after="0"/>
              <w:jc w:val="center"/>
            </w:pPr>
            <w:r>
              <w:rPr>
                <w:rFonts w:ascii="Calibri" w:hAnsi="Calibri"/>
                <w:b w:val="0"/>
                <w:i w:val="0"/>
                <w:color w:val="222222"/>
                <w:sz w:val="20"/>
              </w:rPr>
              <w:t>0.5508</w:t>
            </w:r>
          </w:p>
        </w:tc>
        <w:tc>
          <w:tcPr>
            <w:tcW w:type="dxa" w:w="1394"/>
            <w:shd w:val="clear" w:color="auto" w:fill="FFFFFF"/>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7F9FB"/>
            <w:vAlign w:val="center"/>
          </w:tcPr>
          <w:p>
            <w:pPr>
              <w:keepNext/>
              <w:spacing w:after="0"/>
            </w:pPr>
            <w:r>
              <w:rPr>
                <w:rFonts w:ascii="Calibri" w:hAnsi="Calibri"/>
                <w:b/>
                <w:i w:val="0"/>
                <w:color w:val="222222"/>
                <w:sz w:val="20"/>
              </w:rPr>
              <w:t>S3, + rate per bursting electrode</w:t>
            </w:r>
          </w:p>
        </w:tc>
        <w:tc>
          <w:tcPr>
            <w:tcW w:type="dxa" w:w="1096"/>
            <w:shd w:val="clear" w:color="auto" w:fill="F7F9FB"/>
            <w:vAlign w:val="center"/>
          </w:tcPr>
          <w:p>
            <w:pPr>
              <w:keepNext/>
              <w:spacing w:after="0"/>
              <w:jc w:val="center"/>
            </w:pPr>
            <w:r>
              <w:rPr>
                <w:rFonts w:ascii="Calibri" w:hAnsi="Calibri"/>
                <w:b w:val="0"/>
                <w:i w:val="0"/>
                <w:color w:val="222222"/>
                <w:sz w:val="20"/>
              </w:rPr>
              <w:t>0.944</w:t>
            </w:r>
          </w:p>
        </w:tc>
        <w:tc>
          <w:tcPr>
            <w:tcW w:type="dxa" w:w="1543"/>
            <w:shd w:val="clear" w:color="auto" w:fill="F7F9FB"/>
            <w:vAlign w:val="center"/>
          </w:tcPr>
          <w:p>
            <w:pPr>
              <w:keepNext/>
              <w:spacing w:after="0"/>
              <w:jc w:val="center"/>
            </w:pPr>
            <w:r>
              <w:rPr>
                <w:rFonts w:ascii="Calibri" w:hAnsi="Calibri"/>
                <w:b w:val="0"/>
                <w:i w:val="0"/>
                <w:color w:val="222222"/>
                <w:sz w:val="20"/>
              </w:rPr>
              <w:t>0.8579</w:t>
            </w:r>
          </w:p>
        </w:tc>
        <w:tc>
          <w:tcPr>
            <w:tcW w:type="dxa" w:w="1543"/>
            <w:shd w:val="clear" w:color="auto" w:fill="F7F9FB"/>
            <w:vAlign w:val="center"/>
          </w:tcPr>
          <w:p>
            <w:pPr>
              <w:keepNext/>
              <w:spacing w:after="0"/>
              <w:jc w:val="center"/>
            </w:pPr>
            <w:r>
              <w:rPr>
                <w:rFonts w:ascii="Calibri" w:hAnsi="Calibri"/>
                <w:b w:val="0"/>
                <w:i w:val="0"/>
                <w:color w:val="222222"/>
                <w:sz w:val="20"/>
              </w:rPr>
              <w:t>0.8973</w:t>
            </w:r>
          </w:p>
        </w:tc>
        <w:tc>
          <w:tcPr>
            <w:tcW w:type="dxa" w:w="1394"/>
            <w:shd w:val="clear" w:color="auto" w:fill="F7F9FB"/>
            <w:vAlign w:val="center"/>
          </w:tcPr>
          <w:p>
            <w:pPr>
              <w:keepNext/>
              <w:spacing w:after="0"/>
              <w:jc w:val="center"/>
            </w:pPr>
            <w:r>
              <w:rPr>
                <w:rFonts w:ascii="Calibri" w:hAnsi="Calibri"/>
                <w:b w:val="0"/>
                <w:i w:val="0"/>
                <w:color w:val="222222"/>
                <w:sz w:val="20"/>
              </w:rPr>
              <w:t>1.04</w:t>
            </w:r>
          </w:p>
        </w:tc>
      </w:tr>
      <w:tr>
        <w:trPr>
          <w:cantSplit/>
        </w:trPr>
        <w:tc>
          <w:tcPr>
            <w:tcW w:type="dxa" w:w="2920"/>
            <w:shd w:val="clear" w:color="auto" w:fill="FFFFFF"/>
            <w:vAlign w:val="center"/>
          </w:tcPr>
          <w:p>
            <w:pPr>
              <w:keepNext w:val="0"/>
              <w:spacing w:after="0"/>
            </w:pPr>
            <w:r>
              <w:rPr>
                <w:rFonts w:ascii="Calibri" w:hAnsi="Calibri"/>
                <w:b/>
                <w:i w:val="0"/>
                <w:color w:val="222222"/>
                <w:sz w:val="20"/>
              </w:rPr>
              <w:t>the denominator alone, from S0</w:t>
            </w:r>
          </w:p>
        </w:tc>
        <w:tc>
          <w:tcPr>
            <w:tcW w:type="dxa" w:w="1096"/>
            <w:shd w:val="clear" w:color="auto" w:fill="FFFFFF"/>
            <w:vAlign w:val="center"/>
          </w:tcPr>
          <w:p>
            <w:pPr>
              <w:keepNext w:val="0"/>
              <w:spacing w:after="0"/>
              <w:jc w:val="center"/>
            </w:pPr>
            <w:r>
              <w:rPr>
                <w:rFonts w:ascii="Calibri" w:hAnsi="Calibri"/>
                <w:b w:val="0"/>
                <w:i w:val="0"/>
                <w:color w:val="222222"/>
                <w:sz w:val="20"/>
              </w:rPr>
              <w:t>0.9087</w:t>
            </w:r>
          </w:p>
        </w:tc>
        <w:tc>
          <w:tcPr>
            <w:tcW w:type="dxa" w:w="1543"/>
            <w:shd w:val="clear" w:color="auto" w:fill="FFFFFF"/>
            <w:vAlign w:val="center"/>
          </w:tcPr>
          <w:p>
            <w:pPr>
              <w:keepNext w:val="0"/>
              <w:spacing w:after="0"/>
              <w:jc w:val="center"/>
            </w:pPr>
            <w:r>
              <w:rPr>
                <w:rFonts w:ascii="Calibri" w:hAnsi="Calibri"/>
                <w:b w:val="0"/>
                <w:i w:val="0"/>
                <w:color w:val="222222"/>
                <w:sz w:val="20"/>
              </w:rPr>
              <w:t>0.8333</w:t>
            </w:r>
          </w:p>
        </w:tc>
        <w:tc>
          <w:tcPr>
            <w:tcW w:type="dxa" w:w="1543"/>
            <w:shd w:val="clear" w:color="auto" w:fill="FFFFFF"/>
            <w:vAlign w:val="center"/>
          </w:tcPr>
          <w:p>
            <w:pPr>
              <w:keepNext w:val="0"/>
              <w:spacing w:after="0"/>
              <w:jc w:val="center"/>
            </w:pPr>
            <w:r>
              <w:rPr>
                <w:rFonts w:ascii="Calibri" w:hAnsi="Calibri"/>
                <w:b w:val="0"/>
                <w:i w:val="0"/>
                <w:color w:val="222222"/>
                <w:sz w:val="20"/>
              </w:rPr>
              <w:t>0.8681</w:t>
            </w:r>
          </w:p>
        </w:tc>
        <w:tc>
          <w:tcPr>
            <w:tcW w:type="dxa" w:w="1394"/>
            <w:shd w:val="clear" w:color="auto" w:fill="FFFFFF"/>
            <w:vAlign w:val="center"/>
          </w:tcPr>
          <w:p>
            <w:pPr>
              <w:keepNext w:val="0"/>
              <w:spacing w:after="0"/>
              <w:jc w:val="center"/>
            </w:pPr>
            <w:r>
              <w:rPr>
                <w:rFonts w:ascii="Calibri" w:hAnsi="Calibri"/>
                <w:b w:val="0"/>
                <w:i w:val="0"/>
                <w:color w:val="222222"/>
                <w:sz w:val="20"/>
              </w:rPr>
              <w:t>1.0269</w:t>
            </w:r>
          </w:p>
        </w:tc>
      </w:tr>
    </w:tbl>
    <w:p>
      <w:pPr>
        <w:spacing w:after="80"/>
      </w:pPr>
    </w:p>
    <w:p>
      <w:pPr>
        <w:keepNext/>
        <w:spacing w:before="120" w:after="40"/>
        <w:jc w:val="center"/>
      </w:pPr>
      <w:r>
        <w:drawing>
          <wp:inline xmlns:a="http://schemas.openxmlformats.org/drawingml/2006/main" xmlns:pic="http://schemas.openxmlformats.org/drawingml/2006/picture">
            <wp:extent cx="5394960" cy="2413535"/>
            <wp:docPr id="3" name="Picture 3"/>
            <wp:cNvGraphicFramePr>
              <a:graphicFrameLocks noChangeAspect="1"/>
            </wp:cNvGraphicFramePr>
            <a:graphic>
              <a:graphicData uri="http://schemas.openxmlformats.org/drawingml/2006/picture">
                <pic:pic>
                  <pic:nvPicPr>
                    <pic:cNvPr id="0" name="extractor_settings_ladder_real.png"/>
                    <pic:cNvPicPr/>
                  </pic:nvPicPr>
                  <pic:blipFill>
                    <a:blip r:embed="rId15"/>
                    <a:stretch>
                      <a:fillRect/>
                    </a:stretch>
                  </pic:blipFill>
                  <pic:spPr>
                    <a:xfrm>
                      <a:off x="0" y="0"/>
                      <a:ext cx="5394960" cy="2413535"/>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Our extractor with the depositors' stated settings, one change at a time; REAL recordings, post hoc. Left: burst rate, median ratio ours/theirs per plate across the ladder. Right: active electrodes, firing rate and STTC (pooled) under our settings and after steps S1 and S2.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With the same electrodes, our firing rate, active-electrode count and STTC reproduce theirs. The activity threshold alone brings all three to a pooled median ratio of 1.0, and dropping the deposit's noisy electrodes as well brings their rank agreement to 1.0, with the active-electrode count identical in a share of 1.0 of recordings. Most of the burst-rate gap is the denominator: from S0 to S3 the ladder closes a share of 0.9293 of the pooled log-ratio gap, and the rank agreement rises from 0.8907 to 0.9819. It is an hPSC effect. On the rat plate our burst rate already sat at a ratio of 0.9573 to theirs, while in a median hPSC recording only a share of 0.6225 (hPSC_MEA1) and 0.6283 (hPSC_MEA2) of the active electrodes burst at all, against 0.9815 on the rat plate. Dividing by every active electrode therefore lowers the human rate and hardly moves the rat one. What remains is the detector, which we did not change: burst duration stays at a pooled ratio of 0.8208 and spikes per burst at 0.9433 at S3. The ladder's first step reproduces the published comparison above exactly (check: true). One assumption could mislead here: that the deposit's noisy-electrode file lists electrodes per DIV column. Under the alternative reading, that an electrode listed on any DIV is noisy throughout, the active-electrode count matches theirs in a share of only 0.253 of recordings, so the per-DIV reading is the one their output follows. A per-electrode averaging hypothesis, tried in the scratch analysis, moved the share of spikes in bursts further from theirs; it was dropped and is not in the code.</w:t>
      </w:r>
    </w:p>
    <w:p>
      <w:pPr>
        <w:spacing w:after="120"/>
      </w:pPr>
      <w:r>
        <w:rPr>
          <w:rFonts w:ascii="Calibri" w:hAnsi="Calibri"/>
          <w:b/>
          <w:i w:val="0"/>
          <w:color w:val="156082"/>
          <w:sz w:val="21"/>
        </w:rPr>
        <w:t>What this does and does not say.</w:t>
      </w:r>
      <w:r>
        <w:rPr>
          <w:rFonts w:ascii="Calibri" w:hAnsi="Calibri"/>
          <w:b w:val="0"/>
          <w:i w:val="0"/>
          <w:color w:val="222222"/>
          <w:sz w:val="21"/>
        </w:rPr>
        <w:t xml:space="preserve"> We do not claim our definitions are more correct than the depositors'. They are fixed, stated, recorded in every record's method block, and applied identically to every source and to the twin (decision D33). A fixed rule keeps "burst" meaning the same thing in an immature hPSC culture and a mature rat one, which is what pooling across sources needs; an adaptive detector such as logISI moves with each culture's own spike-interval distribution, which suits describing one culture and complicates comparing two. No burst detector performs best on every data set (Cotterill et al. 2016, </w:t>
      </w:r>
      <w:r>
        <w:rPr>
          <w:rFonts w:ascii="Calibri" w:hAnsi="Calibri"/>
          <w:b w:val="0"/>
          <w:i/>
          <w:color w:val="222222"/>
          <w:sz w:val="21"/>
        </w:rPr>
        <w:t>J Neurophysiol</w:t>
      </w:r>
      <w:r>
        <w:rPr>
          <w:rFonts w:ascii="Calibri" w:hAnsi="Calibri"/>
          <w:b w:val="0"/>
          <w:i w:val="0"/>
          <w:color w:val="222222"/>
          <w:sz w:val="21"/>
        </w:rPr>
        <w:t>), and ours has a known cost: the fixed 100 ms rule probably under-detects loose bursts in hPSC recordings, which is where the burst-duration difference sits. A reader pooling our features with meaRtools output should convert, or recompute, rather than mix them.</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4" name="Picture 4"/>
            <wp:cNvGraphicFramePr>
              <a:graphicFrameLocks noChangeAspect="1"/>
            </wp:cNvGraphicFramePr>
            <a:graphic>
              <a:graphicData uri="http://schemas.openxmlformats.org/drawingml/2006/picture">
                <pic:pic>
                  <pic:nvPicPr>
                    <pic:cNvPr id="0" name="mechanism_classifier_real.png"/>
                    <pic:cNvPicPr/>
                  </pic:nvPicPr>
                  <pic:blipFill>
                    <a:blip r:embed="rId16"/>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5" name="Picture 5"/>
            <wp:cNvGraphicFramePr>
              <a:graphicFrameLocks noChangeAspect="1"/>
            </wp:cNvGraphicFramePr>
            <a:graphic>
              <a:graphicData uri="http://schemas.openxmlformats.org/drawingml/2006/picture">
                <pic:pic>
                  <pic:nvPicPr>
                    <pic:cNvPr id="0" name="mechanism_confusion.png"/>
                    <pic:cNvPicPr/>
                  </pic:nvPicPr>
                  <pic:blipFill>
                    <a:blip r:embed="rId17"/>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6" name="Picture 6"/>
            <wp:cNvGraphicFramePr>
              <a:graphicFrameLocks noChangeAspect="1"/>
            </wp:cNvGraphicFramePr>
            <a:graphic>
              <a:graphicData uri="http://schemas.openxmlformats.org/drawingml/2006/picture">
                <pic:pic>
                  <pic:nvPicPr>
                    <pic:cNvPr id="0" name="species_shift.png"/>
                    <pic:cNvPicPr/>
                  </pic:nvPicPr>
                  <pic:blipFill>
                    <a:blip r:embed="rId18"/>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7" name="Picture 7"/>
            <wp:cNvGraphicFramePr>
              <a:graphicFrameLocks noChangeAspect="1"/>
            </wp:cNvGraphicFramePr>
            <a:graphic>
              <a:graphicData uri="http://schemas.openxmlformats.org/drawingml/2006/picture">
                <pic:pic>
                  <pic:nvPicPr>
                    <pic:cNvPr id="0" name="baseline_species_comparison.png"/>
                    <pic:cNvPicPr/>
                  </pic:nvPicPr>
                  <pic:blipFill>
                    <a:blip r:embed="rId19"/>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8" name="Picture 8"/>
            <wp:cNvGraphicFramePr>
              <a:graphicFrameLocks noChangeAspect="1"/>
            </wp:cNvGraphicFramePr>
            <a:graphic>
              <a:graphicData uri="http://schemas.openxmlformats.org/drawingml/2006/picture">
                <pic:pic>
                  <pic:nvPicPr>
                    <pic:cNvPr id="0" name="platform_contrast_gabaa_antagonist.png"/>
                    <pic:cNvPicPr/>
                  </pic:nvPicPr>
                  <pic:blipFill>
                    <a:blip r:embed="rId20"/>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9" name="Picture 9"/>
            <wp:cNvGraphicFramePr>
              <a:graphicFrameLocks noChangeAspect="1"/>
            </wp:cNvGraphicFramePr>
            <a:graphic>
              <a:graphicData uri="http://schemas.openxmlformats.org/drawingml/2006/picture">
                <pic:pic>
                  <pic:nvPicPr>
                    <pic:cNvPr id="0" name="twin_architecture_simulated.png"/>
                    <pic:cNvPicPr/>
                  </pic:nvPicPr>
                  <pic:blipFill>
                    <a:blip r:embed="rId21"/>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10" name="Picture 10"/>
            <wp:cNvGraphicFramePr>
              <a:graphicFrameLocks noChangeAspect="1"/>
            </wp:cNvGraphicFramePr>
            <a:graphic>
              <a:graphicData uri="http://schemas.openxmlformats.org/drawingml/2006/picture">
                <pic:pic>
                  <pic:nvPicPr>
                    <pic:cNvPr id="0" name="hd12_calibration_simulated.png"/>
                    <pic:cNvPicPr/>
                  </pic:nvPicPr>
                  <pic:blipFill>
                    <a:blip r:embed="rId22"/>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1" name="Picture 11"/>
            <wp:cNvGraphicFramePr>
              <a:graphicFrameLocks noChangeAspect="1"/>
            </wp:cNvGraphicFramePr>
            <a:graphic>
              <a:graphicData uri="http://schemas.openxmlformats.org/drawingml/2006/picture">
                <pic:pic>
                  <pic:nvPicPr>
                    <pic:cNvPr id="0" name="hd13_drug_knob_validation_simulated.png"/>
                    <pic:cNvPicPr/>
                  </pic:nvPicPr>
                  <pic:blipFill>
                    <a:blip r:embed="rId23"/>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2" name="Picture 12"/>
            <wp:cNvGraphicFramePr>
              <a:graphicFrameLocks noChangeAspect="1"/>
            </wp:cNvGraphicFramePr>
            <a:graphic>
              <a:graphicData uri="http://schemas.openxmlformats.org/drawingml/2006/picture">
                <pic:pic>
                  <pic:nvPicPr>
                    <pic:cNvPr id="0" name="compartment_lag_by_device_type.png"/>
                    <pic:cNvPicPr/>
                  </pic:nvPicPr>
                  <pic:blipFill>
                    <a:blip r:embed="rId24"/>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3" name="Picture 13"/>
            <wp:cNvGraphicFramePr>
              <a:graphicFrameLocks noChangeAspect="1"/>
            </wp:cNvGraphicFramePr>
            <a:graphic>
              <a:graphicData uri="http://schemas.openxmlformats.org/drawingml/2006/picture">
                <pic:pic>
                  <pic:nvPicPr>
                    <pic:cNvPr id="0" name="axonal_flow_vs_chamber.png"/>
                    <pic:cNvPicPr/>
                  </pic:nvPicPr>
                  <pic:blipFill>
                    <a:blip r:embed="rId25"/>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4" name="Picture 14"/>
            <wp:cNvGraphicFramePr>
              <a:graphicFrameLocks noChangeAspect="1"/>
            </wp:cNvGraphicFramePr>
            <a:graphic>
              <a:graphicData uri="http://schemas.openxmlformats.org/drawingml/2006/picture">
                <pic:pic>
                  <pic:nvPicPr>
                    <pic:cNvPr id="0" name="inference_network_simulated.png"/>
                    <pic:cNvPicPr/>
                  </pic:nvPicPr>
                  <pic:blipFill>
                    <a:blip r:embed="rId26"/>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on this test. Appendix G shows the full rank histograms. A registered follow-up after round 1 (below) found that the three passes do not hold on fresh simulations: this table is the test as it was run, not a calibration claim.</w:t>
      </w:r>
    </w:p>
    <w:p>
      <w:pPr>
        <w:keepNext/>
        <w:spacing w:after="120"/>
      </w:pPr>
      <w:r>
        <w:rPr>
          <w:rFonts w:ascii="Calibri" w:hAnsi="Calibri"/>
          <w:b/>
          <w:i w:val="0"/>
          <w:color w:val="156082"/>
          <w:sz w:val="21"/>
        </w:rPr>
        <w:t>After round 1: more simulations and an ensemble (registered, decision D31).</w:t>
      </w:r>
      <w:r>
        <w:rPr>
          <w:rFonts w:ascii="Calibri" w:hAnsi="Calibri"/>
          <w:b w:val="0"/>
          <w:i w:val="0"/>
          <w:color w:val="222222"/>
          <w:sz w:val="21"/>
        </w:rPr>
        <w:t xml:space="preserve"> We asked whether a larger simulation budget, an ensemble, or both would bring all five parameters into calibration without losing contraction, and registered seven predictions before running a single new simulation (</w:t>
      </w:r>
      <w:r>
        <w:rPr>
          <w:rFonts w:ascii="Consolas" w:hAnsi="Consolas"/>
          <w:b w:val="0"/>
          <w:i w:val="0"/>
          <w:color w:val="222222"/>
          <w:sz w:val="19"/>
        </w:rPr>
        <w:t>preregistration/twin_inference_recalibration.json</w:t>
      </w:r>
      <w:r>
        <w:rPr>
          <w:rFonts w:ascii="Calibri" w:hAnsi="Calibri"/>
          <w:b w:val="0"/>
          <w:i w:val="0"/>
          <w:color w:val="222222"/>
          <w:sz w:val="21"/>
        </w:rPr>
        <w:t>). Every new simulation used fresh seeds. Within the registered deadline we simulated 12,750 new training runs (51 of 60 planned chunks, cut by a prefix rule fixed in advance), for a pool of 15,750, and 1,000 fresh held-out runs. We compared three estimators on the same held-out simulations: the first-round flow unchanged, the same flow retrained on the larger pool, and an equal-weight ensemble of five such flows. The test is the first-round test, unchanged: rank uniformity on the first 300 held-out runs (the primary test) at p ≥ 0.05 per parameter, with no correction for testing five (a correction would make passing easier, and would have passed the first-round failures). We added credible-interval coverage on the full held-out set.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618"/>
        <w:gridCol w:w="1392"/>
        <w:gridCol w:w="874"/>
        <w:gridCol w:w="1166"/>
        <w:gridCol w:w="1353"/>
        <w:gridCol w:w="1092"/>
      </w:tblGrid>
      <w:tr>
        <w:trPr>
          <w:cantSplit/>
          <w:tblHeader/>
        </w:trPr>
        <w:tc>
          <w:tcPr>
            <w:tcW w:type="dxa" w:w="2618"/>
            <w:shd w:val="clear" w:color="auto" w:fill="1F4E79"/>
            <w:vAlign w:val="center"/>
          </w:tcPr>
          <w:p>
            <w:pPr>
              <w:keepNext/>
              <w:spacing w:after="0"/>
            </w:pPr>
            <w:r>
              <w:rPr>
                <w:rFonts w:ascii="Calibri" w:hAnsi="Calibri"/>
                <w:b/>
                <w:i w:val="0"/>
                <w:color w:val="FFFFFF"/>
                <w:sz w:val="20"/>
              </w:rPr>
              <w:t>model parameter</w:t>
            </w:r>
          </w:p>
        </w:tc>
        <w:tc>
          <w:tcPr>
            <w:tcW w:type="dxa" w:w="1392"/>
            <w:shd w:val="clear" w:color="auto" w:fill="1F4E79"/>
            <w:vAlign w:val="center"/>
          </w:tcPr>
          <w:p>
            <w:pPr>
              <w:keepNext/>
              <w:spacing w:after="0"/>
              <w:jc w:val="center"/>
            </w:pPr>
            <w:r>
              <w:rPr>
                <w:rFonts w:ascii="Calibri" w:hAnsi="Calibri"/>
                <w:b/>
                <w:i w:val="0"/>
                <w:color w:val="FFFFFF"/>
                <w:sz w:val="20"/>
              </w:rPr>
              <w:t>first-round flow, fresh runs (KS p)</w:t>
            </w:r>
          </w:p>
        </w:tc>
        <w:tc>
          <w:tcPr>
            <w:tcW w:type="dxa" w:w="874"/>
            <w:shd w:val="clear" w:color="auto" w:fill="1F4E79"/>
            <w:vAlign w:val="center"/>
          </w:tcPr>
          <w:p>
            <w:pPr>
              <w:keepNext/>
              <w:spacing w:after="0"/>
              <w:jc w:val="center"/>
            </w:pPr>
            <w:r>
              <w:rPr>
                <w:rFonts w:ascii="Calibri" w:hAnsi="Calibri"/>
                <w:b/>
                <w:i w:val="0"/>
                <w:color w:val="FFFFFF"/>
                <w:sz w:val="20"/>
              </w:rPr>
              <w:t>one flow, larger pool (KS p)</w:t>
            </w:r>
          </w:p>
        </w:tc>
        <w:tc>
          <w:tcPr>
            <w:tcW w:type="dxa" w:w="1166"/>
            <w:shd w:val="clear" w:color="auto" w:fill="1F4E79"/>
            <w:vAlign w:val="center"/>
          </w:tcPr>
          <w:p>
            <w:pPr>
              <w:keepNext/>
              <w:spacing w:after="0"/>
              <w:jc w:val="center"/>
            </w:pPr>
            <w:r>
              <w:rPr>
                <w:rFonts w:ascii="Calibri" w:hAnsi="Calibri"/>
                <w:b/>
                <w:i w:val="0"/>
                <w:color w:val="FFFFFF"/>
                <w:sz w:val="20"/>
              </w:rPr>
              <w:t>five-flow ensemble (KS p)</w:t>
            </w:r>
          </w:p>
        </w:tc>
        <w:tc>
          <w:tcPr>
            <w:tcW w:type="dxa" w:w="1353"/>
            <w:shd w:val="clear" w:color="auto" w:fill="1F4E79"/>
            <w:vAlign w:val="center"/>
          </w:tcPr>
          <w:p>
            <w:pPr>
              <w:keepNext/>
              <w:spacing w:after="0"/>
              <w:jc w:val="center"/>
            </w:pPr>
            <w:r>
              <w:rPr>
                <w:rFonts w:ascii="Calibri" w:hAnsi="Calibri"/>
                <w:b/>
                <w:i w:val="0"/>
                <w:color w:val="FFFFFF"/>
                <w:sz w:val="20"/>
              </w:rPr>
              <w:t>ensemble contraction</w:t>
            </w:r>
          </w:p>
        </w:tc>
        <w:tc>
          <w:tcPr>
            <w:tcW w:type="dxa" w:w="1092"/>
            <w:shd w:val="clear" w:color="auto" w:fill="1F4E79"/>
            <w:vAlign w:val="center"/>
          </w:tcPr>
          <w:p>
            <w:pPr>
              <w:keepNext/>
              <w:spacing w:after="0"/>
              <w:jc w:val="center"/>
            </w:pPr>
            <w:r>
              <w:rPr>
                <w:rFonts w:ascii="Calibri" w:hAnsi="Calibri"/>
                <w:b/>
                <w:i w:val="0"/>
                <w:color w:val="FFFFFF"/>
                <w:sz w:val="20"/>
              </w:rPr>
              <w:t>ensemble coverage of a 50% interval</w:t>
            </w:r>
          </w:p>
        </w:tc>
      </w:tr>
      <w:tr>
        <w:trPr>
          <w:cantSplit/>
        </w:trPr>
        <w:tc>
          <w:tcPr>
            <w:tcW w:type="dxa" w:w="2618"/>
            <w:shd w:val="clear" w:color="auto" w:fill="FFFFFF"/>
            <w:vAlign w:val="center"/>
          </w:tcPr>
          <w:p>
            <w:pPr>
              <w:keepNext/>
              <w:spacing w:after="0"/>
            </w:pPr>
            <w:r>
              <w:rPr>
                <w:rFonts w:ascii="Consolas" w:hAnsi="Consolas"/>
                <w:b/>
                <w:i w:val="0"/>
                <w:color w:val="222222"/>
                <w:sz w:val="18"/>
              </w:rPr>
              <w:t>threshold_scale</w:t>
            </w:r>
          </w:p>
        </w:tc>
        <w:tc>
          <w:tcPr>
            <w:tcW w:type="dxa" w:w="1392"/>
            <w:shd w:val="clear" w:color="auto" w:fill="FFFFFF"/>
            <w:vAlign w:val="center"/>
          </w:tcPr>
          <w:p>
            <w:pPr>
              <w:keepNext/>
              <w:spacing w:after="0"/>
              <w:jc w:val="center"/>
            </w:pPr>
            <w:r>
              <w:rPr>
                <w:rFonts w:ascii="Calibri" w:hAnsi="Calibri"/>
                <w:b w:val="0"/>
                <w:i w:val="0"/>
                <w:color w:val="222222"/>
                <w:sz w:val="20"/>
              </w:rPr>
              <w:t>0.0121</w:t>
            </w:r>
          </w:p>
        </w:tc>
        <w:tc>
          <w:tcPr>
            <w:tcW w:type="dxa" w:w="874"/>
            <w:shd w:val="clear" w:color="auto" w:fill="FFFFFF"/>
            <w:vAlign w:val="center"/>
          </w:tcPr>
          <w:p>
            <w:pPr>
              <w:keepNext/>
              <w:spacing w:after="0"/>
              <w:jc w:val="center"/>
            </w:pPr>
            <w:r>
              <w:rPr>
                <w:rFonts w:ascii="Calibri" w:hAnsi="Calibri"/>
                <w:b w:val="0"/>
                <w:i w:val="0"/>
                <w:color w:val="222222"/>
                <w:sz w:val="20"/>
              </w:rPr>
              <w:t>0.065</w:t>
            </w:r>
          </w:p>
        </w:tc>
        <w:tc>
          <w:tcPr>
            <w:tcW w:type="dxa" w:w="1166"/>
            <w:shd w:val="clear" w:color="auto" w:fill="FFFFFF"/>
            <w:vAlign w:val="center"/>
          </w:tcPr>
          <w:p>
            <w:pPr>
              <w:keepNext/>
              <w:spacing w:after="0"/>
              <w:jc w:val="center"/>
            </w:pPr>
            <w:r>
              <w:rPr>
                <w:rFonts w:ascii="Calibri" w:hAnsi="Calibri"/>
                <w:b w:val="0"/>
                <w:i w:val="0"/>
                <w:color w:val="222222"/>
                <w:sz w:val="20"/>
              </w:rPr>
              <w:t>0.3128</w:t>
            </w:r>
          </w:p>
        </w:tc>
        <w:tc>
          <w:tcPr>
            <w:tcW w:type="dxa" w:w="1353"/>
            <w:shd w:val="clear" w:color="auto" w:fill="FFFFFF"/>
            <w:vAlign w:val="center"/>
          </w:tcPr>
          <w:p>
            <w:pPr>
              <w:keepNext/>
              <w:spacing w:after="0"/>
              <w:jc w:val="center"/>
            </w:pPr>
            <w:r>
              <w:rPr>
                <w:rFonts w:ascii="Calibri" w:hAnsi="Calibri"/>
                <w:b w:val="0"/>
                <w:i w:val="0"/>
                <w:color w:val="222222"/>
                <w:sz w:val="20"/>
              </w:rPr>
              <w:t>0.742</w:t>
            </w:r>
          </w:p>
        </w:tc>
        <w:tc>
          <w:tcPr>
            <w:tcW w:type="dxa" w:w="1092"/>
            <w:shd w:val="clear" w:color="auto" w:fill="FFFFFF"/>
            <w:vAlign w:val="center"/>
          </w:tcPr>
          <w:p>
            <w:pPr>
              <w:keepNext/>
              <w:spacing w:after="0"/>
              <w:jc w:val="center"/>
            </w:pPr>
            <w:r>
              <w:rPr>
                <w:rFonts w:ascii="Calibri" w:hAnsi="Calibri"/>
                <w:b w:val="0"/>
                <w:i w:val="0"/>
                <w:color w:val="222222"/>
                <w:sz w:val="20"/>
              </w:rPr>
              <w:t>0.473</w:t>
            </w:r>
          </w:p>
        </w:tc>
      </w:tr>
      <w:tr>
        <w:trPr>
          <w:cantSplit/>
        </w:trPr>
        <w:tc>
          <w:tcPr>
            <w:tcW w:type="dxa" w:w="2618"/>
            <w:shd w:val="clear" w:color="auto" w:fill="F7F9FB"/>
            <w:vAlign w:val="center"/>
          </w:tcPr>
          <w:p>
            <w:pPr>
              <w:keepNext/>
              <w:spacing w:after="0"/>
            </w:pPr>
            <w:r>
              <w:rPr>
                <w:rFonts w:ascii="Consolas" w:hAnsi="Consolas"/>
                <w:b/>
                <w:i w:val="0"/>
                <w:color w:val="222222"/>
                <w:sz w:val="18"/>
              </w:rPr>
              <w:t>ampa_scale</w:t>
            </w:r>
          </w:p>
        </w:tc>
        <w:tc>
          <w:tcPr>
            <w:tcW w:type="dxa" w:w="1392"/>
            <w:shd w:val="clear" w:color="auto" w:fill="F7F9FB"/>
            <w:vAlign w:val="center"/>
          </w:tcPr>
          <w:p>
            <w:pPr>
              <w:keepNext/>
              <w:spacing w:after="0"/>
              <w:jc w:val="center"/>
            </w:pPr>
            <w:r>
              <w:rPr>
                <w:rFonts w:ascii="Calibri" w:hAnsi="Calibri"/>
                <w:b w:val="0"/>
                <w:i w:val="0"/>
                <w:color w:val="222222"/>
                <w:sz w:val="20"/>
              </w:rPr>
              <w:t>0.0345</w:t>
            </w:r>
          </w:p>
        </w:tc>
        <w:tc>
          <w:tcPr>
            <w:tcW w:type="dxa" w:w="874"/>
            <w:shd w:val="clear" w:color="auto" w:fill="F7F9FB"/>
            <w:vAlign w:val="center"/>
          </w:tcPr>
          <w:p>
            <w:pPr>
              <w:keepNext/>
              <w:spacing w:after="0"/>
              <w:jc w:val="center"/>
            </w:pPr>
            <w:r>
              <w:rPr>
                <w:rFonts w:ascii="Calibri" w:hAnsi="Calibri"/>
                <w:b w:val="0"/>
                <w:i w:val="0"/>
                <w:color w:val="222222"/>
                <w:sz w:val="20"/>
              </w:rPr>
              <w:t>0.1726</w:t>
            </w:r>
          </w:p>
        </w:tc>
        <w:tc>
          <w:tcPr>
            <w:tcW w:type="dxa" w:w="1166"/>
            <w:shd w:val="clear" w:color="auto" w:fill="F7F9FB"/>
            <w:vAlign w:val="center"/>
          </w:tcPr>
          <w:p>
            <w:pPr>
              <w:keepNext/>
              <w:spacing w:after="0"/>
              <w:jc w:val="center"/>
            </w:pPr>
            <w:r>
              <w:rPr>
                <w:rFonts w:ascii="Calibri" w:hAnsi="Calibri"/>
                <w:b w:val="0"/>
                <w:i w:val="0"/>
                <w:color w:val="222222"/>
                <w:sz w:val="20"/>
              </w:rPr>
              <w:t>0.3485</w:t>
            </w:r>
          </w:p>
        </w:tc>
        <w:tc>
          <w:tcPr>
            <w:tcW w:type="dxa" w:w="1353"/>
            <w:shd w:val="clear" w:color="auto" w:fill="F7F9FB"/>
            <w:vAlign w:val="center"/>
          </w:tcPr>
          <w:p>
            <w:pPr>
              <w:keepNext/>
              <w:spacing w:after="0"/>
              <w:jc w:val="center"/>
            </w:pPr>
            <w:r>
              <w:rPr>
                <w:rFonts w:ascii="Calibri" w:hAnsi="Calibri"/>
                <w:b w:val="0"/>
                <w:i w:val="0"/>
                <w:color w:val="222222"/>
                <w:sz w:val="20"/>
              </w:rPr>
              <w:t>0.663</w:t>
            </w:r>
          </w:p>
        </w:tc>
        <w:tc>
          <w:tcPr>
            <w:tcW w:type="dxa" w:w="1092"/>
            <w:shd w:val="clear" w:color="auto" w:fill="F7F9FB"/>
            <w:vAlign w:val="center"/>
          </w:tcPr>
          <w:p>
            <w:pPr>
              <w:keepNext/>
              <w:spacing w:after="0"/>
              <w:jc w:val="center"/>
            </w:pPr>
            <w:r>
              <w:rPr>
                <w:rFonts w:ascii="Calibri" w:hAnsi="Calibri"/>
                <w:b w:val="0"/>
                <w:i w:val="0"/>
                <w:color w:val="222222"/>
                <w:sz w:val="20"/>
              </w:rPr>
              <w:t>0.446</w:t>
            </w:r>
          </w:p>
        </w:tc>
      </w:tr>
      <w:tr>
        <w:trPr>
          <w:cantSplit/>
        </w:trPr>
        <w:tc>
          <w:tcPr>
            <w:tcW w:type="dxa" w:w="2618"/>
            <w:shd w:val="clear" w:color="auto" w:fill="FFFFFF"/>
            <w:vAlign w:val="center"/>
          </w:tcPr>
          <w:p>
            <w:pPr>
              <w:keepNext/>
              <w:spacing w:after="0"/>
            </w:pPr>
            <w:r>
              <w:rPr>
                <w:rFonts w:ascii="Consolas" w:hAnsi="Consolas"/>
                <w:b/>
                <w:i w:val="0"/>
                <w:color w:val="222222"/>
                <w:sz w:val="18"/>
              </w:rPr>
              <w:t>log10_forward_ratio</w:t>
            </w:r>
          </w:p>
        </w:tc>
        <w:tc>
          <w:tcPr>
            <w:tcW w:type="dxa" w:w="1392"/>
            <w:shd w:val="clear" w:color="auto" w:fill="FFFFFF"/>
            <w:vAlign w:val="center"/>
          </w:tcPr>
          <w:p>
            <w:pPr>
              <w:keepNext/>
              <w:spacing w:after="0"/>
              <w:jc w:val="center"/>
            </w:pPr>
            <w:r>
              <w:rPr>
                <w:rFonts w:ascii="Calibri" w:hAnsi="Calibri"/>
                <w:b w:val="0"/>
                <w:i w:val="0"/>
                <w:color w:val="222222"/>
                <w:sz w:val="20"/>
              </w:rPr>
              <w:t>0.0037</w:t>
            </w:r>
          </w:p>
        </w:tc>
        <w:tc>
          <w:tcPr>
            <w:tcW w:type="dxa" w:w="874"/>
            <w:shd w:val="clear" w:color="auto" w:fill="FFFFFF"/>
            <w:vAlign w:val="center"/>
          </w:tcPr>
          <w:p>
            <w:pPr>
              <w:keepNext/>
              <w:spacing w:after="0"/>
              <w:jc w:val="center"/>
            </w:pPr>
            <w:r>
              <w:rPr>
                <w:rFonts w:ascii="Calibri" w:hAnsi="Calibri"/>
                <w:b w:val="0"/>
                <w:i w:val="0"/>
                <w:color w:val="222222"/>
                <w:sz w:val="20"/>
              </w:rPr>
              <w:t>0.0874</w:t>
            </w:r>
          </w:p>
        </w:tc>
        <w:tc>
          <w:tcPr>
            <w:tcW w:type="dxa" w:w="1166"/>
            <w:shd w:val="clear" w:color="auto" w:fill="FFFFFF"/>
            <w:vAlign w:val="center"/>
          </w:tcPr>
          <w:p>
            <w:pPr>
              <w:keepNext/>
              <w:spacing w:after="0"/>
              <w:jc w:val="center"/>
            </w:pPr>
            <w:r>
              <w:rPr>
                <w:rFonts w:ascii="Calibri" w:hAnsi="Calibri"/>
                <w:b w:val="0"/>
                <w:i w:val="0"/>
                <w:color w:val="222222"/>
                <w:sz w:val="20"/>
              </w:rPr>
              <w:t>0.065</w:t>
            </w:r>
          </w:p>
        </w:tc>
        <w:tc>
          <w:tcPr>
            <w:tcW w:type="dxa" w:w="1353"/>
            <w:shd w:val="clear" w:color="auto" w:fill="FFFFFF"/>
            <w:vAlign w:val="center"/>
          </w:tcPr>
          <w:p>
            <w:pPr>
              <w:keepNext/>
              <w:spacing w:after="0"/>
              <w:jc w:val="center"/>
            </w:pPr>
            <w:r>
              <w:rPr>
                <w:rFonts w:ascii="Calibri" w:hAnsi="Calibri"/>
                <w:b w:val="0"/>
                <w:i w:val="0"/>
                <w:color w:val="222222"/>
                <w:sz w:val="20"/>
              </w:rPr>
              <w:t>0.464</w:t>
            </w:r>
          </w:p>
        </w:tc>
        <w:tc>
          <w:tcPr>
            <w:tcW w:type="dxa" w:w="1092"/>
            <w:shd w:val="clear" w:color="auto" w:fill="FFFFFF"/>
            <w:vAlign w:val="center"/>
          </w:tcPr>
          <w:p>
            <w:pPr>
              <w:keepNext/>
              <w:spacing w:after="0"/>
              <w:jc w:val="center"/>
            </w:pPr>
            <w:r>
              <w:rPr>
                <w:rFonts w:ascii="Calibri" w:hAnsi="Calibri"/>
                <w:b w:val="0"/>
                <w:i w:val="0"/>
                <w:color w:val="222222"/>
                <w:sz w:val="20"/>
              </w:rPr>
              <w:t>0.441</w:t>
            </w:r>
          </w:p>
        </w:tc>
      </w:tr>
      <w:tr>
        <w:trPr>
          <w:cantSplit/>
        </w:trPr>
        <w:tc>
          <w:tcPr>
            <w:tcW w:type="dxa" w:w="2618"/>
            <w:shd w:val="clear" w:color="auto" w:fill="F7F9FB"/>
            <w:vAlign w:val="center"/>
          </w:tcPr>
          <w:p>
            <w:pPr>
              <w:keepNext/>
              <w:spacing w:after="0"/>
            </w:pPr>
            <w:r>
              <w:rPr>
                <w:rFonts w:ascii="Consolas" w:hAnsi="Consolas"/>
                <w:b/>
                <w:i w:val="0"/>
                <w:color w:val="222222"/>
                <w:sz w:val="18"/>
              </w:rPr>
              <w:t>gabaa_scale</w:t>
            </w:r>
          </w:p>
        </w:tc>
        <w:tc>
          <w:tcPr>
            <w:tcW w:type="dxa" w:w="1392"/>
            <w:shd w:val="clear" w:color="auto" w:fill="F7F9FB"/>
            <w:vAlign w:val="center"/>
          </w:tcPr>
          <w:p>
            <w:pPr>
              <w:keepNext/>
              <w:spacing w:after="0"/>
              <w:jc w:val="center"/>
            </w:pPr>
            <w:r>
              <w:rPr>
                <w:rFonts w:ascii="Calibri" w:hAnsi="Calibri"/>
                <w:b w:val="0"/>
                <w:i w:val="0"/>
                <w:color w:val="222222"/>
                <w:sz w:val="20"/>
              </w:rPr>
              <w:t>0.01</w:t>
            </w:r>
          </w:p>
        </w:tc>
        <w:tc>
          <w:tcPr>
            <w:tcW w:type="dxa" w:w="874"/>
            <w:shd w:val="clear" w:color="auto" w:fill="F7F9FB"/>
            <w:vAlign w:val="center"/>
          </w:tcPr>
          <w:p>
            <w:pPr>
              <w:keepNext/>
              <w:spacing w:after="0"/>
              <w:jc w:val="center"/>
            </w:pPr>
            <w:r>
              <w:rPr>
                <w:rFonts w:ascii="Calibri" w:hAnsi="Calibri"/>
                <w:b w:val="0"/>
                <w:i w:val="0"/>
                <w:color w:val="222222"/>
                <w:sz w:val="20"/>
              </w:rPr>
              <w:t>0.0025</w:t>
            </w:r>
          </w:p>
        </w:tc>
        <w:tc>
          <w:tcPr>
            <w:tcW w:type="dxa" w:w="1166"/>
            <w:shd w:val="clear" w:color="auto" w:fill="F7F9FB"/>
            <w:vAlign w:val="center"/>
          </w:tcPr>
          <w:p>
            <w:pPr>
              <w:keepNext/>
              <w:spacing w:after="0"/>
              <w:jc w:val="center"/>
            </w:pPr>
            <w:r>
              <w:rPr>
                <w:rFonts w:ascii="Calibri" w:hAnsi="Calibri"/>
                <w:b w:val="0"/>
                <w:i w:val="0"/>
                <w:color w:val="222222"/>
                <w:sz w:val="20"/>
              </w:rPr>
              <w:t>0.1726</w:t>
            </w:r>
          </w:p>
        </w:tc>
        <w:tc>
          <w:tcPr>
            <w:tcW w:type="dxa" w:w="1353"/>
            <w:shd w:val="clear" w:color="auto" w:fill="F7F9FB"/>
            <w:vAlign w:val="center"/>
          </w:tcPr>
          <w:p>
            <w:pPr>
              <w:keepNext/>
              <w:spacing w:after="0"/>
              <w:jc w:val="center"/>
            </w:pPr>
            <w:r>
              <w:rPr>
                <w:rFonts w:ascii="Calibri" w:hAnsi="Calibri"/>
                <w:b w:val="0"/>
                <w:i w:val="0"/>
                <w:color w:val="222222"/>
                <w:sz w:val="20"/>
              </w:rPr>
              <w:t>0.31</w:t>
            </w:r>
          </w:p>
        </w:tc>
        <w:tc>
          <w:tcPr>
            <w:tcW w:type="dxa" w:w="1092"/>
            <w:shd w:val="clear" w:color="auto" w:fill="F7F9FB"/>
            <w:vAlign w:val="center"/>
          </w:tcPr>
          <w:p>
            <w:pPr>
              <w:keepNext/>
              <w:spacing w:after="0"/>
              <w:jc w:val="center"/>
            </w:pPr>
            <w:r>
              <w:rPr>
                <w:rFonts w:ascii="Calibri" w:hAnsi="Calibri"/>
                <w:b w:val="0"/>
                <w:i w:val="0"/>
                <w:color w:val="222222"/>
                <w:sz w:val="20"/>
              </w:rPr>
              <w:t>0.424</w:t>
            </w:r>
          </w:p>
        </w:tc>
      </w:tr>
      <w:tr>
        <w:trPr>
          <w:cantSplit/>
        </w:trPr>
        <w:tc>
          <w:tcPr>
            <w:tcW w:type="dxa" w:w="2618"/>
            <w:shd w:val="clear" w:color="auto" w:fill="FFFFFF"/>
            <w:vAlign w:val="center"/>
          </w:tcPr>
          <w:p>
            <w:pPr>
              <w:keepNext w:val="0"/>
              <w:spacing w:after="0"/>
            </w:pPr>
            <w:r>
              <w:rPr>
                <w:rFonts w:ascii="Consolas" w:hAnsi="Consolas"/>
                <w:b/>
                <w:i w:val="0"/>
                <w:color w:val="222222"/>
                <w:sz w:val="18"/>
              </w:rPr>
              <w:t>inter_in_degree</w:t>
            </w:r>
          </w:p>
        </w:tc>
        <w:tc>
          <w:tcPr>
            <w:tcW w:type="dxa" w:w="1392"/>
            <w:shd w:val="clear" w:color="auto" w:fill="FFFFFF"/>
            <w:vAlign w:val="center"/>
          </w:tcPr>
          <w:p>
            <w:pPr>
              <w:keepNext w:val="0"/>
              <w:spacing w:after="0"/>
              <w:jc w:val="center"/>
            </w:pPr>
            <w:r>
              <w:rPr>
                <w:rFonts w:ascii="Calibri" w:hAnsi="Calibri"/>
                <w:b w:val="0"/>
                <w:i w:val="0"/>
                <w:color w:val="222222"/>
                <w:sz w:val="20"/>
              </w:rPr>
              <w:t>0.0001</w:t>
            </w:r>
          </w:p>
        </w:tc>
        <w:tc>
          <w:tcPr>
            <w:tcW w:type="dxa" w:w="874"/>
            <w:shd w:val="clear" w:color="auto" w:fill="FFFFFF"/>
            <w:vAlign w:val="center"/>
          </w:tcPr>
          <w:p>
            <w:pPr>
              <w:keepNext w:val="0"/>
              <w:spacing w:after="0"/>
              <w:jc w:val="center"/>
            </w:pPr>
            <w:r>
              <w:rPr>
                <w:rFonts w:ascii="Calibri" w:hAnsi="Calibri"/>
                <w:b w:val="0"/>
                <w:i w:val="0"/>
                <w:color w:val="222222"/>
                <w:sz w:val="20"/>
              </w:rPr>
              <w:t>0.0056</w:t>
            </w:r>
          </w:p>
        </w:tc>
        <w:tc>
          <w:tcPr>
            <w:tcW w:type="dxa" w:w="1166"/>
            <w:shd w:val="clear" w:color="auto" w:fill="FFFFFF"/>
            <w:vAlign w:val="center"/>
          </w:tcPr>
          <w:p>
            <w:pPr>
              <w:keepNext w:val="0"/>
              <w:spacing w:after="0"/>
              <w:jc w:val="center"/>
            </w:pPr>
            <w:r>
              <w:rPr>
                <w:rFonts w:ascii="Calibri" w:hAnsi="Calibri"/>
                <w:b w:val="0"/>
                <w:i w:val="0"/>
                <w:color w:val="222222"/>
                <w:sz w:val="20"/>
              </w:rPr>
              <w:t>0.0056</w:t>
            </w:r>
          </w:p>
        </w:tc>
        <w:tc>
          <w:tcPr>
            <w:tcW w:type="dxa" w:w="1353"/>
            <w:shd w:val="clear" w:color="auto" w:fill="FFFFFF"/>
            <w:vAlign w:val="center"/>
          </w:tcPr>
          <w:p>
            <w:pPr>
              <w:keepNext w:val="0"/>
              <w:spacing w:after="0"/>
              <w:jc w:val="center"/>
            </w:pPr>
            <w:r>
              <w:rPr>
                <w:rFonts w:ascii="Calibri" w:hAnsi="Calibri"/>
                <w:b w:val="0"/>
                <w:i w:val="0"/>
                <w:color w:val="222222"/>
                <w:sz w:val="20"/>
              </w:rPr>
              <w:t>0.306</w:t>
            </w:r>
          </w:p>
        </w:tc>
        <w:tc>
          <w:tcPr>
            <w:tcW w:type="dxa" w:w="1092"/>
            <w:shd w:val="clear" w:color="auto" w:fill="FFFFFF"/>
            <w:vAlign w:val="center"/>
          </w:tcPr>
          <w:p>
            <w:pPr>
              <w:keepNext w:val="0"/>
              <w:spacing w:after="0"/>
              <w:jc w:val="center"/>
            </w:pPr>
            <w:r>
              <w:rPr>
                <w:rFonts w:ascii="Calibri" w:hAnsi="Calibri"/>
                <w:b w:val="0"/>
                <w:i w:val="0"/>
                <w:color w:val="222222"/>
                <w:sz w:val="20"/>
              </w:rPr>
              <w:t>0.41</w:t>
            </w:r>
          </w:p>
        </w:tc>
      </w:tr>
    </w:tbl>
    <w:p>
      <w:pPr>
        <w:spacing w:after="80"/>
      </w:pPr>
    </w:p>
    <w:p>
      <w:pPr>
        <w:spacing w:after="120"/>
      </w:pPr>
      <w:r>
        <w:rPr>
          <w:rFonts w:ascii="Calibri" w:hAnsi="Calibri"/>
          <w:b w:val="0"/>
          <w:i w:val="0"/>
          <w:color w:val="222222"/>
          <w:sz w:val="21"/>
        </w:rPr>
        <w:t>Two of the seven predictions pass (2 of 7):</w:t>
      </w:r>
    </w:p>
    <w:p>
      <w:pPr>
        <w:spacing w:after="120"/>
        <w:ind w:left="432" w:hanging="259"/>
      </w:pPr>
      <w:r>
        <w:rPr>
          <w:rFonts w:ascii="Calibri" w:hAnsi="Calibri"/>
          <w:b w:val="0"/>
          <w:i w:val="0"/>
          <w:color w:val="222222"/>
          <w:sz w:val="21"/>
        </w:rPr>
        <w:t>•</w:t>
        <w:tab/>
      </w:r>
      <w:r>
        <w:rPr>
          <w:rFonts w:ascii="Calibri" w:hAnsi="Calibri"/>
          <w:b/>
          <w:i w:val="0"/>
          <w:color w:val="156082"/>
          <w:sz w:val="21"/>
        </w:rPr>
        <w:t>The first-round failure replicates (passes), and more.</w:t>
      </w:r>
      <w:r>
        <w:rPr>
          <w:rFonts w:ascii="Calibri" w:hAnsi="Calibri"/>
          <w:b w:val="0"/>
          <w:i w:val="0"/>
          <w:color w:val="222222"/>
          <w:sz w:val="21"/>
        </w:rPr>
        <w:t xml:space="preserve"> On fresh simulations the first-round flow fails all five parameters, not two. It was not a changed simulator: six of its own training runs, re-simulated today, came out identical (6 of 6, a check added after the result). Nor was it our evaluation code: run on the first-round held-out set, it reproduces the first-round pattern, </w:t>
      </w:r>
      <w:r>
        <w:rPr>
          <w:rFonts w:ascii="Consolas" w:hAnsi="Consolas"/>
          <w:b w:val="0"/>
          <w:i w:val="0"/>
          <w:color w:val="222222"/>
          <w:sz w:val="19"/>
        </w:rPr>
        <w:t>threshold_scale</w:t>
      </w:r>
      <w:r>
        <w:rPr>
          <w:rFonts w:ascii="Calibri" w:hAnsi="Calibri"/>
          <w:b w:val="0"/>
          <w:i w:val="0"/>
          <w:color w:val="222222"/>
          <w:sz w:val="21"/>
        </w:rPr>
        <w:t xml:space="preserve"> passing at 0.7551 and </w:t>
      </w:r>
      <w:r>
        <w:rPr>
          <w:rFonts w:ascii="Consolas" w:hAnsi="Consolas"/>
          <w:b w:val="0"/>
          <w:i w:val="0"/>
          <w:color w:val="222222"/>
          <w:sz w:val="19"/>
        </w:rPr>
        <w:t>inter_in_degree</w:t>
      </w:r>
      <w:r>
        <w:rPr>
          <w:rFonts w:ascii="Calibri" w:hAnsi="Calibri"/>
          <w:b w:val="0"/>
          <w:i w:val="0"/>
          <w:color w:val="222222"/>
          <w:sz w:val="21"/>
        </w:rPr>
        <w:t xml:space="preserve"> failing at 0.0037. What the first-round test missed, coverage shows: even on that set, the first-round flow's 50% intervals held the true value 0.3933 to 0.47 of the time. Three hundred runs are too few for a rank test to see an over-confidence of this size reliably, so the first-round passes were partly luck (post hoc reading).</w:t>
      </w:r>
    </w:p>
    <w:p>
      <w:pPr>
        <w:spacing w:after="120"/>
        <w:ind w:left="432" w:hanging="259"/>
      </w:pPr>
      <w:r>
        <w:rPr>
          <w:rFonts w:ascii="Calibri" w:hAnsi="Calibri"/>
          <w:b w:val="0"/>
          <w:i w:val="0"/>
          <w:color w:val="222222"/>
          <w:sz w:val="21"/>
        </w:rPr>
        <w:t>•</w:t>
        <w:tab/>
      </w:r>
      <w:r>
        <w:rPr>
          <w:rFonts w:ascii="Calibri" w:hAnsi="Calibri"/>
          <w:b/>
          <w:i w:val="0"/>
          <w:color w:val="156082"/>
          <w:sz w:val="21"/>
        </w:rPr>
        <w:t>The ensemble does not calibrate all five (three predictions fail).</w:t>
      </w:r>
      <w:r>
        <w:rPr>
          <w:rFonts w:ascii="Calibri" w:hAnsi="Calibri"/>
          <w:b w:val="0"/>
          <w:i w:val="0"/>
          <w:color w:val="222222"/>
          <w:sz w:val="21"/>
        </w:rPr>
        <w:t xml:space="preserve"> On the primary test it passes four parameters and fails </w:t>
      </w:r>
      <w:r>
        <w:rPr>
          <w:rFonts w:ascii="Consolas" w:hAnsi="Consolas"/>
          <w:b w:val="0"/>
          <w:i w:val="0"/>
          <w:color w:val="222222"/>
          <w:sz w:val="19"/>
        </w:rPr>
        <w:t>inter_in_degree</w:t>
      </w:r>
      <w:r>
        <w:rPr>
          <w:rFonts w:ascii="Calibri" w:hAnsi="Calibri"/>
          <w:b w:val="0"/>
          <w:i w:val="0"/>
          <w:color w:val="222222"/>
          <w:sz w:val="21"/>
        </w:rPr>
        <w:t xml:space="preserve">; on the full held-out set it fails four of five (only </w:t>
      </w:r>
      <w:r>
        <w:rPr>
          <w:rFonts w:ascii="Consolas" w:hAnsi="Consolas"/>
          <w:b w:val="0"/>
          <w:i w:val="0"/>
          <w:color w:val="222222"/>
          <w:sz w:val="19"/>
        </w:rPr>
        <w:t>threshold_scale</w:t>
      </w:r>
      <w:r>
        <w:rPr>
          <w:rFonts w:ascii="Calibri" w:hAnsi="Calibri"/>
          <w:b w:val="0"/>
          <w:i w:val="0"/>
          <w:color w:val="222222"/>
          <w:sz w:val="21"/>
        </w:rPr>
        <w:t>, p = 0.1935, passes), and its intervals are still too narrow for four parameters (coverage check fails).</w:t>
      </w:r>
    </w:p>
    <w:p>
      <w:pPr>
        <w:spacing w:after="120"/>
        <w:ind w:left="432" w:hanging="259"/>
      </w:pPr>
      <w:r>
        <w:rPr>
          <w:rFonts w:ascii="Calibri" w:hAnsi="Calibri"/>
          <w:b w:val="0"/>
          <w:i w:val="0"/>
          <w:color w:val="222222"/>
          <w:sz w:val="21"/>
        </w:rPr>
        <w:t>•</w:t>
        <w:tab/>
      </w:r>
      <w:r>
        <w:rPr>
          <w:rFonts w:ascii="Calibri" w:hAnsi="Calibri"/>
          <w:b/>
          <w:i w:val="0"/>
          <w:color w:val="156082"/>
          <w:sz w:val="21"/>
        </w:rPr>
        <w:t>No contraction is lost (passes).</w:t>
      </w:r>
      <w:r>
        <w:rPr>
          <w:rFonts w:ascii="Calibri" w:hAnsi="Calibri"/>
          <w:b w:val="0"/>
          <w:i w:val="0"/>
          <w:color w:val="222222"/>
          <w:sz w:val="21"/>
        </w:rPr>
        <w:t xml:space="preserve"> Every parameter's contraction is at or above the first-round flow's on the same runs, less the registered margin of 0.05.</w:t>
      </w:r>
    </w:p>
    <w:p>
      <w:pPr>
        <w:spacing w:after="120"/>
        <w:ind w:left="432" w:hanging="259"/>
      </w:pPr>
      <w:r>
        <w:rPr>
          <w:rFonts w:ascii="Calibri" w:hAnsi="Calibri"/>
          <w:b w:val="0"/>
          <w:i w:val="0"/>
          <w:color w:val="222222"/>
          <w:sz w:val="21"/>
        </w:rPr>
        <w:t>•</w:t>
        <w:tab/>
      </w:r>
      <w:r>
        <w:rPr>
          <w:rFonts w:ascii="Calibri" w:hAnsi="Calibri"/>
          <w:b/>
          <w:i w:val="0"/>
          <w:color w:val="156082"/>
          <w:sz w:val="21"/>
        </w:rPr>
        <w:t>It costs more per posterior (fails).</w:t>
      </w:r>
      <w:r>
        <w:rPr>
          <w:rFonts w:ascii="Calibri" w:hAnsi="Calibri"/>
          <w:b w:val="0"/>
          <w:i w:val="0"/>
          <w:color w:val="222222"/>
          <w:sz w:val="21"/>
        </w:rPr>
        <w:t xml:space="preserve"> The ensemble takes 1.953 s for 1,000 draws against 0.3286 s for the first-round flow in the same process; the registered limit was 1 s. Each member is sampled separately, so the cost scales with the number of members.</w:t>
      </w:r>
    </w:p>
    <w:p>
      <w:pPr>
        <w:spacing w:after="120"/>
        <w:ind w:left="432" w:hanging="259"/>
      </w:pPr>
      <w:r>
        <w:rPr>
          <w:rFonts w:ascii="Calibri" w:hAnsi="Calibri"/>
          <w:b w:val="0"/>
          <w:i w:val="0"/>
          <w:color w:val="222222"/>
          <w:sz w:val="21"/>
        </w:rPr>
        <w:t>•</w:t>
        <w:tab/>
      </w:r>
      <w:r>
        <w:rPr>
          <w:rFonts w:ascii="Calibri" w:hAnsi="Calibri"/>
          <w:b/>
          <w:i w:val="0"/>
          <w:color w:val="156082"/>
          <w:sz w:val="21"/>
        </w:rPr>
        <w:t>Budget alone does not fix the two (fails).</w:t>
      </w:r>
      <w:r>
        <w:rPr>
          <w:rFonts w:ascii="Calibri" w:hAnsi="Calibri"/>
          <w:b w:val="0"/>
          <w:i w:val="0"/>
          <w:color w:val="222222"/>
          <w:sz w:val="21"/>
        </w:rPr>
        <w:t xml:space="preserve"> The first-round flow retrained on 15,750 runs is sharper but still fails </w:t>
      </w:r>
      <w:r>
        <w:rPr>
          <w:rFonts w:ascii="Consolas" w:hAnsi="Consolas"/>
          <w:b w:val="0"/>
          <w:i w:val="0"/>
          <w:color w:val="222222"/>
          <w:sz w:val="19"/>
        </w:rPr>
        <w:t>gabaa_scale</w:t>
      </w:r>
      <w:r>
        <w:rPr>
          <w:rFonts w:ascii="Calibri" w:hAnsi="Calibri"/>
          <w:b w:val="0"/>
          <w:i w:val="0"/>
          <w:color w:val="222222"/>
          <w:sz w:val="21"/>
        </w:rPr>
        <w:t xml:space="preserve"> (p = 0.0025) and </w:t>
      </w:r>
      <w:r>
        <w:rPr>
          <w:rFonts w:ascii="Consolas" w:hAnsi="Consolas"/>
          <w:b w:val="0"/>
          <w:i w:val="0"/>
          <w:color w:val="222222"/>
          <w:sz w:val="19"/>
        </w:rPr>
        <w:t>inter_in_degree</w:t>
      </w:r>
      <w:r>
        <w:rPr>
          <w:rFonts w:ascii="Calibri" w:hAnsi="Calibri"/>
          <w:b w:val="0"/>
          <w:i w:val="0"/>
          <w:color w:val="222222"/>
          <w:sz w:val="21"/>
        </w:rPr>
        <w:t xml:space="preserve">. The five-flow ensemble on the first-round training set alone fails all five on the primary test. Only budget and averaging together moved </w:t>
      </w:r>
      <w:r>
        <w:rPr>
          <w:rFonts w:ascii="Consolas" w:hAnsi="Consolas"/>
          <w:b w:val="0"/>
          <w:i w:val="0"/>
          <w:color w:val="222222"/>
          <w:sz w:val="19"/>
        </w:rPr>
        <w:t>gabaa_scale</w:t>
      </w:r>
      <w:r>
        <w:rPr>
          <w:rFonts w:ascii="Calibri" w:hAnsi="Calibri"/>
          <w:b w:val="0"/>
          <w:i w:val="0"/>
          <w:color w:val="222222"/>
          <w:sz w:val="21"/>
        </w:rPr>
        <w:t xml:space="preserve"> past the threshold on the 300-run test, and on the full held-out set it fails there too (exploratory comparison).</w:t>
      </w:r>
    </w:p>
    <w:p>
      <w:pPr>
        <w:spacing w:after="120"/>
      </w:pPr>
      <w:r>
        <w:rPr>
          <w:rFonts w:ascii="Calibri" w:hAnsi="Calibri"/>
          <w:b w:val="0"/>
          <w:i w:val="0"/>
          <w:color w:val="222222"/>
          <w:sz w:val="21"/>
        </w:rPr>
        <w:t xml:space="preserve">The registered check near the real recordings also fails: on the 300 held-out runs closest to the 113 real two-chamber recordings, the ensemble fails </w:t>
      </w:r>
      <w:r>
        <w:rPr>
          <w:rFonts w:ascii="Consolas" w:hAnsi="Consolas"/>
          <w:b w:val="0"/>
          <w:i w:val="0"/>
          <w:color w:val="222222"/>
          <w:sz w:val="19"/>
        </w:rPr>
        <w:t>ampa_scale</w:t>
      </w:r>
      <w:r>
        <w:rPr>
          <w:rFonts w:ascii="Calibri" w:hAnsi="Calibri"/>
          <w:b w:val="0"/>
          <w:i w:val="0"/>
          <w:color w:val="222222"/>
          <w:sz w:val="21"/>
        </w:rPr>
        <w:t xml:space="preserve"> (p = 0.0121). Those runs are not very close: the median real recording lies 2.661 standard units from its nearest simulation, where a simulation lies 0.541 from its nearest neighbour.</w:t>
      </w:r>
    </w:p>
    <w:p>
      <w:pPr>
        <w:spacing w:after="120"/>
      </w:pPr>
      <w:r>
        <w:rPr>
          <w:rFonts w:ascii="Calibri" w:hAnsi="Calibri"/>
          <w:b w:val="0"/>
          <w:i w:val="0"/>
          <w:color w:val="222222"/>
          <w:sz w:val="21"/>
        </w:rPr>
        <w:t xml:space="preserve">Under the rule registered for the slide, the ensemble may be quoted for </w:t>
      </w:r>
      <w:r>
        <w:rPr>
          <w:rFonts w:ascii="Consolas" w:hAnsi="Consolas"/>
          <w:b w:val="0"/>
          <w:i w:val="0"/>
          <w:color w:val="222222"/>
          <w:sz w:val="19"/>
        </w:rPr>
        <w:t>threshold_scale</w:t>
      </w:r>
      <w:r>
        <w:rPr>
          <w:rFonts w:ascii="Calibri" w:hAnsi="Calibri"/>
          <w:b w:val="0"/>
          <w:i w:val="0"/>
          <w:color w:val="222222"/>
          <w:sz w:val="21"/>
        </w:rPr>
        <w:t xml:space="preserve"> only. The inhibitory knob our pharmacology sections lean on stays withheld, as do the other three. More simulations and averaging lower every parameter's rank-test statistic on the full held-out set (for </w:t>
      </w:r>
      <w:r>
        <w:rPr>
          <w:rFonts w:ascii="Consolas" w:hAnsi="Consolas"/>
          <w:b w:val="0"/>
          <w:i w:val="0"/>
          <w:color w:val="222222"/>
          <w:sz w:val="19"/>
        </w:rPr>
        <w:t>gabaa_scale</w:t>
      </w:r>
      <w:r>
        <w:rPr>
          <w:rFonts w:ascii="Calibri" w:hAnsi="Calibri"/>
          <w:b w:val="0"/>
          <w:i w:val="0"/>
          <w:color w:val="222222"/>
          <w:sz w:val="21"/>
        </w:rPr>
        <w:t xml:space="preserve"> from 0.11 to 0.077, for </w:t>
      </w:r>
      <w:r>
        <w:rPr>
          <w:rFonts w:ascii="Consolas" w:hAnsi="Consolas"/>
          <w:b w:val="0"/>
          <w:i w:val="0"/>
          <w:color w:val="222222"/>
          <w:sz w:val="19"/>
        </w:rPr>
        <w:t>inter_in_degree</w:t>
      </w:r>
      <w:r>
        <w:rPr>
          <w:rFonts w:ascii="Calibri" w:hAnsi="Calibri"/>
          <w:b w:val="0"/>
          <w:i w:val="0"/>
          <w:color w:val="222222"/>
          <w:sz w:val="21"/>
        </w:rPr>
        <w:t xml:space="preserve"> from 0.107 to 0.063) without costing sharpness, but not far enough, so the limit is not budget alone; whether it is the estimator family or what the 19 summaries carry is the next question, not one this test answers. The full record is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and the rank histograms and coverage are in Appendix G.</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55"/>
        <w:gridCol w:w="2512"/>
        <w:gridCol w:w="3523"/>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55"/>
            <w:shd w:val="clear" w:color="auto" w:fill="1F4E79"/>
            <w:vAlign w:val="center"/>
          </w:tcPr>
          <w:p>
            <w:pPr>
              <w:keepNext/>
              <w:spacing w:after="0"/>
            </w:pPr>
            <w:r>
              <w:rPr>
                <w:rFonts w:ascii="Calibri" w:hAnsi="Calibri"/>
                <w:b/>
                <w:i w:val="0"/>
                <w:color w:val="FFFFFF"/>
                <w:sz w:val="20"/>
              </w:rPr>
              <w:t>finding</w:t>
            </w:r>
          </w:p>
        </w:tc>
        <w:tc>
          <w:tcPr>
            <w:tcW w:type="dxa" w:w="2512"/>
            <w:shd w:val="clear" w:color="auto" w:fill="1F4E79"/>
            <w:vAlign w:val="center"/>
          </w:tcPr>
          <w:p>
            <w:pPr>
              <w:keepNext/>
              <w:spacing w:after="0"/>
            </w:pPr>
            <w:r>
              <w:rPr>
                <w:rFonts w:ascii="Calibri" w:hAnsi="Calibri"/>
                <w:b/>
                <w:i w:val="0"/>
                <w:color w:val="FFFFFF"/>
                <w:sz w:val="20"/>
              </w:rPr>
              <w:t>evidence</w:t>
            </w:r>
          </w:p>
        </w:tc>
        <w:tc>
          <w:tcPr>
            <w:tcW w:type="dxa" w:w="3523"/>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55"/>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512"/>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523"/>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55"/>
            <w:shd w:val="clear" w:color="auto" w:fill="F7F9FB"/>
            <w:vAlign w:val="center"/>
          </w:tcPr>
          <w:p>
            <w:pPr>
              <w:keepNext/>
              <w:spacing w:after="0"/>
            </w:pPr>
            <w:r>
              <w:rPr>
                <w:rFonts w:ascii="Calibri" w:hAnsi="Calibri"/>
                <w:b w:val="0"/>
                <w:i w:val="0"/>
                <w:color w:val="222222"/>
                <w:sz w:val="20"/>
              </w:rPr>
              <w:t>chamber readouts miss direction</w:t>
            </w:r>
          </w:p>
        </w:tc>
        <w:tc>
          <w:tcPr>
            <w:tcW w:type="dxa" w:w="2512"/>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523"/>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55"/>
            <w:shd w:val="clear" w:color="auto" w:fill="FFFFFF"/>
            <w:vAlign w:val="center"/>
          </w:tcPr>
          <w:p>
            <w:pPr>
              <w:keepNext/>
              <w:spacing w:after="0"/>
            </w:pPr>
            <w:r>
              <w:rPr>
                <w:rFonts w:ascii="Calibri" w:hAnsi="Calibri"/>
                <w:b w:val="0"/>
                <w:i w:val="0"/>
                <w:color w:val="222222"/>
                <w:sz w:val="20"/>
              </w:rPr>
              <w:t>no cross-laboratory transfer</w:t>
            </w:r>
          </w:p>
        </w:tc>
        <w:tc>
          <w:tcPr>
            <w:tcW w:type="dxa" w:w="2512"/>
            <w:shd w:val="clear" w:color="auto" w:fill="FFFFFF"/>
            <w:vAlign w:val="center"/>
          </w:tcPr>
          <w:p>
            <w:pPr>
              <w:keepNext/>
              <w:spacing w:after="0"/>
            </w:pPr>
            <w:r>
              <w:rPr>
                <w:rFonts w:ascii="Calibri" w:hAnsi="Calibri"/>
                <w:b w:val="0"/>
                <w:i w:val="0"/>
                <w:color w:val="222222"/>
                <w:sz w:val="20"/>
              </w:rPr>
              <w:t>0.3482 against 0.3333 chance</w:t>
            </w:r>
          </w:p>
        </w:tc>
        <w:tc>
          <w:tcPr>
            <w:tcW w:type="dxa" w:w="3523"/>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55"/>
            <w:shd w:val="clear" w:color="auto" w:fill="F7F9FB"/>
            <w:vAlign w:val="center"/>
          </w:tcPr>
          <w:p>
            <w:pPr>
              <w:keepNext/>
              <w:spacing w:after="0"/>
            </w:pPr>
            <w:r>
              <w:rPr>
                <w:rFonts w:ascii="Calibri" w:hAnsi="Calibri"/>
                <w:b w:val="0"/>
                <w:i w:val="0"/>
                <w:color w:val="222222"/>
                <w:sz w:val="20"/>
              </w:rPr>
              <w:t>domain adaptation backfires</w:t>
            </w:r>
          </w:p>
        </w:tc>
        <w:tc>
          <w:tcPr>
            <w:tcW w:type="dxa" w:w="2512"/>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523"/>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55"/>
            <w:shd w:val="clear" w:color="auto" w:fill="FFFFFF"/>
            <w:vAlign w:val="center"/>
          </w:tcPr>
          <w:p>
            <w:pPr>
              <w:keepNext/>
              <w:spacing w:after="0"/>
            </w:pPr>
            <w:r>
              <w:rPr>
                <w:rFonts w:ascii="Calibri" w:hAnsi="Calibri"/>
                <w:b w:val="0"/>
                <w:i w:val="0"/>
                <w:color w:val="222222"/>
                <w:sz w:val="20"/>
              </w:rPr>
              <w:t>synchrony was an artifact</w:t>
            </w:r>
          </w:p>
        </w:tc>
        <w:tc>
          <w:tcPr>
            <w:tcW w:type="dxa" w:w="2512"/>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523"/>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55"/>
            <w:shd w:val="clear" w:color="auto" w:fill="F7F9FB"/>
            <w:vAlign w:val="center"/>
          </w:tcPr>
          <w:p>
            <w:pPr>
              <w:keepNext/>
              <w:spacing w:after="0"/>
            </w:pPr>
            <w:r>
              <w:rPr>
                <w:rFonts w:ascii="Calibri" w:hAnsi="Calibri"/>
                <w:b w:val="0"/>
                <w:i w:val="0"/>
                <w:color w:val="222222"/>
                <w:sz w:val="20"/>
              </w:rPr>
              <w:t>posterior over-confidence</w:t>
            </w:r>
          </w:p>
        </w:tc>
        <w:tc>
          <w:tcPr>
            <w:tcW w:type="dxa" w:w="2512"/>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 since round 1, on fresh simulations all five parameters fail, and a five-flow ensemble on 15,750 simulations leaves four over-confident (§16)</w:t>
            </w:r>
          </w:p>
        </w:tc>
        <w:tc>
          <w:tcPr>
            <w:tcW w:type="dxa" w:w="3523"/>
            <w:shd w:val="clear" w:color="auto" w:fill="F7F9FB"/>
            <w:vAlign w:val="center"/>
          </w:tcPr>
          <w:p>
            <w:pPr>
              <w:keepNext/>
              <w:spacing w:after="0"/>
            </w:pPr>
            <w:r>
              <w:rPr>
                <w:rFonts w:ascii="Calibri" w:hAnsi="Calibri"/>
                <w:b w:val="0"/>
                <w:i w:val="0"/>
                <w:color w:val="222222"/>
                <w:sz w:val="20"/>
              </w:rPr>
              <w:t>check rank uniformity and interval coverage on fresh simulations before quoting an interval; quote only parameters that pass both</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55"/>
            <w:shd w:val="clear" w:color="auto" w:fill="FFFFFF"/>
            <w:vAlign w:val="center"/>
          </w:tcPr>
          <w:p>
            <w:pPr>
              <w:keepNext/>
              <w:spacing w:after="0"/>
            </w:pPr>
            <w:r>
              <w:rPr>
                <w:rFonts w:ascii="Calibri" w:hAnsi="Calibri"/>
                <w:b w:val="0"/>
                <w:i w:val="0"/>
                <w:color w:val="222222"/>
                <w:sz w:val="20"/>
              </w:rPr>
              <w:t>baseline read as drug effect</w:t>
            </w:r>
          </w:p>
        </w:tc>
        <w:tc>
          <w:tcPr>
            <w:tcW w:type="dxa" w:w="2512"/>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523"/>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55"/>
            <w:shd w:val="clear" w:color="auto" w:fill="F7F9FB"/>
            <w:vAlign w:val="center"/>
          </w:tcPr>
          <w:p>
            <w:pPr>
              <w:keepNext/>
              <w:spacing w:after="0"/>
            </w:pPr>
            <w:r>
              <w:rPr>
                <w:rFonts w:ascii="Calibri" w:hAnsi="Calibri"/>
                <w:b w:val="0"/>
                <w:i w:val="0"/>
                <w:color w:val="222222"/>
                <w:sz w:val="20"/>
              </w:rPr>
              <w:t>support rejection</w:t>
            </w:r>
          </w:p>
        </w:tc>
        <w:tc>
          <w:tcPr>
            <w:tcW w:type="dxa" w:w="2512"/>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523"/>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55"/>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512"/>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523"/>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5" name="Picture 15"/>
            <wp:cNvGraphicFramePr>
              <a:graphicFrameLocks noChangeAspect="1"/>
            </wp:cNvGraphicFramePr>
            <a:graphic>
              <a:graphicData uri="http://schemas.openxmlformats.org/drawingml/2006/picture">
                <pic:pic>
                  <pic:nvPicPr>
                    <pic:cNvPr id="0" name="depression_under_block_simulated.png"/>
                    <pic:cNvPicPr/>
                  </pic:nvPicPr>
                  <pic:blipFill>
                    <a:blip r:embed="rId27"/>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76"/>
        <w:gridCol w:w="4519"/>
        <w:gridCol w:w="2301"/>
      </w:tblGrid>
      <w:tr>
        <w:trPr>
          <w:cantSplit/>
          <w:tblHeader/>
        </w:trPr>
        <w:tc>
          <w:tcPr>
            <w:tcW w:type="dxa" w:w="1676"/>
            <w:shd w:val="clear" w:color="auto" w:fill="1F4E79"/>
            <w:vAlign w:val="center"/>
          </w:tcPr>
          <w:p>
            <w:pPr>
              <w:keepNext/>
              <w:spacing w:after="0"/>
            </w:pPr>
            <w:r>
              <w:rPr>
                <w:rFonts w:ascii="Calibri" w:hAnsi="Calibri"/>
                <w:b/>
                <w:i w:val="0"/>
                <w:color w:val="FFFFFF"/>
                <w:sz w:val="20"/>
              </w:rPr>
              <w:t>step</w:t>
            </w:r>
          </w:p>
        </w:tc>
        <w:tc>
          <w:tcPr>
            <w:tcW w:type="dxa" w:w="4519"/>
            <w:shd w:val="clear" w:color="auto" w:fill="1F4E79"/>
            <w:vAlign w:val="center"/>
          </w:tcPr>
          <w:p>
            <w:pPr>
              <w:keepNext/>
              <w:spacing w:after="0"/>
            </w:pPr>
            <w:r>
              <w:rPr>
                <w:rFonts w:ascii="Calibri" w:hAnsi="Calibri"/>
                <w:b/>
                <w:i w:val="0"/>
                <w:color w:val="FFFFFF"/>
                <w:sz w:val="20"/>
              </w:rPr>
              <w:t>command</w:t>
            </w:r>
          </w:p>
        </w:tc>
        <w:tc>
          <w:tcPr>
            <w:tcW w:type="dxa" w:w="2301"/>
            <w:shd w:val="clear" w:color="auto" w:fill="1F4E79"/>
            <w:vAlign w:val="center"/>
          </w:tcPr>
          <w:p>
            <w:pPr>
              <w:keepNext/>
              <w:spacing w:after="0"/>
            </w:pPr>
            <w:r>
              <w:rPr>
                <w:rFonts w:ascii="Calibri" w:hAnsi="Calibri"/>
                <w:b/>
                <w:i w:val="0"/>
                <w:color w:val="FFFFFF"/>
                <w:sz w:val="20"/>
              </w:rPr>
              <w:t>what it does</w:t>
            </w:r>
          </w:p>
        </w:tc>
      </w:tr>
      <w:tr>
        <w:trPr>
          <w:cantSplit/>
        </w:trPr>
        <w:tc>
          <w:tcPr>
            <w:tcW w:type="dxa" w:w="1676"/>
            <w:shd w:val="clear" w:color="auto" w:fill="FFFFFF"/>
            <w:vAlign w:val="center"/>
          </w:tcPr>
          <w:p>
            <w:pPr>
              <w:keepNext/>
              <w:spacing w:after="0"/>
            </w:pPr>
            <w:r>
              <w:rPr>
                <w:rFonts w:ascii="Calibri" w:hAnsi="Calibri"/>
                <w:b/>
                <w:i w:val="0"/>
                <w:color w:val="222222"/>
                <w:sz w:val="20"/>
              </w:rPr>
              <w:t>1. get the code</w:t>
            </w:r>
          </w:p>
        </w:tc>
        <w:tc>
          <w:tcPr>
            <w:tcW w:type="dxa" w:w="451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301"/>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676"/>
            <w:shd w:val="clear" w:color="auto" w:fill="F7F9FB"/>
            <w:vAlign w:val="center"/>
          </w:tcPr>
          <w:p>
            <w:pPr>
              <w:keepNext/>
              <w:spacing w:after="0"/>
            </w:pPr>
            <w:r>
              <w:rPr>
                <w:rFonts w:ascii="Calibri" w:hAnsi="Calibri"/>
                <w:b/>
                <w:i w:val="0"/>
                <w:color w:val="222222"/>
                <w:sz w:val="20"/>
              </w:rPr>
              <w:t>2. create the environment</w:t>
            </w:r>
          </w:p>
        </w:tc>
        <w:tc>
          <w:tcPr>
            <w:tcW w:type="dxa" w:w="451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301"/>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676"/>
            <w:shd w:val="clear" w:color="auto" w:fill="FFFFFF"/>
            <w:vAlign w:val="center"/>
          </w:tcPr>
          <w:p>
            <w:pPr>
              <w:keepNext/>
              <w:spacing w:after="0"/>
            </w:pPr>
            <w:r>
              <w:rPr>
                <w:rFonts w:ascii="Calibri" w:hAnsi="Calibri"/>
                <w:b/>
                <w:i w:val="0"/>
                <w:color w:val="222222"/>
                <w:sz w:val="20"/>
              </w:rPr>
              <w:t>3. install</w:t>
            </w:r>
          </w:p>
        </w:tc>
        <w:tc>
          <w:tcPr>
            <w:tcW w:type="dxa" w:w="451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301"/>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676"/>
            <w:shd w:val="clear" w:color="auto" w:fill="F7F9FB"/>
            <w:vAlign w:val="center"/>
          </w:tcPr>
          <w:p>
            <w:pPr>
              <w:keepNext/>
              <w:spacing w:after="0"/>
            </w:pPr>
            <w:r>
              <w:rPr>
                <w:rFonts w:ascii="Calibri" w:hAnsi="Calibri"/>
                <w:b/>
                <w:i w:val="0"/>
                <w:color w:val="222222"/>
                <w:sz w:val="20"/>
              </w:rPr>
              <w:t>4. quick run</w:t>
            </w:r>
          </w:p>
        </w:tc>
        <w:tc>
          <w:tcPr>
            <w:tcW w:type="dxa" w:w="4519"/>
            <w:shd w:val="clear" w:color="auto" w:fill="F7F9FB"/>
            <w:vAlign w:val="center"/>
          </w:tcPr>
          <w:p>
            <w:pPr>
              <w:keepNext/>
              <w:spacing w:after="0"/>
            </w:pPr>
            <w:r>
              <w:rPr>
                <w:rFonts w:ascii="Consolas" w:hAnsi="Consolas"/>
                <w:b w:val="0"/>
                <w:i w:val="0"/>
                <w:color w:val="222222"/>
                <w:sz w:val="18"/>
              </w:rPr>
              <w:t>.venv/bin/python run_all.py --quick</w:t>
            </w:r>
          </w:p>
        </w:tc>
        <w:tc>
          <w:tcPr>
            <w:tcW w:type="dxa" w:w="2301"/>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676"/>
            <w:shd w:val="clear" w:color="auto" w:fill="FFFFFF"/>
            <w:vAlign w:val="center"/>
          </w:tcPr>
          <w:p>
            <w:pPr>
              <w:keepNext/>
              <w:spacing w:after="0"/>
            </w:pPr>
            <w:r>
              <w:rPr>
                <w:rFonts w:ascii="Calibri" w:hAnsi="Calibri"/>
                <w:b/>
                <w:i w:val="0"/>
                <w:color w:val="222222"/>
                <w:sz w:val="20"/>
              </w:rPr>
              <w:t>5. full run</w:t>
            </w:r>
          </w:p>
        </w:tc>
        <w:tc>
          <w:tcPr>
            <w:tcW w:type="dxa" w:w="4519"/>
            <w:shd w:val="clear" w:color="auto" w:fill="FFFFFF"/>
            <w:vAlign w:val="center"/>
          </w:tcPr>
          <w:p>
            <w:pPr>
              <w:keepNext/>
              <w:spacing w:after="0"/>
            </w:pPr>
            <w:r>
              <w:rPr>
                <w:rFonts w:ascii="Consolas" w:hAnsi="Consolas"/>
                <w:b w:val="0"/>
                <w:i w:val="0"/>
                <w:color w:val="222222"/>
                <w:sz w:val="18"/>
              </w:rPr>
              <w:t>.venv/bin/python run_all.py</w:t>
            </w:r>
          </w:p>
        </w:tc>
        <w:tc>
          <w:tcPr>
            <w:tcW w:type="dxa" w:w="2301"/>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676"/>
            <w:shd w:val="clear" w:color="auto" w:fill="F7F9FB"/>
            <w:vAlign w:val="center"/>
          </w:tcPr>
          <w:p>
            <w:pPr>
              <w:keepNext/>
              <w:spacing w:after="0"/>
            </w:pPr>
            <w:r>
              <w:rPr>
                <w:rFonts w:ascii="Calibri" w:hAnsi="Calibri"/>
                <w:b/>
                <w:i w:val="0"/>
                <w:color w:val="222222"/>
                <w:sz w:val="20"/>
              </w:rPr>
              <w:t>6. check the numbers</w:t>
            </w:r>
          </w:p>
        </w:tc>
        <w:tc>
          <w:tcPr>
            <w:tcW w:type="dxa" w:w="451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301"/>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676"/>
            <w:shd w:val="clear" w:color="auto" w:fill="FFFFFF"/>
            <w:vAlign w:val="center"/>
          </w:tcPr>
          <w:p>
            <w:pPr>
              <w:keepNext/>
              <w:spacing w:after="0"/>
            </w:pPr>
            <w:r>
              <w:rPr>
                <w:rFonts w:ascii="Calibri" w:hAnsi="Calibri"/>
                <w:b/>
                <w:i w:val="0"/>
                <w:color w:val="222222"/>
                <w:sz w:val="20"/>
              </w:rPr>
              <w:t>7. check the registrations</w:t>
            </w:r>
          </w:p>
        </w:tc>
        <w:tc>
          <w:tcPr>
            <w:tcW w:type="dxa" w:w="4519"/>
            <w:shd w:val="clear" w:color="auto" w:fill="FFFFFF"/>
            <w:vAlign w:val="center"/>
          </w:tcPr>
          <w:p>
            <w:pPr>
              <w:keepNext/>
              <w:spacing w:after="0"/>
            </w:pPr>
            <w:r>
              <w:rPr>
                <w:rFonts w:ascii="Consolas" w:hAnsi="Consolas"/>
                <w:b w:val="0"/>
                <w:i w:val="0"/>
                <w:color w:val="222222"/>
                <w:sz w:val="18"/>
              </w:rPr>
              <w:t>.venv/bin/python -m neuromps.report.timestamps</w:t>
            </w:r>
          </w:p>
        </w:tc>
        <w:tc>
          <w:tcPr>
            <w:tcW w:type="dxa" w:w="2301"/>
            <w:shd w:val="clear" w:color="auto" w:fill="FFFFFF"/>
            <w:vAlign w:val="center"/>
          </w:tcPr>
          <w:p>
            <w:pPr>
              <w:keepNext/>
              <w:spacing w:after="0"/>
            </w:pPr>
            <w:r>
              <w:rPr>
                <w:rFonts w:ascii="Calibri" w:hAnsi="Calibri"/>
                <w:b w:val="0"/>
                <w:i w:val="0"/>
                <w:color w:val="222222"/>
                <w:sz w:val="20"/>
              </w:rPr>
              <w:t>hash-chains every registration and checks that each was committed before its results (needs the full git history, not a shallow clone)</w:t>
            </w:r>
          </w:p>
        </w:tc>
      </w:tr>
      <w:tr>
        <w:trPr>
          <w:cantSplit/>
        </w:trPr>
        <w:tc>
          <w:tcPr>
            <w:tcW w:type="dxa" w:w="1676"/>
            <w:shd w:val="clear" w:color="auto" w:fill="F7F9FB"/>
            <w:vAlign w:val="center"/>
          </w:tcPr>
          <w:p>
            <w:pPr>
              <w:keepNext w:val="0"/>
              <w:spacing w:after="0"/>
            </w:pPr>
            <w:r>
              <w:rPr>
                <w:rFonts w:ascii="Calibri" w:hAnsi="Calibri"/>
                <w:b/>
                <w:i w:val="0"/>
                <w:color w:val="222222"/>
                <w:sz w:val="20"/>
              </w:rPr>
              <w:t>8. open the demo</w:t>
            </w:r>
          </w:p>
        </w:tc>
        <w:tc>
          <w:tcPr>
            <w:tcW w:type="dxa" w:w="4519"/>
            <w:shd w:val="clear" w:color="auto" w:fill="F7F9FB"/>
            <w:vAlign w:val="center"/>
          </w:tcPr>
          <w:p>
            <w:pPr>
              <w:keepNext w:val="0"/>
              <w:spacing w:after="0"/>
            </w:pPr>
            <w:r>
              <w:rPr>
                <w:rFonts w:ascii="Consolas" w:hAnsi="Consolas"/>
                <w:b w:val="0"/>
                <w:i w:val="0"/>
                <w:color w:val="222222"/>
                <w:sz w:val="18"/>
              </w:rPr>
              <w:t>.venv/bin/streamlit run app/app.py</w:t>
            </w:r>
          </w:p>
        </w:tc>
        <w:tc>
          <w:tcPr>
            <w:tcW w:type="dxa" w:w="2301"/>
            <w:shd w:val="clear" w:color="auto" w:fill="F7F9FB"/>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spacing w:after="120"/>
      </w:pPr>
      <w:r>
        <w:rPr>
          <w:rFonts w:ascii="Calibri" w:hAnsi="Calibri"/>
          <w:b w:val="0"/>
          <w:i w:val="0"/>
          <w:color w:val="222222"/>
          <w:sz w:val="21"/>
        </w:rPr>
        <w:t xml:space="preserve">The registrations are checked the same way. Every study that registered its predictions in </w:t>
      </w:r>
      <w:r>
        <w:rPr>
          <w:rFonts w:ascii="Consolas" w:hAnsi="Consolas"/>
          <w:b w:val="0"/>
          <w:i w:val="0"/>
          <w:color w:val="222222"/>
          <w:sz w:val="19"/>
        </w:rPr>
        <w:t>preregistration/</w:t>
      </w:r>
      <w:r>
        <w:rPr>
          <w:rFonts w:ascii="Calibri" w:hAnsi="Calibri"/>
          <w:b w:val="0"/>
          <w:i w:val="0"/>
          <w:color w:val="222222"/>
          <w:sz w:val="21"/>
        </w:rPr>
        <w:t xml:space="preserve"> records each prediction's outcome, and </w:t>
      </w:r>
      <w:r>
        <w:rPr>
          <w:rFonts w:ascii="Consolas" w:hAnsi="Consolas"/>
          <w:b w:val="0"/>
          <w:i w:val="0"/>
          <w:color w:val="222222"/>
          <w:sz w:val="19"/>
        </w:rPr>
        <w:t>neuromps.report.audit</w:t>
      </w:r>
      <w:r>
        <w:rPr>
          <w:rFonts w:ascii="Calibri" w:hAnsi="Calibri"/>
          <w:b w:val="0"/>
          <w:i w:val="0"/>
          <w:color w:val="222222"/>
          <w:sz w:val="21"/>
        </w:rPr>
        <w:t xml:space="preserve"> (run at the end of every </w:t>
      </w:r>
      <w:r>
        <w:rPr>
          <w:rFonts w:ascii="Consolas" w:hAnsi="Consolas"/>
          <w:b w:val="0"/>
          <w:i w:val="0"/>
          <w:color w:val="222222"/>
          <w:sz w:val="19"/>
        </w:rPr>
        <w:t>run_all</w:t>
      </w:r>
      <w:r>
        <w:rPr>
          <w:rFonts w:ascii="Calibri" w:hAnsi="Calibri"/>
          <w:b w:val="0"/>
          <w:i w:val="0"/>
          <w:color w:val="222222"/>
          <w:sz w:val="21"/>
        </w:rPr>
        <w:t xml:space="preserve">) counts them: 45 studies made 229 registered predictions, of which 104 passed, 86 failed and 38 were uninterpretable. The audit names any study whose predictions carry no outcome, so that none is left out unnoticed (none is now; </w:t>
      </w:r>
      <w:r>
        <w:rPr>
          <w:rFonts w:ascii="Consolas" w:hAnsi="Consolas"/>
          <w:b w:val="0"/>
          <w:i w:val="0"/>
          <w:color w:val="222222"/>
          <w:sz w:val="19"/>
        </w:rPr>
        <w:t>registration_audit.unrecognised</w:t>
      </w:r>
      <w:r>
        <w:rPr>
          <w:rFonts w:ascii="Calibri" w:hAnsi="Calibri"/>
          <w:b w:val="0"/>
          <w:i w:val="0"/>
          <w:color w:val="222222"/>
          <w:sz w:val="21"/>
        </w:rPr>
        <w:t xml:space="preserve">), and it leaves out the rhythm audit, which re-reads predictions already counted under their own stages.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the commit that first added it, a hash chain over them in commit order, and, for every result file that names its registration, whether the registration's commit came first. Of 44 registrations, 40 result files were checked and 0 came before their registration. The check cannot see the 4 registrations whose results do not name them (the twin's depression test, its prior classifier, the ToxCast noise floors and the inverse-model recalibration, whose results are recorded only in </w:t>
      </w:r>
      <w:r>
        <w:rPr>
          <w:rFonts w:ascii="Consolas" w:hAnsi="Consolas"/>
          <w:b w:val="0"/>
          <w:i w:val="0"/>
          <w:color w:val="222222"/>
          <w:sz w:val="19"/>
        </w:rPr>
        <w:t>metrics.json</w:t>
      </w:r>
      <w:r>
        <w:rPr>
          <w:rFonts w:ascii="Calibri" w:hAnsi="Calibri"/>
          <w:b w:val="0"/>
          <w:i w:val="0"/>
          <w:color w:val="222222"/>
          <w:sz w:val="21"/>
        </w:rPr>
        <w:t>), and it rests on this repository's own history, not on a third-party timestamp. The two manuscripts in preparation register their studies the same way in a separate, private repository.</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6" name="Picture 16"/>
            <wp:cNvGraphicFramePr>
              <a:graphicFrameLocks noChangeAspect="1"/>
            </wp:cNvGraphicFramePr>
            <a:graphic>
              <a:graphicData uri="http://schemas.openxmlformats.org/drawingml/2006/picture">
                <pic:pic>
                  <pic:nvPicPr>
                    <pic:cNvPr id="0" name="fly_chip_to_animal_dose_SIMULATED.png"/>
                    <pic:cNvPicPr/>
                  </pic:nvPicPr>
                  <pic:blipFill>
                    <a:blip r:embed="rId28"/>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7" name="Picture 17"/>
            <wp:cNvGraphicFramePr>
              <a:graphicFrameLocks noChangeAspect="1"/>
            </wp:cNvGraphicFramePr>
            <a:graphic>
              <a:graphicData uri="http://schemas.openxmlformats.org/drawingml/2006/picture">
                <pic:pic>
                  <pic:nvPicPr>
                    <pic:cNvPr id="0" name="fly_sentinel_ladder_SIMULATED.png"/>
                    <pic:cNvPicPr/>
                  </pic:nvPicPr>
                  <pic:blipFill>
                    <a:blip r:embed="rId29"/>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8" name="Picture 18"/>
            <wp:cNvGraphicFramePr>
              <a:graphicFrameLocks noChangeAspect="1"/>
            </wp:cNvGraphicFramePr>
            <a:graphic>
              <a:graphicData uri="http://schemas.openxmlformats.org/drawingml/2006/picture">
                <pic:pic>
                  <pic:nvPicPr>
                    <pic:cNvPr id="0" name="fly_output_tract_SIMULATED.png"/>
                    <pic:cNvPicPr/>
                  </pic:nvPicPr>
                  <pic:blipFill>
                    <a:blip r:embed="rId30"/>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9" name="Picture 19"/>
            <wp:cNvGraphicFramePr>
              <a:graphicFrameLocks noChangeAspect="1"/>
            </wp:cNvGraphicFramePr>
            <a:graphic>
              <a:graphicData uri="http://schemas.openxmlformats.org/drawingml/2006/picture">
                <pic:pic>
                  <pic:nvPicPr>
                    <pic:cNvPr id="0" name="fly_direction_SIMULATED.png"/>
                    <pic:cNvPicPr/>
                  </pic:nvPicPr>
                  <pic:blipFill>
                    <a:blip r:embed="rId31"/>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20" name="Picture 20"/>
            <wp:cNvGraphicFramePr>
              <a:graphicFrameLocks noChangeAspect="1"/>
            </wp:cNvGraphicFramePr>
            <a:graphic>
              <a:graphicData uri="http://schemas.openxmlformats.org/drawingml/2006/picture">
                <pic:pic>
                  <pic:nvPicPr>
                    <pic:cNvPr id="0" name="fly_motor_onsets_SIMULATED.png"/>
                    <pic:cNvPicPr/>
                  </pic:nvPicPr>
                  <pic:blipFill>
                    <a:blip r:embed="rId32"/>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1" name="Picture 21"/>
            <wp:cNvGraphicFramePr>
              <a:graphicFrameLocks noChangeAspect="1"/>
            </wp:cNvGraphicFramePr>
            <a:graphic>
              <a:graphicData uri="http://schemas.openxmlformats.org/drawingml/2006/picture">
                <pic:pic>
                  <pic:nvPicPr>
                    <pic:cNvPr id="0" name="fly_motor_tie_break_SIMULATED.png"/>
                    <pic:cNvPicPr/>
                  </pic:nvPicPr>
                  <pic:blipFill>
                    <a:blip r:embed="rId33"/>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2" name="Picture 22"/>
            <wp:cNvGraphicFramePr>
              <a:graphicFrameLocks noChangeAspect="1"/>
            </wp:cNvGraphicFramePr>
            <a:graphic>
              <a:graphicData uri="http://schemas.openxmlformats.org/drawingml/2006/picture">
                <pic:pic>
                  <pic:nvPicPr>
                    <pic:cNvPr id="0" name="toxcast_noise_floors_real.png"/>
                    <pic:cNvPicPr/>
                  </pic:nvPicPr>
                  <pic:blipFill>
                    <a:blip r:embed="rId34"/>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3" name="Picture 23"/>
            <wp:cNvGraphicFramePr>
              <a:graphicFrameLocks noChangeAspect="1"/>
            </wp:cNvGraphicFramePr>
            <a:graphic>
              <a:graphicData uri="http://schemas.openxmlformats.org/drawingml/2006/picture">
                <pic:pic>
                  <pic:nvPicPr>
                    <pic:cNvPr id="0" name="twin_toxcast_positive_controls.png"/>
                    <pic:cNvPicPr/>
                  </pic:nvPicPr>
                  <pic:blipFill>
                    <a:blip r:embed="rId35"/>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4" name="Picture 24"/>
            <wp:cNvGraphicFramePr>
              <a:graphicFrameLocks noChangeAspect="1"/>
            </wp:cNvGraphicFramePr>
            <a:graphic>
              <a:graphicData uri="http://schemas.openxmlformats.org/drawingml/2006/picture">
                <pic:pic>
                  <pic:nvPicPr>
                    <pic:cNvPr id="0" name="twin_toxcast_dose_response.png"/>
                    <pic:cNvPicPr/>
                  </pic:nvPicPr>
                  <pic:blipFill>
                    <a:blip r:embed="rId36"/>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retained concentration the twin's sign agrees with the real one for 9 of 13 compounds. Three of the four that differ are GABA-A antagonists whose real firing rate collapses at the top concentration where the twin's disinhibition knob raises it; the fourth is the one barbiturate, where the real change is small and the twin's knob is weak.</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pPr>
        <w:keepNext/>
        <w:spacing w:before="240" w:after="60"/>
      </w:pPr>
      <w:r>
        <w:rPr>
          <w:rFonts w:ascii="Calibri" w:hAnsi="Calibri"/>
          <w:b/>
          <w:i w:val="0"/>
          <w:color w:val="1F4E79"/>
          <w:sz w:val="23"/>
        </w:rPr>
        <w:t>36. Is a human iPSC chip noisier than a rat one? Split-half noise from one lab</w:t>
      </w:r>
    </w:p>
    <w:p>
      <w:pPr>
        <w:spacing w:after="120"/>
      </w:pPr>
      <w:r>
        <w:rPr>
          <w:rFonts w:ascii="Calibri" w:hAnsi="Calibri"/>
          <w:b w:val="0"/>
          <w:i w:val="0"/>
          <w:color w:val="222222"/>
          <w:sz w:val="21"/>
        </w:rPr>
        <w:t>§32 tells a lab how many wells a rat cortical chip needs. The obvious next question is about human iPSC-derived chips, and the public data we have cannot answer it the way §32 does: the Kapucu et al. 2022 deposit (Creative Commons Attribution licence) records human and rat cultures in one lab with one protocol, but has too few untreated wells recorded twice. What it does have is long untreated recordings in both species. So we cut each one in half and asked how much an untreated well's readouts move between the two halves of a single recording, per species.</w:t>
      </w:r>
    </w:p>
    <w:p>
      <w:pPr>
        <w:keepNext/>
        <w:spacing w:after="120"/>
      </w:pPr>
      <w:r>
        <w:rPr>
          <w:rFonts w:ascii="Calibri" w:hAnsi="Calibri"/>
          <w:b w:val="0"/>
          <w:i w:val="0"/>
          <w:color w:val="222222"/>
          <w:sz w:val="21"/>
        </w:rPr>
        <w:t xml:space="preserve">Registered first (decision D32, </w:t>
      </w:r>
      <w:r>
        <w:rPr>
          <w:rFonts w:ascii="Consolas" w:hAnsi="Consolas"/>
          <w:b w:val="0"/>
          <w:i w:val="0"/>
          <w:color w:val="222222"/>
          <w:sz w:val="19"/>
        </w:rPr>
        <w:t>preregistration/hpsc_split_half.json</w:t>
      </w:r>
      <w:r>
        <w:rPr>
          <w:rFonts w:ascii="Calibri" w:hAnsi="Calibri"/>
          <w:b w:val="0"/>
          <w:i w:val="0"/>
          <w:color w:val="222222"/>
          <w:sz w:val="21"/>
        </w:rPr>
        <w:t xml:space="preserve">, committed before any half-recording feature was computed; the code and its tests were committed before the first real-data run). Each well's recording is cut at half its duration and both halves go through the same </w:t>
      </w:r>
      <w:r>
        <w:rPr>
          <w:rFonts w:ascii="Consolas" w:hAnsi="Consolas"/>
          <w:b w:val="0"/>
          <w:i w:val="0"/>
          <w:color w:val="222222"/>
          <w:sz w:val="19"/>
        </w:rPr>
        <w:t>features/mea.py</w:t>
      </w:r>
      <w:r>
        <w:rPr>
          <w:rFonts w:ascii="Calibri" w:hAnsi="Calibri"/>
          <w:b w:val="0"/>
          <w:i w:val="0"/>
          <w:color w:val="222222"/>
          <w:sz w:val="21"/>
        </w:rPr>
        <w:t xml:space="preserve"> extractor as everything else. A well is usable if it is not excluded upstream and has at least 10 active electrodes in each half. The change in each feature is d = log2(second half / first half), with the ratio floored so that an abolished readout counts as a fixed large fall. The noise is the SD of d across wells, and R = SD human / SD rat, with a 95% interval from resampling wells within each species. The primary pool is the lab's two matched 48-well untreated baselines: human DIV29, 30 minutes, 24 usable wells of 48, the other half excluded upstream; rat DIV22, 30 minutes, 38 usable wells of 48. The replication pool is the lab's 12-well developmental plates, every 10-minute recording at DIV28 or later for human and DIV21 or later for rat: 144 usable recordings from 12 human wells, and 58 from 12 rat wells.</w:t>
      </w:r>
    </w:p>
    <w:p>
      <w:pPr>
        <w:keepNext/>
        <w:spacing w:before="120" w:after="40"/>
        <w:jc w:val="center"/>
      </w:pPr>
      <w:r>
        <w:drawing>
          <wp:inline xmlns:a="http://schemas.openxmlformats.org/drawingml/2006/main" xmlns:pic="http://schemas.openxmlformats.org/drawingml/2006/picture">
            <wp:extent cx="5394960" cy="1945561"/>
            <wp:docPr id="25" name="Picture 25"/>
            <wp:cNvGraphicFramePr>
              <a:graphicFrameLocks noChangeAspect="1"/>
            </wp:cNvGraphicFramePr>
            <a:graphic>
              <a:graphicData uri="http://schemas.openxmlformats.org/drawingml/2006/picture">
                <pic:pic>
                  <pic:nvPicPr>
                    <pic:cNvPr id="0" name="hpsc_split_half_real.png"/>
                    <pic:cNvPicPr/>
                  </pic:nvPicPr>
                  <pic:blipFill>
                    <a:blip r:embed="rId37"/>
                    <a:stretch>
                      <a:fillRect/>
                    </a:stretch>
                  </pic:blipFill>
                  <pic:spPr>
                    <a:xfrm>
                      <a:off x="0" y="0"/>
                      <a:ext cx="5394960" cy="1945561"/>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REAL data, Kapucu 2022, one lab. Left: R = SD human / SD rat of the split-half change for each readout, with its 95% interval, on the 48-well baselines (circles) and the 12-well developmental plates (squares); right of the dashed line, the human wells move more. Middle: each usable 48-well baseline well's firing-rate change between the halves. Right: the size of that change against the well's firing rate, with the band where the two species' firing rates overlap.</w:t>
      </w:r>
    </w:p>
    <w:p>
      <w:pPr>
        <w:spacing w:after="120"/>
      </w:pPr>
      <w:r>
        <w:rPr>
          <w:rFonts w:ascii="Calibri" w:hAnsi="Calibri"/>
          <w:b/>
          <w:i w:val="0"/>
          <w:color w:val="156082"/>
          <w:sz w:val="21"/>
        </w:rPr>
        <w:t>Two of the three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P1 (human firing rate noisier) passes.</w:t>
      </w:r>
      <w:r>
        <w:rPr>
          <w:rFonts w:ascii="Calibri" w:hAnsi="Calibri"/>
          <w:b w:val="0"/>
          <w:i w:val="0"/>
          <w:color w:val="222222"/>
          <w:sz w:val="21"/>
        </w:rPr>
        <w:t xml:space="preserve"> On the matched baselines the human wells' firing rate moves about twice as much between halves: SD 0.21 against 0.10 (log2), R = 2.06, 95% interval 1.39 to 3.56, entirely above 1 as the registration required.</w:t>
      </w:r>
    </w:p>
    <w:p>
      <w:pPr>
        <w:spacing w:after="120"/>
        <w:ind w:left="432" w:hanging="259"/>
      </w:pPr>
      <w:r>
        <w:rPr>
          <w:rFonts w:ascii="Calibri" w:hAnsi="Calibri"/>
          <w:b w:val="0"/>
          <w:i w:val="0"/>
          <w:color w:val="222222"/>
          <w:sz w:val="21"/>
        </w:rPr>
        <w:t>•</w:t>
        <w:tab/>
      </w:r>
      <w:r>
        <w:rPr>
          <w:rFonts w:ascii="Calibri" w:hAnsi="Calibri"/>
          <w:b/>
          <w:i w:val="0"/>
          <w:color w:val="156082"/>
          <w:sz w:val="21"/>
        </w:rPr>
        <w:t>P2 (noisier across readouts) fails.</w:t>
      </w:r>
      <w:r>
        <w:rPr>
          <w:rFonts w:ascii="Calibri" w:hAnsi="Calibri"/>
          <w:b w:val="0"/>
          <w:i w:val="0"/>
          <w:color w:val="222222"/>
          <w:sz w:val="21"/>
        </w:rPr>
        <w:t xml:space="preserve"> The human wells are noisier on only 4 of the 8 scored readouts, against the 5 registered: firing rate, burst duration, spikes per burst and ISI CV. On the share of spikes in bursts the rat wells are clearly the noisier (R = 0.36, 0.21 to 0.65), and on synchrony narrowly so. On these baselines the difference is specific to some readouts, firing rate among them, not a general property of the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P3 (replicates on the developmental plates) passes, as registered, on its point estimate only.</w:t>
      </w:r>
      <w:r>
        <w:rPr>
          <w:rFonts w:ascii="Calibri" w:hAnsi="Calibri"/>
          <w:b w:val="0"/>
          <w:i w:val="0"/>
          <w:color w:val="222222"/>
          <w:sz w:val="21"/>
        </w:rPr>
        <w:t xml:space="preserve"> R for firing rate is 1.54, above 1, but its 95% interval, 0.75 to 2.95, includes 1: twelve wells per species replicate the direction, not the certainty. On these plates the human wells are the noisier on every readout but ISI CV, so the readout pattern that made P2 fail does not repeat either; we read neither pool's pattern beyond firing rate as settled.</w:t>
      </w:r>
    </w:p>
    <w:p>
      <w:pPr>
        <w:keepNext/>
        <w:spacing w:after="120"/>
      </w:pPr>
      <w:r>
        <w:rPr>
          <w:rFonts w:ascii="Calibri" w:hAnsi="Calibri"/>
          <w:b w:val="0"/>
          <w:i w:val="0"/>
          <w:color w:val="222222"/>
          <w:sz w:val="21"/>
        </w:rPr>
        <w:t>Every readout, both pools (SD of the split-half change in log2; R with its percentile interval from the well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05"/>
        <w:gridCol w:w="1868"/>
        <w:gridCol w:w="1396"/>
        <w:gridCol w:w="2330"/>
        <w:gridCol w:w="1396"/>
      </w:tblGrid>
      <w:tr>
        <w:trPr>
          <w:cantSplit/>
          <w:tblHeader/>
        </w:trPr>
        <w:tc>
          <w:tcPr>
            <w:tcW w:type="dxa" w:w="1505"/>
            <w:shd w:val="clear" w:color="auto" w:fill="1F4E79"/>
            <w:vAlign w:val="center"/>
          </w:tcPr>
          <w:p>
            <w:pPr>
              <w:keepNext/>
              <w:spacing w:after="0"/>
            </w:pPr>
            <w:r>
              <w:rPr>
                <w:rFonts w:ascii="Calibri" w:hAnsi="Calibri"/>
                <w:b/>
                <w:i w:val="0"/>
                <w:color w:val="FFFFFF"/>
                <w:sz w:val="20"/>
              </w:rPr>
              <w:t>readout</w:t>
            </w:r>
          </w:p>
        </w:tc>
        <w:tc>
          <w:tcPr>
            <w:tcW w:type="dxa" w:w="1868"/>
            <w:shd w:val="clear" w:color="auto" w:fill="1F4E79"/>
            <w:vAlign w:val="center"/>
          </w:tcPr>
          <w:p>
            <w:pPr>
              <w:keepNext/>
              <w:spacing w:after="0"/>
              <w:jc w:val="center"/>
            </w:pPr>
            <w:r>
              <w:rPr>
                <w:rFonts w:ascii="Calibri" w:hAnsi="Calibri"/>
                <w:b/>
                <w:i w:val="0"/>
                <w:color w:val="FFFFFF"/>
                <w:sz w:val="20"/>
              </w:rPr>
              <w:t>48-well baselines: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c>
          <w:tcPr>
            <w:tcW w:type="dxa" w:w="2330"/>
            <w:shd w:val="clear" w:color="auto" w:fill="1F4E79"/>
            <w:vAlign w:val="center"/>
          </w:tcPr>
          <w:p>
            <w:pPr>
              <w:keepNext/>
              <w:spacing w:after="0"/>
              <w:jc w:val="center"/>
            </w:pPr>
            <w:r>
              <w:rPr>
                <w:rFonts w:ascii="Calibri" w:hAnsi="Calibri"/>
                <w:b/>
                <w:i w:val="0"/>
                <w:color w:val="FFFFFF"/>
                <w:sz w:val="20"/>
              </w:rPr>
              <w:t>12-well developmental: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r>
      <w:tr>
        <w:trPr>
          <w:cantSplit/>
        </w:trPr>
        <w:tc>
          <w:tcPr>
            <w:tcW w:type="dxa" w:w="1505"/>
            <w:shd w:val="clear" w:color="auto" w:fill="FFFFFF"/>
            <w:vAlign w:val="center"/>
          </w:tcPr>
          <w:p>
            <w:pPr>
              <w:keepNext/>
              <w:spacing w:after="0"/>
            </w:pPr>
            <w:r>
              <w:rPr>
                <w:rFonts w:ascii="Calibri" w:hAnsi="Calibri"/>
                <w:b/>
                <w:i w:val="0"/>
                <w:color w:val="222222"/>
                <w:sz w:val="20"/>
              </w:rPr>
              <w:t>mfr hz</w:t>
            </w:r>
          </w:p>
        </w:tc>
        <w:tc>
          <w:tcPr>
            <w:tcW w:type="dxa" w:w="1868"/>
            <w:shd w:val="clear" w:color="auto" w:fill="FFFFFF"/>
            <w:vAlign w:val="center"/>
          </w:tcPr>
          <w:p>
            <w:pPr>
              <w:keepNext/>
              <w:spacing w:after="0"/>
              <w:jc w:val="center"/>
            </w:pPr>
            <w:r>
              <w:rPr>
                <w:rFonts w:ascii="Calibri" w:hAnsi="Calibri"/>
                <w:b w:val="0"/>
                <w:i w:val="0"/>
                <w:color w:val="222222"/>
                <w:sz w:val="20"/>
              </w:rPr>
              <w:t>0.21 / 0.10</w:t>
            </w:r>
          </w:p>
        </w:tc>
        <w:tc>
          <w:tcPr>
            <w:tcW w:type="dxa" w:w="1396"/>
            <w:shd w:val="clear" w:color="auto" w:fill="FFFFFF"/>
            <w:vAlign w:val="center"/>
          </w:tcPr>
          <w:p>
            <w:pPr>
              <w:keepNext/>
              <w:spacing w:after="0"/>
            </w:pPr>
            <w:r>
              <w:rPr>
                <w:rFonts w:ascii="Calibri" w:hAnsi="Calibri"/>
                <w:b w:val="0"/>
                <w:i w:val="0"/>
                <w:color w:val="222222"/>
                <w:sz w:val="20"/>
              </w:rPr>
              <w:t>2.06 (1.39 to 3.56)</w:t>
            </w:r>
          </w:p>
        </w:tc>
        <w:tc>
          <w:tcPr>
            <w:tcW w:type="dxa" w:w="2330"/>
            <w:shd w:val="clear" w:color="auto" w:fill="FFFFFF"/>
            <w:vAlign w:val="center"/>
          </w:tcPr>
          <w:p>
            <w:pPr>
              <w:keepNext/>
              <w:spacing w:after="0"/>
              <w:jc w:val="center"/>
            </w:pPr>
            <w:r>
              <w:rPr>
                <w:rFonts w:ascii="Calibri" w:hAnsi="Calibri"/>
                <w:b w:val="0"/>
                <w:i w:val="0"/>
                <w:color w:val="222222"/>
                <w:sz w:val="20"/>
              </w:rPr>
              <w:t>0.42 / 0.28</w:t>
            </w:r>
          </w:p>
        </w:tc>
        <w:tc>
          <w:tcPr>
            <w:tcW w:type="dxa" w:w="1396"/>
            <w:shd w:val="clear" w:color="auto" w:fill="FFFFFF"/>
            <w:vAlign w:val="center"/>
          </w:tcPr>
          <w:p>
            <w:pPr>
              <w:keepNext/>
              <w:spacing w:after="0"/>
            </w:pPr>
            <w:r>
              <w:rPr>
                <w:rFonts w:ascii="Calibri" w:hAnsi="Calibri"/>
                <w:b w:val="0"/>
                <w:i w:val="0"/>
                <w:color w:val="222222"/>
                <w:sz w:val="20"/>
              </w:rPr>
              <w:t>1.54 (0.75 to 2.94)</w:t>
            </w:r>
          </w:p>
        </w:tc>
      </w:tr>
      <w:tr>
        <w:trPr>
          <w:cantSplit/>
        </w:trPr>
        <w:tc>
          <w:tcPr>
            <w:tcW w:type="dxa" w:w="1505"/>
            <w:shd w:val="clear" w:color="auto" w:fill="F7F9FB"/>
            <w:vAlign w:val="center"/>
          </w:tcPr>
          <w:p>
            <w:pPr>
              <w:keepNext/>
              <w:spacing w:after="0"/>
            </w:pPr>
            <w:r>
              <w:rPr>
                <w:rFonts w:ascii="Calibri" w:hAnsi="Calibri"/>
                <w:b/>
                <w:i w:val="0"/>
                <w:color w:val="222222"/>
                <w:sz w:val="20"/>
              </w:rPr>
              <w:t>burst rate per min</w:t>
            </w:r>
          </w:p>
        </w:tc>
        <w:tc>
          <w:tcPr>
            <w:tcW w:type="dxa" w:w="1868"/>
            <w:shd w:val="clear" w:color="auto" w:fill="F7F9FB"/>
            <w:vAlign w:val="center"/>
          </w:tcPr>
          <w:p>
            <w:pPr>
              <w:keepNext/>
              <w:spacing w:after="0"/>
              <w:jc w:val="center"/>
            </w:pPr>
            <w:r>
              <w:rPr>
                <w:rFonts w:ascii="Calibri" w:hAnsi="Calibri"/>
                <w:b w:val="0"/>
                <w:i w:val="0"/>
                <w:color w:val="222222"/>
                <w:sz w:val="20"/>
              </w:rPr>
              <w:t>0.18 / 0.25</w:t>
            </w:r>
          </w:p>
        </w:tc>
        <w:tc>
          <w:tcPr>
            <w:tcW w:type="dxa" w:w="1396"/>
            <w:shd w:val="clear" w:color="auto" w:fill="F7F9FB"/>
            <w:vAlign w:val="center"/>
          </w:tcPr>
          <w:p>
            <w:pPr>
              <w:keepNext/>
              <w:spacing w:after="0"/>
            </w:pPr>
            <w:r>
              <w:rPr>
                <w:rFonts w:ascii="Calibri" w:hAnsi="Calibri"/>
                <w:b w:val="0"/>
                <w:i w:val="0"/>
                <w:color w:val="222222"/>
                <w:sz w:val="20"/>
              </w:rPr>
              <w:t>0.73 (0.49 to 1.15)</w:t>
            </w:r>
          </w:p>
        </w:tc>
        <w:tc>
          <w:tcPr>
            <w:tcW w:type="dxa" w:w="2330"/>
            <w:shd w:val="clear" w:color="auto" w:fill="F7F9FB"/>
            <w:vAlign w:val="center"/>
          </w:tcPr>
          <w:p>
            <w:pPr>
              <w:keepNext/>
              <w:spacing w:after="0"/>
              <w:jc w:val="center"/>
            </w:pPr>
            <w:r>
              <w:rPr>
                <w:rFonts w:ascii="Calibri" w:hAnsi="Calibri"/>
                <w:b w:val="0"/>
                <w:i w:val="0"/>
                <w:color w:val="222222"/>
                <w:sz w:val="20"/>
              </w:rPr>
              <w:t>0.50 / 0.23</w:t>
            </w:r>
          </w:p>
        </w:tc>
        <w:tc>
          <w:tcPr>
            <w:tcW w:type="dxa" w:w="1396"/>
            <w:shd w:val="clear" w:color="auto" w:fill="F7F9FB"/>
            <w:vAlign w:val="center"/>
          </w:tcPr>
          <w:p>
            <w:pPr>
              <w:keepNext/>
              <w:spacing w:after="0"/>
            </w:pPr>
            <w:r>
              <w:rPr>
                <w:rFonts w:ascii="Calibri" w:hAnsi="Calibri"/>
                <w:b w:val="0"/>
                <w:i w:val="0"/>
                <w:color w:val="222222"/>
                <w:sz w:val="20"/>
              </w:rPr>
              <w:t>2.23 (1.57 to 3.45)</w:t>
            </w:r>
          </w:p>
        </w:tc>
      </w:tr>
      <w:tr>
        <w:trPr>
          <w:cantSplit/>
        </w:trPr>
        <w:tc>
          <w:tcPr>
            <w:tcW w:type="dxa" w:w="1505"/>
            <w:shd w:val="clear" w:color="auto" w:fill="FFFFFF"/>
            <w:vAlign w:val="center"/>
          </w:tcPr>
          <w:p>
            <w:pPr>
              <w:keepNext/>
              <w:spacing w:after="0"/>
            </w:pPr>
            <w:r>
              <w:rPr>
                <w:rFonts w:ascii="Calibri" w:hAnsi="Calibri"/>
                <w:b/>
                <w:i w:val="0"/>
                <w:color w:val="222222"/>
                <w:sz w:val="20"/>
              </w:rPr>
              <w:t>burst duration s</w:t>
            </w:r>
          </w:p>
        </w:tc>
        <w:tc>
          <w:tcPr>
            <w:tcW w:type="dxa" w:w="1868"/>
            <w:shd w:val="clear" w:color="auto" w:fill="FFFFFF"/>
            <w:vAlign w:val="center"/>
          </w:tcPr>
          <w:p>
            <w:pPr>
              <w:keepNext/>
              <w:spacing w:after="0"/>
              <w:jc w:val="center"/>
            </w:pPr>
            <w:r>
              <w:rPr>
                <w:rFonts w:ascii="Calibri" w:hAnsi="Calibri"/>
                <w:b w:val="0"/>
                <w:i w:val="0"/>
                <w:color w:val="222222"/>
                <w:sz w:val="20"/>
              </w:rPr>
              <w:t>0.11 / 0.08</w:t>
            </w:r>
          </w:p>
        </w:tc>
        <w:tc>
          <w:tcPr>
            <w:tcW w:type="dxa" w:w="1396"/>
            <w:shd w:val="clear" w:color="auto" w:fill="FFFFFF"/>
            <w:vAlign w:val="center"/>
          </w:tcPr>
          <w:p>
            <w:pPr>
              <w:keepNext/>
              <w:spacing w:after="0"/>
            </w:pPr>
            <w:r>
              <w:rPr>
                <w:rFonts w:ascii="Calibri" w:hAnsi="Calibri"/>
                <w:b w:val="0"/>
                <w:i w:val="0"/>
                <w:color w:val="222222"/>
                <w:sz w:val="20"/>
              </w:rPr>
              <w:t>1.35 (0.82 to 2.43)</w:t>
            </w:r>
          </w:p>
        </w:tc>
        <w:tc>
          <w:tcPr>
            <w:tcW w:type="dxa" w:w="2330"/>
            <w:shd w:val="clear" w:color="auto" w:fill="FFFFFF"/>
            <w:vAlign w:val="center"/>
          </w:tcPr>
          <w:p>
            <w:pPr>
              <w:keepNext/>
              <w:spacing w:after="0"/>
              <w:jc w:val="center"/>
            </w:pPr>
            <w:r>
              <w:rPr>
                <w:rFonts w:ascii="Calibri" w:hAnsi="Calibri"/>
                <w:b w:val="0"/>
                <w:i w:val="0"/>
                <w:color w:val="222222"/>
                <w:sz w:val="20"/>
              </w:rPr>
              <w:t>0.37 / 0.21</w:t>
            </w:r>
          </w:p>
        </w:tc>
        <w:tc>
          <w:tcPr>
            <w:tcW w:type="dxa" w:w="1396"/>
            <w:shd w:val="clear" w:color="auto" w:fill="FFFFFF"/>
            <w:vAlign w:val="center"/>
          </w:tcPr>
          <w:p>
            <w:pPr>
              <w:keepNext/>
              <w:spacing w:after="0"/>
            </w:pPr>
            <w:r>
              <w:rPr>
                <w:rFonts w:ascii="Calibri" w:hAnsi="Calibri"/>
                <w:b w:val="0"/>
                <w:i w:val="0"/>
                <w:color w:val="222222"/>
                <w:sz w:val="20"/>
              </w:rPr>
              <w:t>1.73 (0.55 to 3.65)</w:t>
            </w:r>
          </w:p>
        </w:tc>
      </w:tr>
      <w:tr>
        <w:trPr>
          <w:cantSplit/>
        </w:trPr>
        <w:tc>
          <w:tcPr>
            <w:tcW w:type="dxa" w:w="1505"/>
            <w:shd w:val="clear" w:color="auto" w:fill="F7F9FB"/>
            <w:vAlign w:val="center"/>
          </w:tcPr>
          <w:p>
            <w:pPr>
              <w:keepNext/>
              <w:spacing w:after="0"/>
            </w:pPr>
            <w:r>
              <w:rPr>
                <w:rFonts w:ascii="Calibri" w:hAnsi="Calibri"/>
                <w:b/>
                <w:i w:val="0"/>
                <w:color w:val="222222"/>
                <w:sz w:val="20"/>
              </w:rPr>
              <w:t>spikes per burst</w:t>
            </w:r>
          </w:p>
        </w:tc>
        <w:tc>
          <w:tcPr>
            <w:tcW w:type="dxa" w:w="1868"/>
            <w:shd w:val="clear" w:color="auto" w:fill="F7F9FB"/>
            <w:vAlign w:val="center"/>
          </w:tcPr>
          <w:p>
            <w:pPr>
              <w:keepNext/>
              <w:spacing w:after="0"/>
              <w:jc w:val="center"/>
            </w:pPr>
            <w:r>
              <w:rPr>
                <w:rFonts w:ascii="Calibri" w:hAnsi="Calibri"/>
                <w:b w:val="0"/>
                <w:i w:val="0"/>
                <w:color w:val="222222"/>
                <w:sz w:val="20"/>
              </w:rPr>
              <w:t>0.16 / 0.08</w:t>
            </w:r>
          </w:p>
        </w:tc>
        <w:tc>
          <w:tcPr>
            <w:tcW w:type="dxa" w:w="1396"/>
            <w:shd w:val="clear" w:color="auto" w:fill="F7F9FB"/>
            <w:vAlign w:val="center"/>
          </w:tcPr>
          <w:p>
            <w:pPr>
              <w:keepNext/>
              <w:spacing w:after="0"/>
            </w:pPr>
            <w:r>
              <w:rPr>
                <w:rFonts w:ascii="Calibri" w:hAnsi="Calibri"/>
                <w:b w:val="0"/>
                <w:i w:val="0"/>
                <w:color w:val="222222"/>
                <w:sz w:val="20"/>
              </w:rPr>
              <w:t>2.07 (1.23 to 3.75)</w:t>
            </w:r>
          </w:p>
        </w:tc>
        <w:tc>
          <w:tcPr>
            <w:tcW w:type="dxa" w:w="2330"/>
            <w:shd w:val="clear" w:color="auto" w:fill="F7F9FB"/>
            <w:vAlign w:val="center"/>
          </w:tcPr>
          <w:p>
            <w:pPr>
              <w:keepNext/>
              <w:spacing w:after="0"/>
              <w:jc w:val="center"/>
            </w:pPr>
            <w:r>
              <w:rPr>
                <w:rFonts w:ascii="Calibri" w:hAnsi="Calibri"/>
                <w:b w:val="0"/>
                <w:i w:val="0"/>
                <w:color w:val="222222"/>
                <w:sz w:val="20"/>
              </w:rPr>
              <w:t>0.41 / 0.25</w:t>
            </w:r>
          </w:p>
        </w:tc>
        <w:tc>
          <w:tcPr>
            <w:tcW w:type="dxa" w:w="1396"/>
            <w:shd w:val="clear" w:color="auto" w:fill="F7F9FB"/>
            <w:vAlign w:val="center"/>
          </w:tcPr>
          <w:p>
            <w:pPr>
              <w:keepNext/>
              <w:spacing w:after="0"/>
            </w:pPr>
            <w:r>
              <w:rPr>
                <w:rFonts w:ascii="Calibri" w:hAnsi="Calibri"/>
                <w:b w:val="0"/>
                <w:i w:val="0"/>
                <w:color w:val="222222"/>
                <w:sz w:val="20"/>
              </w:rPr>
              <w:t>1.61 (0.60 to 3.16)</w:t>
            </w:r>
          </w:p>
        </w:tc>
      </w:tr>
      <w:tr>
        <w:trPr>
          <w:cantSplit/>
        </w:trPr>
        <w:tc>
          <w:tcPr>
            <w:tcW w:type="dxa" w:w="1505"/>
            <w:shd w:val="clear" w:color="auto" w:fill="FFFFFF"/>
            <w:vAlign w:val="center"/>
          </w:tcPr>
          <w:p>
            <w:pPr>
              <w:keepNext/>
              <w:spacing w:after="0"/>
            </w:pPr>
            <w:r>
              <w:rPr>
                <w:rFonts w:ascii="Calibri" w:hAnsi="Calibri"/>
                <w:b/>
                <w:i w:val="0"/>
                <w:color w:val="222222"/>
                <w:sz w:val="20"/>
              </w:rPr>
              <w:t>pct spikes in bursts</w:t>
            </w:r>
          </w:p>
        </w:tc>
        <w:tc>
          <w:tcPr>
            <w:tcW w:type="dxa" w:w="1868"/>
            <w:shd w:val="clear" w:color="auto" w:fill="FFFFFF"/>
            <w:vAlign w:val="center"/>
          </w:tcPr>
          <w:p>
            <w:pPr>
              <w:keepNext/>
              <w:spacing w:after="0"/>
              <w:jc w:val="center"/>
            </w:pPr>
            <w:r>
              <w:rPr>
                <w:rFonts w:ascii="Calibri" w:hAnsi="Calibri"/>
                <w:b w:val="0"/>
                <w:i w:val="0"/>
                <w:color w:val="222222"/>
                <w:sz w:val="20"/>
              </w:rPr>
              <w:t>0.07 / 0.20</w:t>
            </w:r>
          </w:p>
        </w:tc>
        <w:tc>
          <w:tcPr>
            <w:tcW w:type="dxa" w:w="1396"/>
            <w:shd w:val="clear" w:color="auto" w:fill="FFFFFF"/>
            <w:vAlign w:val="center"/>
          </w:tcPr>
          <w:p>
            <w:pPr>
              <w:keepNext/>
              <w:spacing w:after="0"/>
            </w:pPr>
            <w:r>
              <w:rPr>
                <w:rFonts w:ascii="Calibri" w:hAnsi="Calibri"/>
                <w:b w:val="0"/>
                <w:i w:val="0"/>
                <w:color w:val="222222"/>
                <w:sz w:val="20"/>
              </w:rPr>
              <w:t>0.35 (0.21 to 0.65)</w:t>
            </w:r>
          </w:p>
        </w:tc>
        <w:tc>
          <w:tcPr>
            <w:tcW w:type="dxa" w:w="2330"/>
            <w:shd w:val="clear" w:color="auto" w:fill="FFFFFF"/>
            <w:vAlign w:val="center"/>
          </w:tcPr>
          <w:p>
            <w:pPr>
              <w:keepNext/>
              <w:spacing w:after="0"/>
              <w:jc w:val="center"/>
            </w:pPr>
            <w:r>
              <w:rPr>
                <w:rFonts w:ascii="Calibri" w:hAnsi="Calibri"/>
                <w:b w:val="0"/>
                <w:i w:val="0"/>
                <w:color w:val="222222"/>
                <w:sz w:val="20"/>
              </w:rPr>
              <w:t>0.47 / 0.11</w:t>
            </w:r>
          </w:p>
        </w:tc>
        <w:tc>
          <w:tcPr>
            <w:tcW w:type="dxa" w:w="1396"/>
            <w:shd w:val="clear" w:color="auto" w:fill="FFFFFF"/>
            <w:vAlign w:val="center"/>
          </w:tcPr>
          <w:p>
            <w:pPr>
              <w:keepNext/>
              <w:spacing w:after="0"/>
            </w:pPr>
            <w:r>
              <w:rPr>
                <w:rFonts w:ascii="Calibri" w:hAnsi="Calibri"/>
                <w:b w:val="0"/>
                <w:i w:val="0"/>
                <w:color w:val="222222"/>
                <w:sz w:val="20"/>
              </w:rPr>
              <w:t>4.14 (2.36 to 9.56)</w:t>
            </w:r>
          </w:p>
        </w:tc>
      </w:tr>
      <w:tr>
        <w:trPr>
          <w:cantSplit/>
        </w:trPr>
        <w:tc>
          <w:tcPr>
            <w:tcW w:type="dxa" w:w="1505"/>
            <w:shd w:val="clear" w:color="auto" w:fill="F7F9FB"/>
            <w:vAlign w:val="center"/>
          </w:tcPr>
          <w:p>
            <w:pPr>
              <w:keepNext/>
              <w:spacing w:after="0"/>
            </w:pPr>
            <w:r>
              <w:rPr>
                <w:rFonts w:ascii="Calibri" w:hAnsi="Calibri"/>
                <w:b/>
                <w:i w:val="0"/>
                <w:color w:val="222222"/>
                <w:sz w:val="20"/>
              </w:rPr>
              <w:t>network burst rate per min</w:t>
            </w:r>
          </w:p>
        </w:tc>
        <w:tc>
          <w:tcPr>
            <w:tcW w:type="dxa" w:w="1868"/>
            <w:shd w:val="clear" w:color="auto" w:fill="F7F9FB"/>
            <w:vAlign w:val="center"/>
          </w:tcPr>
          <w:p>
            <w:pPr>
              <w:keepNext/>
              <w:spacing w:after="0"/>
              <w:jc w:val="center"/>
            </w:pPr>
            <w:r>
              <w:rPr>
                <w:rFonts w:ascii="Calibri" w:hAnsi="Calibri"/>
                <w:b w:val="0"/>
                <w:i w:val="0"/>
                <w:color w:val="222222"/>
                <w:sz w:val="20"/>
              </w:rPr>
              <w:t>1.01 / 1.49</w:t>
            </w:r>
          </w:p>
        </w:tc>
        <w:tc>
          <w:tcPr>
            <w:tcW w:type="dxa" w:w="1396"/>
            <w:shd w:val="clear" w:color="auto" w:fill="F7F9FB"/>
            <w:vAlign w:val="center"/>
          </w:tcPr>
          <w:p>
            <w:pPr>
              <w:keepNext/>
              <w:spacing w:after="0"/>
            </w:pPr>
            <w:r>
              <w:rPr>
                <w:rFonts w:ascii="Calibri" w:hAnsi="Calibri"/>
                <w:b w:val="0"/>
                <w:i w:val="0"/>
                <w:color w:val="222222"/>
                <w:sz w:val="20"/>
              </w:rPr>
              <w:t>0.68 (0.37 to 1.22)</w:t>
            </w:r>
          </w:p>
        </w:tc>
        <w:tc>
          <w:tcPr>
            <w:tcW w:type="dxa" w:w="2330"/>
            <w:shd w:val="clear" w:color="auto" w:fill="F7F9FB"/>
            <w:vAlign w:val="center"/>
          </w:tcPr>
          <w:p>
            <w:pPr>
              <w:keepNext/>
              <w:spacing w:after="0"/>
              <w:jc w:val="center"/>
            </w:pPr>
            <w:r>
              <w:rPr>
                <w:rFonts w:ascii="Calibri" w:hAnsi="Calibri"/>
                <w:b w:val="0"/>
                <w:i w:val="0"/>
                <w:color w:val="222222"/>
                <w:sz w:val="20"/>
              </w:rPr>
              <w:t>1.62 / 0.65</w:t>
            </w:r>
          </w:p>
        </w:tc>
        <w:tc>
          <w:tcPr>
            <w:tcW w:type="dxa" w:w="1396"/>
            <w:shd w:val="clear" w:color="auto" w:fill="F7F9FB"/>
            <w:vAlign w:val="center"/>
          </w:tcPr>
          <w:p>
            <w:pPr>
              <w:keepNext/>
              <w:spacing w:after="0"/>
            </w:pPr>
            <w:r>
              <w:rPr>
                <w:rFonts w:ascii="Calibri" w:hAnsi="Calibri"/>
                <w:b w:val="0"/>
                <w:i w:val="0"/>
                <w:color w:val="222222"/>
                <w:sz w:val="20"/>
              </w:rPr>
              <w:t>2.47 (1.46 to 6.41)</w:t>
            </w:r>
          </w:p>
        </w:tc>
      </w:tr>
      <w:tr>
        <w:trPr>
          <w:cantSplit/>
        </w:trPr>
        <w:tc>
          <w:tcPr>
            <w:tcW w:type="dxa" w:w="1505"/>
            <w:shd w:val="clear" w:color="auto" w:fill="FFFFFF"/>
            <w:vAlign w:val="center"/>
          </w:tcPr>
          <w:p>
            <w:pPr>
              <w:keepNext/>
              <w:spacing w:after="0"/>
            </w:pPr>
            <w:r>
              <w:rPr>
                <w:rFonts w:ascii="Calibri" w:hAnsi="Calibri"/>
                <w:b/>
                <w:i w:val="0"/>
                <w:color w:val="222222"/>
                <w:sz w:val="20"/>
              </w:rPr>
              <w:t>synchrony index</w:t>
            </w:r>
          </w:p>
        </w:tc>
        <w:tc>
          <w:tcPr>
            <w:tcW w:type="dxa" w:w="1868"/>
            <w:shd w:val="clear" w:color="auto" w:fill="FFFFFF"/>
            <w:vAlign w:val="center"/>
          </w:tcPr>
          <w:p>
            <w:pPr>
              <w:keepNext/>
              <w:spacing w:after="0"/>
              <w:jc w:val="center"/>
            </w:pPr>
            <w:r>
              <w:rPr>
                <w:rFonts w:ascii="Calibri" w:hAnsi="Calibri"/>
                <w:b w:val="0"/>
                <w:i w:val="0"/>
                <w:color w:val="222222"/>
                <w:sz w:val="20"/>
              </w:rPr>
              <w:t>0.19 / 0.46</w:t>
            </w:r>
          </w:p>
        </w:tc>
        <w:tc>
          <w:tcPr>
            <w:tcW w:type="dxa" w:w="1396"/>
            <w:shd w:val="clear" w:color="auto" w:fill="FFFFFF"/>
            <w:vAlign w:val="center"/>
          </w:tcPr>
          <w:p>
            <w:pPr>
              <w:keepNext/>
              <w:spacing w:after="0"/>
            </w:pPr>
            <w:r>
              <w:rPr>
                <w:rFonts w:ascii="Calibri" w:hAnsi="Calibri"/>
                <w:b w:val="0"/>
                <w:i w:val="0"/>
                <w:color w:val="222222"/>
                <w:sz w:val="20"/>
              </w:rPr>
              <w:t>0.42 (0.23 to 0.99)</w:t>
            </w:r>
          </w:p>
        </w:tc>
        <w:tc>
          <w:tcPr>
            <w:tcW w:type="dxa" w:w="2330"/>
            <w:shd w:val="clear" w:color="auto" w:fill="FFFFFF"/>
            <w:vAlign w:val="center"/>
          </w:tcPr>
          <w:p>
            <w:pPr>
              <w:keepNext/>
              <w:spacing w:after="0"/>
              <w:jc w:val="center"/>
            </w:pPr>
            <w:r>
              <w:rPr>
                <w:rFonts w:ascii="Calibri" w:hAnsi="Calibri"/>
                <w:b w:val="0"/>
                <w:i w:val="0"/>
                <w:color w:val="222222"/>
                <w:sz w:val="20"/>
              </w:rPr>
              <w:t>0.37 / 0.22</w:t>
            </w:r>
          </w:p>
        </w:tc>
        <w:tc>
          <w:tcPr>
            <w:tcW w:type="dxa" w:w="1396"/>
            <w:shd w:val="clear" w:color="auto" w:fill="FFFFFF"/>
            <w:vAlign w:val="center"/>
          </w:tcPr>
          <w:p>
            <w:pPr>
              <w:keepNext/>
              <w:spacing w:after="0"/>
            </w:pPr>
            <w:r>
              <w:rPr>
                <w:rFonts w:ascii="Calibri" w:hAnsi="Calibri"/>
                <w:b w:val="0"/>
                <w:i w:val="0"/>
                <w:color w:val="222222"/>
                <w:sz w:val="20"/>
              </w:rPr>
              <w:t>1.64 (1.16 to 2.80)</w:t>
            </w:r>
          </w:p>
        </w:tc>
      </w:tr>
      <w:tr>
        <w:trPr>
          <w:cantSplit/>
        </w:trPr>
        <w:tc>
          <w:tcPr>
            <w:tcW w:type="dxa" w:w="1505"/>
            <w:shd w:val="clear" w:color="auto" w:fill="F7F9FB"/>
            <w:vAlign w:val="center"/>
          </w:tcPr>
          <w:p>
            <w:pPr>
              <w:keepNext w:val="0"/>
              <w:spacing w:after="0"/>
            </w:pPr>
            <w:r>
              <w:rPr>
                <w:rFonts w:ascii="Calibri" w:hAnsi="Calibri"/>
                <w:b/>
                <w:i w:val="0"/>
                <w:color w:val="222222"/>
                <w:sz w:val="20"/>
              </w:rPr>
              <w:t>isi cv</w:t>
            </w:r>
          </w:p>
        </w:tc>
        <w:tc>
          <w:tcPr>
            <w:tcW w:type="dxa" w:w="1868"/>
            <w:shd w:val="clear" w:color="auto" w:fill="F7F9FB"/>
            <w:vAlign w:val="center"/>
          </w:tcPr>
          <w:p>
            <w:pPr>
              <w:keepNext w:val="0"/>
              <w:spacing w:after="0"/>
              <w:jc w:val="center"/>
            </w:pPr>
            <w:r>
              <w:rPr>
                <w:rFonts w:ascii="Calibri" w:hAnsi="Calibri"/>
                <w:b w:val="0"/>
                <w:i w:val="0"/>
                <w:color w:val="222222"/>
                <w:sz w:val="20"/>
              </w:rPr>
              <w:t>0.11 / 0.03</w:t>
            </w:r>
          </w:p>
        </w:tc>
        <w:tc>
          <w:tcPr>
            <w:tcW w:type="dxa" w:w="1396"/>
            <w:shd w:val="clear" w:color="auto" w:fill="F7F9FB"/>
            <w:vAlign w:val="center"/>
          </w:tcPr>
          <w:p>
            <w:pPr>
              <w:keepNext w:val="0"/>
              <w:spacing w:after="0"/>
            </w:pPr>
            <w:r>
              <w:rPr>
                <w:rFonts w:ascii="Calibri" w:hAnsi="Calibri"/>
                <w:b w:val="0"/>
                <w:i w:val="0"/>
                <w:color w:val="222222"/>
                <w:sz w:val="20"/>
              </w:rPr>
              <w:t>3.11 (2.01 to 4.36)</w:t>
            </w:r>
          </w:p>
        </w:tc>
        <w:tc>
          <w:tcPr>
            <w:tcW w:type="dxa" w:w="2330"/>
            <w:shd w:val="clear" w:color="auto" w:fill="F7F9FB"/>
            <w:vAlign w:val="center"/>
          </w:tcPr>
          <w:p>
            <w:pPr>
              <w:keepNext w:val="0"/>
              <w:spacing w:after="0"/>
              <w:jc w:val="center"/>
            </w:pPr>
            <w:r>
              <w:rPr>
                <w:rFonts w:ascii="Calibri" w:hAnsi="Calibri"/>
                <w:b w:val="0"/>
                <w:i w:val="0"/>
                <w:color w:val="222222"/>
                <w:sz w:val="20"/>
              </w:rPr>
              <w:t>0.15 / 0.22</w:t>
            </w:r>
          </w:p>
        </w:tc>
        <w:tc>
          <w:tcPr>
            <w:tcW w:type="dxa" w:w="1396"/>
            <w:shd w:val="clear" w:color="auto" w:fill="F7F9FB"/>
            <w:vAlign w:val="center"/>
          </w:tcPr>
          <w:p>
            <w:pPr>
              <w:keepNext w:val="0"/>
              <w:spacing w:after="0"/>
            </w:pPr>
            <w:r>
              <w:rPr>
                <w:rFonts w:ascii="Calibri" w:hAnsi="Calibri"/>
                <w:b w:val="0"/>
                <w:i w:val="0"/>
                <w:color w:val="222222"/>
                <w:sz w:val="20"/>
              </w:rPr>
              <w:t>0.70 (0.50 to 1.10)</w:t>
            </w:r>
          </w:p>
        </w:tc>
      </w:tr>
    </w:tbl>
    <w:p>
      <w:pPr>
        <w:spacing w:after="80"/>
      </w:pPr>
    </w:p>
    <w:p>
      <w:pPr>
        <w:spacing w:after="120"/>
      </w:pPr>
      <w:r>
        <w:rPr>
          <w:rFonts w:ascii="Calibri" w:hAnsi="Calibri"/>
          <w:b w:val="0"/>
          <w:i w:val="0"/>
          <w:color w:val="222222"/>
          <w:sz w:val="21"/>
        </w:rPr>
        <w:t>Network burst rate is unscored for a well whose first half has no network burst: that removes 16 rat wells from the baselines and 50 human recordings from the developmental pool, so that readout rests on fewer, and more active, wells than the others.</w:t>
      </w:r>
    </w:p>
    <w:p>
      <w:pPr>
        <w:spacing w:after="120"/>
      </w:pPr>
      <w:r>
        <w:rPr>
          <w:rFonts w:ascii="Calibri" w:hAnsi="Calibri"/>
          <w:b/>
          <w:i w:val="0"/>
          <w:color w:val="156082"/>
          <w:sz w:val="21"/>
        </w:rPr>
        <w:t>Wells needed: a lower bound, reported and not tested.</w:t>
      </w:r>
      <w:r>
        <w:rPr>
          <w:rFonts w:ascii="Calibri" w:hAnsi="Calibri"/>
          <w:b w:val="0"/>
          <w:i w:val="0"/>
          <w:color w:val="222222"/>
          <w:sz w:val="21"/>
        </w:rPr>
        <w:t xml:space="preserve"> From the baselines' firing-rate SD, a same-session comparison at 5% false alarms and 80% power needs at least 7 human wells per arm to detect a 20% fall in firing rate, against at least 2 rat wells; a 50% fall needs at least 1 human and 1 rat well. These are </w:t>
      </w:r>
      <w:r>
        <w:rPr>
          <w:rFonts w:ascii="Calibri" w:hAnsi="Calibri"/>
          <w:b/>
          <w:i w:val="0"/>
          <w:color w:val="222222"/>
          <w:sz w:val="21"/>
        </w:rPr>
        <w:t>lower bounds</w:t>
      </w:r>
      <w:r>
        <w:rPr>
          <w:rFonts w:ascii="Calibri" w:hAnsi="Calibri"/>
          <w:b w:val="0"/>
          <w:i w:val="0"/>
          <w:color w:val="222222"/>
          <w:sz w:val="21"/>
        </w:rPr>
        <w:t>: noise within one untreated recording leaves out handling, compound addition and the day-to-day variation that §32's vehicle wells include, so the numbers a real assay needs should be larger, and they are not to be set beside §32's table, which measures a different noise. What carries over is the ratio: on these data a human iPSC firing-rate readout needed more wells than a rat one for the same change. The follow-up below finds that ratio is mostly a difference in settling, which bears on whether a lab should add wells or wait longer before dosing.</w:t>
      </w:r>
    </w:p>
    <w:p>
      <w:pPr>
        <w:spacing w:after="120"/>
      </w:pPr>
      <w:r>
        <w:rPr>
          <w:rFonts w:ascii="Calibri" w:hAnsi="Calibri"/>
          <w:b/>
          <w:i w:val="0"/>
          <w:color w:val="156082"/>
          <w:sz w:val="21"/>
        </w:rPr>
        <w:t>The assumption this rests on, and the check (registered).</w:t>
      </w:r>
      <w:r>
        <w:rPr>
          <w:rFonts w:ascii="Calibri" w:hAnsi="Calibri"/>
          <w:b w:val="0"/>
          <w:i w:val="0"/>
          <w:color w:val="222222"/>
          <w:sz w:val="21"/>
        </w:rPr>
        <w:t xml:space="preserve"> Fewer spikes give noisier rates, and the two species fire at different rates, so a species difference could be a firing-rate difference. Restricting the baselines to wells whose full-recording firing rate lies inside both species' 10th-90th percentile ranges (3.53 to 4.89 Hz) keeps 7 human and 14 rat wells and gives R = 4.62 (2.19 to 7.89), on the same side of 1 as the full estimate (other side of one: False). At matched firing rates the human wells are, if anything, noisier, though seven wells is few. Two further readings, descriptive and added after the first run: the usable human wells do not have fewer active electrodes than the rat ones (median 16 against 15), so averaging over fewer electrodes does not explain the difference; and both species' firing rate falls from the first half to the second, the human more (mean d −0.32 against −0.17). A fall shared by every well does not enter the SD, but wells that settle at different speeds after the plate goes into the reader would. The registered follow-up below (D35) measured this: on the human baseline nearly all of the split-half spread is each well's own trend over the recording, and the wells differ in how far their firing rate falls early on, so what this section measures for firing rate is mostly uneven settling, not steady-state noise.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in the results under </w:t>
      </w:r>
      <w:r>
        <w:rPr>
          <w:rFonts w:ascii="Consolas" w:hAnsi="Consolas"/>
          <w:b w:val="0"/>
          <w:i w:val="0"/>
          <w:color w:val="222222"/>
          <w:sz w:val="19"/>
        </w:rPr>
        <w:t>implementation_notes</w:t>
      </w:r>
      <w:r>
        <w:rPr>
          <w:rFonts w:ascii="Calibri" w:hAnsi="Calibri"/>
          <w:b w:val="0"/>
          <w:i w:val="0"/>
          <w:color w:val="222222"/>
          <w:sz w:val="21"/>
        </w:rPr>
        <w:t>: a spike exactly at the cut starts the second half; P1 needs the interval's lower end strictly above 1 and P3 a point estimate strictly above 1; P2 is judged on the primary pool with the SD; well counts are distinct wells (plate and well), and on the developmental plates the SD pools all of a species' usable recordings while the bootstrap draws whole wells; the developmental plates' noisy-electrode lists are read from the column for each recording's DIV; synchrony (STTC) can be negative, and a non-positive second half is floored like any other fall; each interval draws from its own generator with the registered seed; and the overlap check uses the usable baseline wells, with percentile ends included.</w:t>
      </w:r>
    </w:p>
    <w:p>
      <w:pPr>
        <w:keepNext/>
        <w:spacing w:before="240" w:after="60"/>
      </w:pPr>
      <w:r>
        <w:rPr>
          <w:rFonts w:ascii="Calibri" w:hAnsi="Calibri"/>
          <w:b/>
          <w:i w:val="0"/>
          <w:color w:val="1F4E79"/>
          <w:sz w:val="23"/>
        </w:rPr>
        <w:t>Registered follow-up: settling or steady noise?</w:t>
      </w:r>
    </w:p>
    <w:p>
      <w:pPr>
        <w:keepNext/>
        <w:spacing w:after="120"/>
      </w:pPr>
      <w:r>
        <w:rPr>
          <w:rFonts w:ascii="Calibri" w:hAnsi="Calibri"/>
          <w:b w:val="0"/>
          <w:i w:val="0"/>
          <w:color w:val="222222"/>
          <w:sz w:val="21"/>
        </w:rPr>
        <w:t xml:space="preserve">The split-half change cannot tell a well that wobbles steadily from a well that is still settling after the plate went into the reader. The two call for different fixes in an assay, so we registered a test that separates them (decision D35, </w:t>
      </w:r>
      <w:r>
        <w:rPr>
          <w:rFonts w:ascii="Consolas" w:hAnsi="Consolas"/>
          <w:b w:val="0"/>
          <w:i w:val="0"/>
          <w:color w:val="222222"/>
          <w:sz w:val="19"/>
        </w:rPr>
        <w:t>preregistration/hpsc_settling.json</w:t>
      </w:r>
      <w:r>
        <w:rPr>
          <w:rFonts w:ascii="Calibri" w:hAnsi="Calibri"/>
          <w:b w:val="0"/>
          <w:i w:val="0"/>
          <w:color w:val="222222"/>
          <w:sz w:val="21"/>
        </w:rPr>
        <w:t>, committed before any window shorter than half a recording was computed; the code and its tests were committed before the first real-data run). Same baselines, same usable wells as above (24 human, 38 rat). Each 30-minute recording is cut into six 5-minute windows; per well, the firing rate is counted on one fixed set of electrodes (those active over the whole recording under the extractor's own rule), so a changing electrode set cannot move it. A straight line fitted to each well's six log2 rates gives its slope b (its settling, in log2 per window) and its residual SD s (the scatter around its own line). The split-half change then splits exactly into a trend part, 3b, and a residual part.</w:t>
      </w:r>
    </w:p>
    <w:p>
      <w:pPr>
        <w:keepNext/>
        <w:spacing w:before="120" w:after="40"/>
        <w:jc w:val="center"/>
      </w:pPr>
      <w:r>
        <w:drawing>
          <wp:inline xmlns:a="http://schemas.openxmlformats.org/drawingml/2006/main" xmlns:pic="http://schemas.openxmlformats.org/drawingml/2006/picture">
            <wp:extent cx="5394960" cy="1501189"/>
            <wp:docPr id="26" name="Picture 26"/>
            <wp:cNvGraphicFramePr>
              <a:graphicFrameLocks noChangeAspect="1"/>
            </wp:cNvGraphicFramePr>
            <a:graphic>
              <a:graphicData uri="http://schemas.openxmlformats.org/drawingml/2006/picture">
                <pic:pic>
                  <pic:nvPicPr>
                    <pic:cNvPr id="0" name="hpsc_settling_real.png"/>
                    <pic:cNvPicPr/>
                  </pic:nvPicPr>
                  <pic:blipFill>
                    <a:blip r:embed="rId38"/>
                    <a:stretch>
                      <a:fillRect/>
                    </a:stretch>
                  </pic:blipFill>
                  <pic:spPr>
                    <a:xfrm>
                      <a:off x="0" y="0"/>
                      <a:ext cx="5394960" cy="1501189"/>
                    </a:xfrm>
                    <a:prstGeom prst="rect"/>
                  </pic:spPr>
                </pic:pic>
              </a:graphicData>
            </a:graphic>
          </wp:inline>
        </w:drawing>
      </w:r>
    </w:p>
    <w:p>
      <w:pPr>
        <w:spacing w:after="200"/>
        <w:jc w:val="center"/>
      </w:pPr>
      <w:r>
        <w:rPr>
          <w:rFonts w:ascii="Calibri" w:hAnsi="Calibri"/>
          <w:b/>
          <w:i/>
          <w:color w:val="222222"/>
          <w:sz w:val="17"/>
        </w:rPr>
        <w:t xml:space="preserve">Figure 26. </w:t>
      </w:r>
      <w:r>
        <w:rPr>
          <w:rFonts w:ascii="Calibri" w:hAnsi="Calibri"/>
          <w:b w:val="0"/>
          <w:i/>
          <w:color w:val="222222"/>
          <w:sz w:val="17"/>
        </w:rPr>
        <w:t>REAL data, Kapucu 2022, one lab. Left two panels: each usable well's log2 firing rate over six 5-minute windows on a fixed electrode set (faint), with the median rate per window (black), human iPSC and rat. Third: each well's within-recording slope. Right: each well's split-half change against its trend part (3b); points on the dashed line are all trend.</w:t>
      </w:r>
    </w:p>
    <w:p>
      <w:pPr>
        <w:spacing w:after="120"/>
      </w:pPr>
      <w:r>
        <w:rPr>
          <w:rFonts w:ascii="Calibri" w:hAnsi="Calibri"/>
          <w:b/>
          <w:i w:val="0"/>
          <w:color w:val="156082"/>
          <w:sz w:val="21"/>
        </w:rPr>
        <w:t>All three registered predictions pass; the registered linearity check fails for the human wells, and that changes how two of them read.</w:t>
      </w:r>
    </w:p>
    <w:p>
      <w:pPr>
        <w:spacing w:after="120"/>
        <w:ind w:left="432" w:hanging="259"/>
      </w:pPr>
      <w:r>
        <w:rPr>
          <w:rFonts w:ascii="Calibri" w:hAnsi="Calibri"/>
          <w:b w:val="0"/>
          <w:i w:val="0"/>
          <w:color w:val="222222"/>
          <w:sz w:val="21"/>
        </w:rPr>
        <w:t>•</w:t>
        <w:tab/>
      </w:r>
      <w:r>
        <w:rPr>
          <w:rFonts w:ascii="Calibri" w:hAnsi="Calibri"/>
          <w:b/>
          <w:i w:val="0"/>
          <w:color w:val="156082"/>
          <w:sz w:val="21"/>
        </w:rPr>
        <w:t>T1 (human wells settle more unevenly) passes.</w:t>
      </w:r>
      <w:r>
        <w:rPr>
          <w:rFonts w:ascii="Calibri" w:hAnsi="Calibri"/>
          <w:b w:val="0"/>
          <w:i w:val="0"/>
          <w:color w:val="222222"/>
          <w:sz w:val="21"/>
        </w:rPr>
        <w:t xml:space="preserve"> The slope varies more across human wells: SD 0.076 against 0.021 log2 per window, a ratio of 3.65 (95% interval 2.72 to 5.04), above 1 as registered. Both species fall on average (mean slope −0.092 human, −0.041 rat).</w:t>
      </w:r>
    </w:p>
    <w:p>
      <w:pPr>
        <w:spacing w:after="120"/>
        <w:ind w:left="432" w:hanging="259"/>
      </w:pPr>
      <w:r>
        <w:rPr>
          <w:rFonts w:ascii="Calibri" w:hAnsi="Calibri"/>
          <w:b w:val="0"/>
          <w:i w:val="0"/>
          <w:color w:val="222222"/>
          <w:sz w:val="21"/>
        </w:rPr>
        <w:t>•</w:t>
        <w:tab/>
      </w:r>
      <w:r>
        <w:rPr>
          <w:rFonts w:ascii="Calibri" w:hAnsi="Calibri"/>
          <w:b/>
          <w:i w:val="0"/>
          <w:color w:val="156082"/>
          <w:sz w:val="21"/>
        </w:rPr>
        <w:t>T2 (human wells noisier around their own trend) passes.</w:t>
      </w:r>
      <w:r>
        <w:rPr>
          <w:rFonts w:ascii="Calibri" w:hAnsi="Calibri"/>
          <w:b w:val="0"/>
          <w:i w:val="0"/>
          <w:color w:val="222222"/>
          <w:sz w:val="21"/>
        </w:rPr>
        <w:t xml:space="preserve"> Median residual SD 0.217 against 0.021, a ratio of 10.2 (7.91 to 11.43). As the linearity check shows, most of this is curvature a straight line misses, not scatter.</w:t>
      </w:r>
    </w:p>
    <w:p>
      <w:pPr>
        <w:spacing w:after="120"/>
        <w:ind w:left="432" w:hanging="259"/>
      </w:pPr>
      <w:r>
        <w:rPr>
          <w:rFonts w:ascii="Calibri" w:hAnsi="Calibri"/>
          <w:b w:val="0"/>
          <w:i w:val="0"/>
          <w:color w:val="222222"/>
          <w:sz w:val="21"/>
        </w:rPr>
        <w:t>•</w:t>
        <w:tab/>
      </w:r>
      <w:r>
        <w:rPr>
          <w:rFonts w:ascii="Calibri" w:hAnsi="Calibri"/>
          <w:b/>
          <w:i w:val="0"/>
          <w:color w:val="156082"/>
          <w:sz w:val="21"/>
        </w:rPr>
        <w:t>T3 (the trend carries most of the human split-half spread) passes.</w:t>
      </w:r>
      <w:r>
        <w:rPr>
          <w:rFonts w:ascii="Calibri" w:hAnsi="Calibri"/>
          <w:b w:val="0"/>
          <w:i w:val="0"/>
          <w:color w:val="222222"/>
          <w:sz w:val="21"/>
        </w:rPr>
        <w:t xml:space="preserve"> The trend part's share of the variance of the split-half change is 0.996 in human wells (registered threshold 0.5), and 0.946 in rat wells. A caution we found only when implementing it: a straight line on six windows absorbs part of pure steady noise too, so with no settling at all this share would be about 0.77, above the registered threshold. The pass alone therefore does not separate settling from noise. What does is how far above that reference the human share sits (descriptive interval 0.93 to 1.08), and how small the residual part is: SD 0.021 against 0.227 for the whole change (log2).</w:t>
      </w:r>
    </w:p>
    <w:p>
      <w:pPr>
        <w:spacing w:after="120"/>
      </w:pPr>
      <w:r>
        <w:rPr>
          <w:rFonts w:ascii="Calibri" w:hAnsi="Calibri"/>
          <w:b/>
          <w:i w:val="0"/>
          <w:color w:val="156082"/>
          <w:sz w:val="21"/>
        </w:rPr>
        <w:t>The registered assumption check: the trend is not a straight line in human wells.</w:t>
      </w:r>
      <w:r>
        <w:rPr>
          <w:rFonts w:ascii="Calibri" w:hAnsi="Calibri"/>
          <w:b w:val="0"/>
          <w:i w:val="0"/>
          <w:color w:val="222222"/>
          <w:sz w:val="21"/>
        </w:rPr>
        <w:t xml:space="preserve"> Adding a quadratic term lowers the residual SD by more than a third in a share of 1.0 of human wells and 0.26 of rat wells; the registered rule (more than half in either species) therefore says the trend is not linear (linear: False), and T1 and T3 are read with that caveat. The settling curve (reported, not tested) shows the shape: the human median rate falls from 6.73 Hz in the first window to 4.80 Hz in the second, bottoms at 4.26 Hz in the fourth and ends at 4.55 Hz; the rat median declines gently and steadily, from 3.59 to 3.00 Hz. So the slope of a human well summarises a fall and partial recovery, and its residual SD s is mostly the part of that curve the line misses. Around a quadratic (descriptive, beside the check) the human wells still scatter more, median 0.066 against 0.017 (log2), but T2's tenfold ratio should not be read as tenfold steady noise. Read with the caveat, T1 still holds: the human wells differ much more in how far they fall, and T3's near-total share says that difference, not window-to-window scatter, is what D32's split-half SD mostly measured.</w:t>
      </w:r>
    </w:p>
    <w:p>
      <w:pPr>
        <w:spacing w:after="120"/>
      </w:pPr>
      <w:r>
        <w:rPr>
          <w:rFonts w:ascii="Calibri" w:hAnsi="Calibri"/>
          <w:b/>
          <w:i w:val="0"/>
          <w:color w:val="156082"/>
          <w:sz w:val="21"/>
        </w:rPr>
        <w:t>Two post hoc readings, added after the first run and not registered.</w:t>
      </w:r>
      <w:r>
        <w:rPr>
          <w:rFonts w:ascii="Calibri" w:hAnsi="Calibri"/>
          <w:b w:val="0"/>
          <w:i w:val="0"/>
          <w:color w:val="222222"/>
          <w:sz w:val="21"/>
        </w:rPr>
        <w:t xml:space="preserve"> First, the scatter around each line (curvature included) would by itself produce a share of 0.43 of the human slope variance; beyond it, the human slopes still spread 2.88 times as widely as the rat ones, so T1 is not an artefact of noisier fits. Second, dropping the first window, as if the plate had settled five minutes longer, takes out the steepest human fall (median step from the first to the second window −0.47 log2 against −0.08) but not the species difference: the SD across wells of the remaining change is 0.17 human against 0.054 rat, still 3.16 times larger.</w:t>
      </w:r>
    </w:p>
    <w:p>
      <w:pPr>
        <w:spacing w:after="120"/>
      </w:pPr>
      <w:r>
        <w:rPr>
          <w:rFonts w:ascii="Calibri" w:hAnsi="Calibri"/>
          <w:b/>
          <w:i w:val="0"/>
          <w:color w:val="156082"/>
          <w:sz w:val="21"/>
        </w:rPr>
        <w:t>Wells needed from the residual part alone: illustrative, reported and not tested.</w:t>
      </w:r>
      <w:r>
        <w:rPr>
          <w:rFonts w:ascii="Calibri" w:hAnsi="Calibri"/>
          <w:b w:val="0"/>
          <w:i w:val="0"/>
          <w:color w:val="222222"/>
          <w:sz w:val="21"/>
        </w:rPr>
        <w:t xml:space="preserve"> With D32's formula on the residual part's SD, a 20% fall would need at least 1 human and 1 rat well per arm, against 8 human wells from the whole change of this windowed rate. This figure is not an assay design: it assumes each well's trend could be removed exactly, and removing a fitted line also removes part of the steady noise, so it flatters both species. We do not use it to set well counts.</w:t>
      </w:r>
    </w:p>
    <w:p>
      <w:pPr>
        <w:spacing w:after="120"/>
      </w:pPr>
      <w:r>
        <w:rPr>
          <w:rFonts w:ascii="Calibri" w:hAnsi="Calibri"/>
          <w:b/>
          <w:i w:val="0"/>
          <w:color w:val="156082"/>
          <w:sz w:val="21"/>
        </w:rPr>
        <w:t>What it changes for this section, and what a lab would do.</w:t>
      </w:r>
      <w:r>
        <w:rPr>
          <w:rFonts w:ascii="Calibri" w:hAnsi="Calibri"/>
          <w:b w:val="0"/>
          <w:i w:val="0"/>
          <w:color w:val="222222"/>
          <w:sz w:val="21"/>
        </w:rPr>
        <w:t xml:space="preserve"> The caveat above is now a measured statement: D32's twofold human firing-rate noise is mostly uneven settling within the recording, not steady noise. For an assay this points first to a longer settling period before the baseline and dosing, rather than to more wells, because the spread sits in the trend. But these 30-minute recordings do not show how long that period must be: five more minutes would not close the gap (the post hoc reading above), and the human median is still moving at the end of the recording. A lab would first record untreated human wells for longer to find where the fall ends, then decide between waiting that long and adding wells; until then, the wells-needed figures above stay the guide.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under </w:t>
      </w:r>
      <w:r>
        <w:rPr>
          <w:rFonts w:ascii="Consolas" w:hAnsi="Consolas"/>
          <w:b w:val="0"/>
          <w:i w:val="0"/>
          <w:color w:val="222222"/>
          <w:sz w:val="19"/>
        </w:rPr>
        <w:t>hpsc_settling.implementation_notes</w:t>
      </w:r>
      <w:r>
        <w:rPr>
          <w:rFonts w:ascii="Calibri" w:hAnsi="Calibri"/>
          <w:b w:val="0"/>
          <w:i w:val="0"/>
          <w:color w:val="222222"/>
          <w:sz w:val="21"/>
        </w:rPr>
        <w:t>: usable wells are read from D32's results file; windows follow D32's cut (the plate file's last spike ends the recording; a spike on a window edge starts the next window); the electrode set is the extractor's default active rule applied to the whole recording, and noisy electrodes are kept, as in D32; with the floor, a rate is defined in every window of a well with a non-empty set; SDs and variances use ddof 1; one bootstrap serves T1 and T2, drawing human then rat wells per resample as D32 does; "above 1" is strict; the quadratic fit's residual SD uses its own degrees of freedom and "more than a third" is strict (with both fits at ddof 2, the rat share is 0.45, still below one half). The caveat flag is set on T1 and T3, as registered; the note on T2 above is ours.</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Split-half noise is not exposure noise: it is the movement of one undisturbed recording, not of a well handled, dosed and read again, so it says how the two culture types compare under the gentlest possible conditions, not what an assay will see; and for firing rate on the human baseline it is mostly settling over the first part of the recording, as the follow-up shows. Everything here comes from one lab, one human iPSC line and one rat preparation, at one age each (DIV29 and DIV22 on the baselines); another line, protocol or culture age could order the species differently. Half the human baseline plate was excluded upstream, and we do not know why. None of this says anything about human biology, about a compound, or about how either culture type predicts an effect in people; it is a property of two public recording sets that bears on how many wells a human iPSC chip assay might need.</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7" name="Picture 27"/>
            <wp:cNvGraphicFramePr>
              <a:graphicFrameLocks noChangeAspect="1"/>
            </wp:cNvGraphicFramePr>
            <a:graphic>
              <a:graphicData uri="http://schemas.openxmlformats.org/drawingml/2006/picture">
                <pic:pic>
                  <pic:nvPicPr>
                    <pic:cNvPr id="0" name="hd14_posterior_ranks_simulated.png"/>
                    <pic:cNvPicPr/>
                  </pic:nvPicPr>
                  <pic:blipFill>
                    <a:blip r:embed="rId39"/>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27. </w:t>
      </w:r>
      <w:r>
        <w:rPr>
          <w:rFonts w:ascii="Calibri" w:hAnsi="Calibri"/>
          <w:b w:val="0"/>
          <w:i/>
          <w:color w:val="222222"/>
          <w:sz w:val="17"/>
        </w:rPr>
        <w:t>SIMULATED posterior calibration: the rank of the true parameter among posterior samples. Flat would be calibrated; these are not.</w:t>
      </w:r>
    </w:p>
    <w:p>
      <w:pPr>
        <w:keepNext/>
        <w:spacing w:after="120"/>
      </w:pPr>
      <w:r>
        <w:rPr>
          <w:rFonts w:ascii="Calibri" w:hAnsi="Calibri"/>
          <w:b w:val="0"/>
          <w:i w:val="0"/>
          <w:color w:val="222222"/>
          <w:sz w:val="21"/>
        </w:rPr>
        <w:t>After round 1 (§16, decision D31) the first-round flow and the five-flow ensemble were judged on the same 1,000 fresh held-out simulations. The ensemble's histograms are flatter and its coverage sits closer to the diagonal, but the U shape of over-confidence remains for four parameters.</w:t>
      </w:r>
    </w:p>
    <w:p>
      <w:pPr>
        <w:keepNext/>
        <w:spacing w:before="120" w:after="40"/>
        <w:jc w:val="center"/>
      </w:pPr>
      <w:r>
        <w:drawing>
          <wp:inline xmlns:a="http://schemas.openxmlformats.org/drawingml/2006/main" xmlns:pic="http://schemas.openxmlformats.org/drawingml/2006/picture">
            <wp:extent cx="5394960" cy="3823821"/>
            <wp:docPr id="28" name="Picture 28"/>
            <wp:cNvGraphicFramePr>
              <a:graphicFrameLocks noChangeAspect="1"/>
            </wp:cNvGraphicFramePr>
            <a:graphic>
              <a:graphicData uri="http://schemas.openxmlformats.org/drawingml/2006/picture">
                <pic:pic>
                  <pic:nvPicPr>
                    <pic:cNvPr id="0" name="hd14b_recalibration_simulated.png"/>
                    <pic:cNvPicPr/>
                  </pic:nvPicPr>
                  <pic:blipFill>
                    <a:blip r:embed="rId40"/>
                    <a:stretch>
                      <a:fillRect/>
                    </a:stretch>
                  </pic:blipFill>
                  <pic:spPr>
                    <a:xfrm>
                      <a:off x="0" y="0"/>
                      <a:ext cx="5394960" cy="3823821"/>
                    </a:xfrm>
                    <a:prstGeom prst="rect"/>
                  </pic:spPr>
                </pic:pic>
              </a:graphicData>
            </a:graphic>
          </wp:inline>
        </w:drawing>
      </w:r>
    </w:p>
    <w:p>
      <w:pPr>
        <w:spacing w:after="200"/>
        <w:jc w:val="center"/>
      </w:pPr>
      <w:r>
        <w:rPr>
          <w:rFonts w:ascii="Calibri" w:hAnsi="Calibri"/>
          <w:b/>
          <w:i/>
          <w:color w:val="222222"/>
          <w:sz w:val="17"/>
        </w:rPr>
        <w:t xml:space="preserve">Figure 28. </w:t>
      </w:r>
      <w:r>
        <w:rPr>
          <w:rFonts w:ascii="Calibri" w:hAnsi="Calibri"/>
          <w:b w:val="0"/>
          <w:i/>
          <w:color w:val="222222"/>
          <w:sz w:val="17"/>
        </w:rPr>
        <w:t>SIMULATED: the first-round flow (top) and the five-flow ensemble on 15,750 simulations (middle) on 1,000 fresh held-out simulations; grey is the band a calibrated model fills 99% of the time. Bottom: empirical against nominal coverage of central credible intervals for all four estimators.</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9" name="Picture 29"/>
            <wp:cNvGraphicFramePr>
              <a:graphicFrameLocks noChangeAspect="1"/>
            </wp:cNvGraphicFramePr>
            <a:graphic>
              <a:graphicData uri="http://schemas.openxmlformats.org/drawingml/2006/picture">
                <pic:pic>
                  <pic:nvPicPr>
                    <pic:cNvPr id="0" name="microchannel_asymmetry_real.png"/>
                    <pic:cNvPicPr/>
                  </pic:nvPicPr>
                  <pic:blipFill>
                    <a:blip r:embed="rId41"/>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29.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519.0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this run was on an idle machine, with every study added through §36 included, and runs that shared the machine with other jobs took up to about twice as long, crossing ten minutes. The longest stage is the twin, at 322.5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