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The registered audit, below, re-scored D2 with a measure that requires a peak: forward walking drops to 0.0956 and the giant fibre to 0.1896, while grooming keeps 0.2374, so D2 fails under the corrected measure. The walking "swing" was an artefact; D1, the hold at the head, does not depend on the measure and stands.)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away (the vertical axis is the registered rhythmicity, found by the audit to score smooth movements high).</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spacing w:after="120"/>
      </w:pPr>
      <w:r>
        <w:rPr>
          <w:rFonts w:ascii="Calibri" w:hAnsi="Calibri"/>
          <w:b/>
          <w:i w:val="0"/>
          <w:color w:val="156082"/>
          <w:sz w:val="21"/>
        </w:rPr>
        <w:t>The audit (registered before any corrected value was computed on stage data).</w:t>
      </w:r>
      <w:r>
        <w:rPr>
          <w:rFonts w:ascii="Calibri" w:hAnsi="Calibri"/>
          <w:b w:val="0"/>
          <w:i w:val="0"/>
          <w:color w:val="222222"/>
          <w:sz w:val="21"/>
        </w:rPr>
        <w:t xml:space="preserve"> The corrected measure counts a rhythm only at a genuine autocorrelation peak: a local maximum at least 0.1 above the trough it rises from. Its period is that peak's lag, and phases use that period. It was calibrated on synthetic signals only and passes its registered validation: smooth signals without a rhythm score 0, and a sine keeps its value. Stages 1d, 2a, 2c, 2d and 2e were re-simulated with their own code and seeds, and every trial was measured both ways. The registered measure reproduces every recorded outcome. Under the corrected measure:</w:t>
      </w:r>
    </w:p>
    <w:p>
      <w:pPr>
        <w:spacing w:after="120"/>
        <w:ind w:left="432" w:hanging="259"/>
      </w:pPr>
      <w:r>
        <w:rPr>
          <w:rFonts w:ascii="Calibri" w:hAnsi="Calibri"/>
          <w:b w:val="0"/>
          <w:i w:val="0"/>
          <w:color w:val="222222"/>
          <w:sz w:val="21"/>
        </w:rPr>
        <w:t>•</w:t>
        <w:tab/>
      </w:r>
      <w:r>
        <w:rPr>
          <w:rFonts w:ascii="Calibri" w:hAnsi="Calibri"/>
          <w:b w:val="0"/>
          <w:i w:val="0"/>
          <w:color w:val="222222"/>
          <w:sz w:val="21"/>
        </w:rPr>
        <w:t>one registered outcome changes: stage 1d's D2 now fails (above);</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2d the cells with a rhythm drop from 5 to 1, and the selection rule would pick a different cell (glutamate everywhere, 16 mV, 100 ms); it is not confirmed here, since that would need fresh seeds;</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2e, DNb08's rhythmicity falls from 0.7367 to 0.0, and the share of rhythmic leg motor neurons from 0.699 to 0.01.</w:t>
      </w:r>
    </w:p>
    <w:p>
      <w:pPr>
        <w:keepNext/>
        <w:spacing w:after="120"/>
      </w:pPr>
      <w:r>
        <w:rPr>
          <w:rFonts w:ascii="Calibri" w:hAnsi="Calibri"/>
          <w:b w:val="0"/>
          <w:i w:val="0"/>
          <w:color w:val="222222"/>
          <w:sz w:val="21"/>
        </w:rPr>
        <w:t>Stages 2a and 2c are unchanged. Registered outcomes stay recorded as they fell; this paragraph and the figure carry both. From now on, every new stage registers the corrected measure. Next, a registered stage-2e follow-up in which each command neuron gets enough drive to fire, so that Pugliese et al.'s result is actually tested.</w:t>
      </w:r>
    </w:p>
    <w:p>
      <w:pPr>
        <w:keepNext/>
        <w:spacing w:before="120" w:after="40"/>
        <w:jc w:val="center"/>
      </w:pPr>
      <w:r>
        <w:drawing>
          <wp:inline xmlns:a="http://schemas.openxmlformats.org/drawingml/2006/main" xmlns:pic="http://schemas.openxmlformats.org/drawingml/2006/picture">
            <wp:extent cx="3236976" cy="2802660"/>
            <wp:docPr id="8" name="Picture 8"/>
            <wp:cNvGraphicFramePr>
              <a:graphicFrameLocks noChangeAspect="1"/>
            </wp:cNvGraphicFramePr>
            <a:graphic>
              <a:graphicData uri="http://schemas.openxmlformats.org/drawingml/2006/picture">
                <pic:pic>
                  <pic:nvPicPr>
                    <pic:cNvPr id="0" name="rhythm_audit_SIMULATED.png"/>
                    <pic:cNvPicPr/>
                  </pic:nvPicPr>
                  <pic:blipFill>
                    <a:blip r:embed="rId20"/>
                    <a:stretch>
                      <a:fillRect/>
                    </a:stretch>
                  </pic:blipFill>
                  <pic:spPr>
                    <a:xfrm>
                      <a:off x="0" y="0"/>
                      <a:ext cx="3236976" cy="280266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every audited trial's rhythmicity under the registered measure (no peak required) against the corrected one (an autocorrelation peak). Genuine rhythms lie on the diagonal; smooth signals the old measure scored as rhythmic fall to zero.</w:t>
      </w:r>
    </w:p>
    <w:p>
      <w:pPr>
        <w:keepNext/>
        <w:spacing w:before="120" w:after="40"/>
        <w:jc w:val="center"/>
      </w:pPr>
      <w:r>
        <w:drawing>
          <wp:inline xmlns:a="http://schemas.openxmlformats.org/drawingml/2006/main" xmlns:pic="http://schemas.openxmlformats.org/drawingml/2006/picture">
            <wp:extent cx="4315968" cy="1713751"/>
            <wp:docPr id="9" name="Picture 9"/>
            <wp:cNvGraphicFramePr>
              <a:graphicFrameLocks noChangeAspect="1"/>
            </wp:cNvGraphicFramePr>
            <a:graphic>
              <a:graphicData uri="http://schemas.openxmlformats.org/drawingml/2006/picture">
                <pic:pic>
                  <pic:nvPicPr>
                    <pic:cNvPr id="0" name="embodied_stage2e_rate_model_SIMULATED.png"/>
                    <pic:cNvPicPr/>
                  </pic:nvPicPr>
                  <pic:blipFill>
                    <a:blip r:embed="rId21"/>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after="120"/>
      </w:pPr>
      <w:r>
        <w:rPr>
          <w:rFonts w:ascii="Calibri" w:hAnsi="Calibri"/>
          <w:b/>
          <w:i w:val="0"/>
          <w:color w:val="156082"/>
          <w:sz w:val="21"/>
        </w:rPr>
        <w:t>Stage 2f: every command neuron driven alike; the walking command is switched off by the activity it starts (precondition failed in both size rules).</w:t>
      </w:r>
      <w:r>
        <w:rPr>
          <w:rFonts w:ascii="Calibri" w:hAnsi="Calibri"/>
          <w:b w:val="0"/>
          <w:i w:val="0"/>
          <w:color w:val="222222"/>
          <w:sz w:val="21"/>
        </w:rPr>
        <w:t xml:space="preserve"> Stage 2f gave each driven neuron the input that alone brings it to 50 Hz, computed from its own drawn parameters. It ran two size rules (synapse count, as in stage 2e, and none), used the audit's corrected rhythm measure, and added a precondition that DNg100 actually fires near its target. The precondition fails in both rules: DNg100's median rate is 0.18 Hz with synapse-count sizes and 0.0 Hz without size scaling, so every other prediction is uninterpretable. An exploratory trace of one registered draw (not scored) shows why. DNg100 starts at 42.67 Hz and recruits 443 neurons within 50 ms. The cord then tips into a self-sustained state, and by 0.25 s the inhibitory input onto DNg100 is -4452.5 against 2165.1 excitatory, which silences it. Thereafter 5,247 neurons stay active with the command off. The comparison with Pugliese et al. explains the difference. Their network is not the whole cord but the front leg's motor neurons, the premotor neurons onto them and the descending neurons onto those (4,604 neurons). Their input is halved whenever more than 500 neurons are recruited; such runs are treated as infeasible. Their positive result is a rhythm within the front leg, and they report no consistent left-right phase and no tripod. Our whole-cord runs sit far outside that regime, and our coordination tests ask for more than their model produces. The faithful test is their own construction on the male CNS: the front-leg network, the 5-to-500 recruitment rule, and their within-leg predictions. It is registered next as stage 2g.</w:t>
      </w:r>
    </w:p>
    <w:p>
      <w:pPr>
        <w:keepNext/>
        <w:spacing w:before="120" w:after="40"/>
        <w:jc w:val="center"/>
      </w:pPr>
      <w:r>
        <w:drawing>
          <wp:inline xmlns:a="http://schemas.openxmlformats.org/drawingml/2006/main" xmlns:pic="http://schemas.openxmlformats.org/drawingml/2006/picture">
            <wp:extent cx="4315968" cy="3157689"/>
            <wp:docPr id="10" name="Picture 10"/>
            <wp:cNvGraphicFramePr>
              <a:graphicFrameLocks noChangeAspect="1"/>
            </wp:cNvGraphicFramePr>
            <a:graphic>
              <a:graphicData uri="http://schemas.openxmlformats.org/drawingml/2006/picture">
                <pic:pic>
                  <pic:nvPicPr>
                    <pic:cNvPr id="0" name="embodied_stage2f_rate_model_driven_SIMULATED.png"/>
                    <pic:cNvPicPr/>
                  </pic:nvPicPr>
                  <pic:blipFill>
                    <a:blip r:embed="rId22"/>
                    <a:stretch>
                      <a:fillRect/>
                    </a:stretch>
                  </pic:blipFill>
                  <pic:spPr>
                    <a:xfrm>
                      <a:off x="0" y="0"/>
                      <a:ext cx="4315968" cy="315768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firing-rate network of the male nerve cord with each command neuron driven to 50 Hz, both size rules: no corrected rhythm in any condition; the cord's own activity silences the walking command.</w:t>
      </w:r>
    </w:p>
    <w:p>
      <w:pPr>
        <w:keepNext/>
        <w:spacing w:after="120"/>
      </w:pPr>
      <w:r>
        <w:rPr>
          <w:rFonts w:ascii="Calibri" w:hAnsi="Calibri"/>
          <w:b/>
          <w:i w:val="0"/>
          <w:color w:val="156082"/>
          <w:sz w:val="21"/>
        </w:rPr>
        <w:t>Stage 2g: Pugliese et al.'s front-leg network on the male CNS (precondition failed narrowly; suggestive, not yet a test).</w:t>
      </w:r>
      <w:r>
        <w:rPr>
          <w:rFonts w:ascii="Calibri" w:hAnsi="Calibri"/>
          <w:b w:val="0"/>
          <w:i w:val="0"/>
          <w:color w:val="222222"/>
          <w:sz w:val="21"/>
        </w:rPr>
        <w:t xml:space="preserve"> Stage 2g rebuilt their network from the male CNS: the left front leg's motor neurons, the premotor neurons onto them and the descending neurons onto those (2,133 neurons). It used their recruitment rule: start at 250, halve the input above 500 recruited neurons, double it below 5, for up to 10 runs. Rhythm was scored with the corrected measure. The registered precondition, a working input in at least 16 of 32 draws, fails narrowly in both size rules: 12 draws with synapse-count sizes, 15 without size scaling. So every prediction is uninterpretable as registered. The rule fails because this network is close to all-or-none. In 20 draws (synapse-count sizes) and 11 (none), halving and doubling flip between almost nothing and about 1,044 recruited neurons, never landing between 5 and 500. What the feasible draws show is exploratory, not a test. A genuine, regular oscillation appears in the few motor neurons that are active (median 1.0 and 2.0, as their own "2-5 motor neurons"). Its corrected score is 0.8145 and 0.8747, with periods of 80.5 and 154.0 ms, within a walking fly's range. The rates are low (a few Hz). Without size scaling, silencing the three-neuron circuit removes the rhythm (median 0.0); with synapse-count sizes it does not (0.8145), so there the rhythm runs through another path. The tibia flexor and extensor pools are silent in these draws. The next registered step keeps their 5-500 criterion but searches the input finely (bisection between the last input that recruited too few and the first that recruited too many), on fresh draws. Then their within-leg result can be tested on every draw that has a working input at all.</w:t>
      </w:r>
    </w:p>
    <w:p>
      <w:pPr>
        <w:keepNext/>
        <w:spacing w:before="120" w:after="40"/>
        <w:jc w:val="center"/>
      </w:pPr>
      <w:r>
        <w:drawing>
          <wp:inline xmlns:a="http://schemas.openxmlformats.org/drawingml/2006/main" xmlns:pic="http://schemas.openxmlformats.org/drawingml/2006/picture">
            <wp:extent cx="4315968" cy="3158602"/>
            <wp:docPr id="11" name="Picture 11"/>
            <wp:cNvGraphicFramePr>
              <a:graphicFrameLocks noChangeAspect="1"/>
            </wp:cNvGraphicFramePr>
            <a:graphic>
              <a:graphicData uri="http://schemas.openxmlformats.org/drawingml/2006/picture">
                <pic:pic>
                  <pic:nvPicPr>
                    <pic:cNvPr id="0" name="embodied_stage2g_front_leg_SIMULATED.png"/>
                    <pic:cNvPicPr/>
                  </pic:nvPicPr>
                  <pic:blipFill>
                    <a:blip r:embed="rId23"/>
                    <a:stretch>
                      <a:fillRect/>
                    </a:stretch>
                  </pic:blipFill>
                  <pic:spPr>
                    <a:xfrm>
                      <a:off x="0" y="0"/>
                      <a:ext cx="4315968" cy="3158602"/>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left front-leg network of the male CNS (Pugliese et al.'s construction). Left: one feasible draw per size rule under DNg100: a regular low-rate oscillation in one or two motor-neuron pools. Right: corrected motor rhythm score over feasible draws, per condition.</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