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46 studies made 233 registered predictions, of which 105 passed, 88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45 registrations, 41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7" name="Picture 27"/>
            <wp:cNvGraphicFramePr>
              <a:graphicFrameLocks noChangeAspect="1"/>
            </wp:cNvGraphicFramePr>
            <a:graphic>
              <a:graphicData uri="http://schemas.openxmlformats.org/drawingml/2006/picture">
                <pic:pic>
                  <pic:nvPicPr>
                    <pic:cNvPr id="0" name="hpsc_settling_real.png"/>
                    <pic:cNvPicPr/>
                  </pic:nvPicPr>
                  <pic:blipFill>
                    <a:blip r:embed="rId39"/>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8" name="Picture 28"/>
            <wp:cNvGraphicFramePr>
              <a:graphicFrameLocks noChangeAspect="1"/>
            </wp:cNvGraphicFramePr>
            <a:graphic>
              <a:graphicData uri="http://schemas.openxmlformats.org/drawingml/2006/picture">
                <pic:pic>
                  <pic:nvPicPr>
                    <pic:cNvPr id="0" name="hd14_posterior_ranks_simulated.png"/>
                    <pic:cNvPicPr/>
                  </pic:nvPicPr>
                  <pic:blipFill>
                    <a:blip r:embed="rId40"/>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9" name="Picture 29"/>
            <wp:cNvGraphicFramePr>
              <a:graphicFrameLocks noChangeAspect="1"/>
            </wp:cNvGraphicFramePr>
            <a:graphic>
              <a:graphicData uri="http://schemas.openxmlformats.org/drawingml/2006/picture">
                <pic:pic>
                  <pic:nvPicPr>
                    <pic:cNvPr id="0" name="hd14b_recalibration_simulated.png"/>
                    <pic:cNvPicPr/>
                  </pic:nvPicPr>
                  <pic:blipFill>
                    <a:blip r:embed="rId41"/>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0" name="Picture 30"/>
            <wp:cNvGraphicFramePr>
              <a:graphicFrameLocks noChangeAspect="1"/>
            </wp:cNvGraphicFramePr>
            <a:graphic>
              <a:graphicData uri="http://schemas.openxmlformats.org/drawingml/2006/picture">
                <pic:pic>
                  <pic:nvPicPr>
                    <pic:cNvPr id="0" name="microchannel_asymmetry_real.png"/>
                    <pic:cNvPicPr/>
                  </pic:nvPicPr>
                  <pic:blipFill>
                    <a:blip r:embed="rId42"/>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