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31</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32</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65"/>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9"/>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33</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65"/>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9"/>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34</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065"/>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19"/>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35</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3065"/>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219"/>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val="0"/>
              <w:spacing w:after="0"/>
              <w:jc w:val="center"/>
            </w:pPr>
            <w:r>
              <w:rPr>
                <w:rFonts w:ascii="Calibri" w:hAnsi="Calibri"/>
                <w:b/>
                <w:i w:val="0"/>
                <w:color w:val="222222"/>
                <w:sz w:val="20"/>
              </w:rPr>
              <w:t>36</w:t>
            </w:r>
          </w:p>
        </w:tc>
        <w:tc>
          <w:tcPr>
            <w:tcW w:type="dxa" w:w="1588"/>
            <w:shd w:val="clear" w:color="auto" w:fill="F7F9FB"/>
            <w:vAlign w:val="center"/>
          </w:tcPr>
          <w:p>
            <w:pPr>
              <w:keepNext w:val="0"/>
              <w:spacing w:after="0"/>
              <w:jc w:val="center"/>
            </w:pPr>
            <w:r>
              <w:rPr>
                <w:rFonts w:ascii="Calibri" w:hAnsi="Calibri"/>
                <w:b w:val="0"/>
                <w:i w:val="0"/>
                <w:color w:val="222222"/>
                <w:sz w:val="20"/>
              </w:rPr>
              <w:t>2026-10-25</w:t>
            </w:r>
          </w:p>
        </w:tc>
        <w:tc>
          <w:tcPr>
            <w:tcW w:type="dxa" w:w="2210"/>
            <w:shd w:val="clear" w:color="auto" w:fill="F7F9FB"/>
            <w:vAlign w:val="center"/>
          </w:tcPr>
          <w:p>
            <w:pPr>
              <w:keepNext w:val="0"/>
              <w:spacing w:after="0"/>
            </w:pPr>
            <w:r>
              <w:rPr>
                <w:rFonts w:ascii="Calibri" w:hAnsi="Calibri"/>
                <w:b w:val="0"/>
                <w:i w:val="0"/>
                <w:color w:val="222222"/>
                <w:sz w:val="20"/>
              </w:rPr>
              <w:t>Embodied stage 4c: a finer dose grid inside the one-step margins</w:t>
            </w:r>
          </w:p>
        </w:tc>
        <w:tc>
          <w:tcPr>
            <w:tcW w:type="dxa" w:w="3065"/>
            <w:shd w:val="clear" w:color="auto" w:fill="F7F9FB"/>
            <w:vAlign w:val="center"/>
          </w:tcPr>
          <w:p>
            <w:pPr>
              <w:keepNext w:val="0"/>
              <w:spacing w:after="0"/>
            </w:pPr>
            <w:r>
              <w:rPr>
                <w:rFonts w:ascii="Calibri" w:hAnsi="Calibri"/>
                <w:b w:val="0"/>
                <w:i w:val="0"/>
                <w:color w:val="222222"/>
                <w:sz w:val="20"/>
              </w:rPr>
              <w:t>3 of 4; excitability block resolves chip later; GABA-A potentiation's lateness rests on the bitter-gated proboscis</w:t>
            </w:r>
          </w:p>
        </w:tc>
        <w:tc>
          <w:tcPr>
            <w:tcW w:type="dxa" w:w="1219"/>
            <w:shd w:val="clear" w:color="auto" w:fill="F7F9FB"/>
            <w:vAlign w:val="center"/>
          </w:tcPr>
          <w:p>
            <w:pPr>
              <w:keepNext w:val="0"/>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