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Eight of our findings set firm boundaries, and §18 pairs each with what we would do instead. For example, chamber-level readouts cannot tell which way axons are firing without electrodes inside the microchannels (0.3854 against 0.5 chance), and no summary feature we could test tracks dose monotonically. In §20 we turn these findings into recommendations for chip designers, assay developers and analysis pipelines.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The dose signal is absent.</w:t>
      </w:r>
      <w:r>
        <w:rPr>
          <w:rFonts w:ascii="Calibri" w:hAnsi="Calibri"/>
          <w:b w:val="0"/>
          <w:i w:val="0"/>
          <w:color w:val="222222"/>
          <w:sz w:val="21"/>
        </w:rPr>
        <w:t xml:space="preserve"> Within the bicuculline series, detection probability shows no relationship with dose: Spearman ρ = 0.014, p = 0.751. Mechanism and dose are different questions, and this model only answers the first. As §18 shows, this turned out to be a property of the measurement, not of the model.</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2697480" cy="2098040"/>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2697480" cy="2098040"/>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3129076" cy="2448842"/>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3129076" cy="2448842"/>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564538"/>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564538"/>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2913278" cy="1529471"/>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2913278" cy="152947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2805379" cy="1262421"/>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2805379" cy="1262421"/>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1" name="Picture 11"/>
            <wp:cNvGraphicFramePr>
              <a:graphicFrameLocks noChangeAspect="1"/>
            </wp:cNvGraphicFramePr>
            <a:graphic>
              <a:graphicData uri="http://schemas.openxmlformats.org/drawingml/2006/picture">
                <pic:pic>
                  <pic:nvPicPr>
                    <pic:cNvPr id="0" name="axonal_flow_vs_chamber.png"/>
                    <pic:cNvPicPr/>
                  </pic:nvPicPr>
                  <pic:blipFill>
                    <a:blip r:embed="rId23"/>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120" w:after="40"/>
        <w:jc w:val="center"/>
      </w:pPr>
      <w:r>
        <w:drawing>
          <wp:inline xmlns:a="http://schemas.openxmlformats.org/drawingml/2006/main" xmlns:pic="http://schemas.openxmlformats.org/drawingml/2006/picture">
            <wp:extent cx="3021177" cy="2114824"/>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14824"/>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0.9219, using only 6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Six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3"/>
        <w:gridCol w:w="2352"/>
        <w:gridCol w:w="2475"/>
        <w:gridCol w:w="3355"/>
      </w:tblGrid>
      <w:tr>
        <w:trPr>
          <w:cantSplit/>
          <w:tblHeader/>
        </w:trPr>
        <w:tc>
          <w:tcPr>
            <w:tcW w:type="dxa" w:w="313"/>
            <w:shd w:val="clear" w:color="auto" w:fill="1F4E79"/>
            <w:vAlign w:val="center"/>
          </w:tcPr>
          <w:p>
            <w:pPr>
              <w:keepNext/>
              <w:spacing w:after="0"/>
              <w:jc w:val="center"/>
            </w:pPr>
            <w:r>
              <w:rPr>
                <w:rFonts w:ascii="Calibri" w:hAnsi="Calibri"/>
                <w:b/>
                <w:i w:val="0"/>
                <w:color w:val="FFFFFF"/>
                <w:sz w:val="20"/>
              </w:rPr>
              <w:t>#</w:t>
            </w:r>
          </w:p>
        </w:tc>
        <w:tc>
          <w:tcPr>
            <w:tcW w:type="dxa" w:w="2352"/>
            <w:shd w:val="clear" w:color="auto" w:fill="1F4E79"/>
            <w:vAlign w:val="center"/>
          </w:tcPr>
          <w:p>
            <w:pPr>
              <w:keepNext/>
              <w:spacing w:after="0"/>
            </w:pPr>
            <w:r>
              <w:rPr>
                <w:rFonts w:ascii="Calibri" w:hAnsi="Calibri"/>
                <w:b/>
                <w:i w:val="0"/>
                <w:color w:val="FFFFFF"/>
                <w:sz w:val="20"/>
              </w:rPr>
              <w:t>finding</w:t>
            </w:r>
          </w:p>
        </w:tc>
        <w:tc>
          <w:tcPr>
            <w:tcW w:type="dxa" w:w="2475"/>
            <w:shd w:val="clear" w:color="auto" w:fill="1F4E79"/>
            <w:vAlign w:val="center"/>
          </w:tcPr>
          <w:p>
            <w:pPr>
              <w:keepNext/>
              <w:spacing w:after="0"/>
            </w:pPr>
            <w:r>
              <w:rPr>
                <w:rFonts w:ascii="Calibri" w:hAnsi="Calibri"/>
                <w:b/>
                <w:i w:val="0"/>
                <w:color w:val="FFFFFF"/>
                <w:sz w:val="20"/>
              </w:rPr>
              <w:t>evidence</w:t>
            </w:r>
          </w:p>
        </w:tc>
        <w:tc>
          <w:tcPr>
            <w:tcW w:type="dxa" w:w="3355"/>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1</w:t>
            </w:r>
          </w:p>
        </w:tc>
        <w:tc>
          <w:tcPr>
            <w:tcW w:type="dxa" w:w="2352"/>
            <w:shd w:val="clear" w:color="auto" w:fill="FFFFFF"/>
            <w:vAlign w:val="center"/>
          </w:tcPr>
          <w:p>
            <w:pPr>
              <w:keepNext/>
              <w:spacing w:after="0"/>
            </w:pPr>
            <w:r>
              <w:rPr>
                <w:rFonts w:ascii="Calibri" w:hAnsi="Calibri"/>
                <w:b w:val="0"/>
                <w:i w:val="0"/>
                <w:color w:val="222222"/>
                <w:sz w:val="20"/>
              </w:rPr>
              <w:t>no monotonic dose trend in the summary features</w:t>
            </w:r>
          </w:p>
        </w:tc>
        <w:tc>
          <w:tcPr>
            <w:tcW w:type="dxa" w:w="2475"/>
            <w:shd w:val="clear" w:color="auto" w:fill="FFFFFF"/>
            <w:vAlign w:val="center"/>
          </w:tcPr>
          <w:p>
            <w:pPr>
              <w:keepNext/>
              <w:spacing w:after="0"/>
            </w:pPr>
            <w:r>
              <w:rPr>
                <w:rFonts w:ascii="Calibri" w:hAnsi="Calibri"/>
                <w:b w:val="0"/>
                <w:i w:val="0"/>
                <w:color w:val="222222"/>
                <w:sz w:val="20"/>
              </w:rPr>
              <w:t>0 of 7 testable features move with dose</w:t>
            </w:r>
          </w:p>
        </w:tc>
        <w:tc>
          <w:tcPr>
            <w:tcW w:type="dxa" w:w="3355"/>
            <w:shd w:val="clear" w:color="auto" w:fill="FFFFFF"/>
            <w:vAlign w:val="center"/>
          </w:tcPr>
          <w:p>
            <w:pPr>
              <w:keepNext/>
              <w:spacing w:after="0"/>
            </w:pPr>
            <w:r>
              <w:rPr>
                <w:rFonts w:ascii="Calibri" w:hAnsi="Calibri"/>
                <w:b w:val="0"/>
                <w:i w:val="0"/>
                <w:color w:val="222222"/>
                <w:sz w:val="20"/>
              </w:rPr>
              <w:t>do not read concentration from summary tables; keep the spike times so other features can be tried</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2</w:t>
            </w:r>
          </w:p>
        </w:tc>
        <w:tc>
          <w:tcPr>
            <w:tcW w:type="dxa" w:w="2352"/>
            <w:shd w:val="clear" w:color="auto" w:fill="F7F9FB"/>
            <w:vAlign w:val="center"/>
          </w:tcPr>
          <w:p>
            <w:pPr>
              <w:keepNext/>
              <w:spacing w:after="0"/>
            </w:pPr>
            <w:r>
              <w:rPr>
                <w:rFonts w:ascii="Calibri" w:hAnsi="Calibri"/>
                <w:b w:val="0"/>
                <w:i w:val="0"/>
                <w:color w:val="222222"/>
                <w:sz w:val="20"/>
              </w:rPr>
              <w:t>chamber readouts miss direction</w:t>
            </w:r>
          </w:p>
        </w:tc>
        <w:tc>
          <w:tcPr>
            <w:tcW w:type="dxa" w:w="2475"/>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355"/>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3</w:t>
            </w:r>
          </w:p>
        </w:tc>
        <w:tc>
          <w:tcPr>
            <w:tcW w:type="dxa" w:w="2352"/>
            <w:shd w:val="clear" w:color="auto" w:fill="FFFFFF"/>
            <w:vAlign w:val="center"/>
          </w:tcPr>
          <w:p>
            <w:pPr>
              <w:keepNext/>
              <w:spacing w:after="0"/>
            </w:pPr>
            <w:r>
              <w:rPr>
                <w:rFonts w:ascii="Calibri" w:hAnsi="Calibri"/>
                <w:b w:val="0"/>
                <w:i w:val="0"/>
                <w:color w:val="222222"/>
                <w:sz w:val="20"/>
              </w:rPr>
              <w:t>no cross-laboratory transfer</w:t>
            </w:r>
          </w:p>
        </w:tc>
        <w:tc>
          <w:tcPr>
            <w:tcW w:type="dxa" w:w="2475"/>
            <w:shd w:val="clear" w:color="auto" w:fill="FFFFFF"/>
            <w:vAlign w:val="center"/>
          </w:tcPr>
          <w:p>
            <w:pPr>
              <w:keepNext/>
              <w:spacing w:after="0"/>
            </w:pPr>
            <w:r>
              <w:rPr>
                <w:rFonts w:ascii="Calibri" w:hAnsi="Calibri"/>
                <w:b w:val="0"/>
                <w:i w:val="0"/>
                <w:color w:val="222222"/>
                <w:sz w:val="20"/>
              </w:rPr>
              <w:t>0.3482 against 0.3333 chance</w:t>
            </w:r>
          </w:p>
        </w:tc>
        <w:tc>
          <w:tcPr>
            <w:tcW w:type="dxa" w:w="3355"/>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4</w:t>
            </w:r>
          </w:p>
        </w:tc>
        <w:tc>
          <w:tcPr>
            <w:tcW w:type="dxa" w:w="2352"/>
            <w:shd w:val="clear" w:color="auto" w:fill="F7F9FB"/>
            <w:vAlign w:val="center"/>
          </w:tcPr>
          <w:p>
            <w:pPr>
              <w:keepNext/>
              <w:spacing w:after="0"/>
            </w:pPr>
            <w:r>
              <w:rPr>
                <w:rFonts w:ascii="Calibri" w:hAnsi="Calibri"/>
                <w:b w:val="0"/>
                <w:i w:val="0"/>
                <w:color w:val="222222"/>
                <w:sz w:val="20"/>
              </w:rPr>
              <w:t>domain adaptation backfires</w:t>
            </w:r>
          </w:p>
        </w:tc>
        <w:tc>
          <w:tcPr>
            <w:tcW w:type="dxa" w:w="2475"/>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355"/>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5</w:t>
            </w:r>
          </w:p>
        </w:tc>
        <w:tc>
          <w:tcPr>
            <w:tcW w:type="dxa" w:w="2352"/>
            <w:shd w:val="clear" w:color="auto" w:fill="FFFFFF"/>
            <w:vAlign w:val="center"/>
          </w:tcPr>
          <w:p>
            <w:pPr>
              <w:keepNext/>
              <w:spacing w:after="0"/>
            </w:pPr>
            <w:r>
              <w:rPr>
                <w:rFonts w:ascii="Calibri" w:hAnsi="Calibri"/>
                <w:b w:val="0"/>
                <w:i w:val="0"/>
                <w:color w:val="222222"/>
                <w:sz w:val="20"/>
              </w:rPr>
              <w:t>synchrony was an artifact</w:t>
            </w:r>
          </w:p>
        </w:tc>
        <w:tc>
          <w:tcPr>
            <w:tcW w:type="dxa" w:w="2475"/>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355"/>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6</w:t>
            </w:r>
          </w:p>
        </w:tc>
        <w:tc>
          <w:tcPr>
            <w:tcW w:type="dxa" w:w="2352"/>
            <w:shd w:val="clear" w:color="auto" w:fill="F7F9FB"/>
            <w:vAlign w:val="center"/>
          </w:tcPr>
          <w:p>
            <w:pPr>
              <w:keepNext/>
              <w:spacing w:after="0"/>
            </w:pPr>
            <w:r>
              <w:rPr>
                <w:rFonts w:ascii="Calibri" w:hAnsi="Calibri"/>
                <w:b w:val="0"/>
                <w:i w:val="0"/>
                <w:color w:val="222222"/>
                <w:sz w:val="20"/>
              </w:rPr>
              <w:t>posterior over-confidence</w:t>
            </w:r>
          </w:p>
        </w:tc>
        <w:tc>
          <w:tcPr>
            <w:tcW w:type="dxa" w:w="2475"/>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355"/>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7</w:t>
            </w:r>
          </w:p>
        </w:tc>
        <w:tc>
          <w:tcPr>
            <w:tcW w:type="dxa" w:w="2352"/>
            <w:shd w:val="clear" w:color="auto" w:fill="FFFFFF"/>
            <w:vAlign w:val="center"/>
          </w:tcPr>
          <w:p>
            <w:pPr>
              <w:keepNext/>
              <w:spacing w:after="0"/>
            </w:pPr>
            <w:r>
              <w:rPr>
                <w:rFonts w:ascii="Calibri" w:hAnsi="Calibri"/>
                <w:b w:val="0"/>
                <w:i w:val="0"/>
                <w:color w:val="222222"/>
                <w:sz w:val="20"/>
              </w:rPr>
              <w:t>baseline read as drug effect</w:t>
            </w:r>
          </w:p>
        </w:tc>
        <w:tc>
          <w:tcPr>
            <w:tcW w:type="dxa" w:w="2475"/>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355"/>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13"/>
            <w:shd w:val="clear" w:color="auto" w:fill="F7F9FB"/>
            <w:vAlign w:val="center"/>
          </w:tcPr>
          <w:p>
            <w:pPr>
              <w:keepNext w:val="0"/>
              <w:spacing w:after="0"/>
              <w:jc w:val="center"/>
            </w:pPr>
            <w:r>
              <w:rPr>
                <w:rFonts w:ascii="Calibri" w:hAnsi="Calibri"/>
                <w:b/>
                <w:i w:val="0"/>
                <w:color w:val="222222"/>
                <w:sz w:val="20"/>
              </w:rPr>
              <w:t>8</w:t>
            </w:r>
          </w:p>
        </w:tc>
        <w:tc>
          <w:tcPr>
            <w:tcW w:type="dxa" w:w="2352"/>
            <w:shd w:val="clear" w:color="auto" w:fill="F7F9FB"/>
            <w:vAlign w:val="center"/>
          </w:tcPr>
          <w:p>
            <w:pPr>
              <w:keepNext w:val="0"/>
              <w:spacing w:after="0"/>
            </w:pPr>
            <w:r>
              <w:rPr>
                <w:rFonts w:ascii="Calibri" w:hAnsi="Calibri"/>
                <w:b w:val="0"/>
                <w:i w:val="0"/>
                <w:color w:val="222222"/>
                <w:sz w:val="20"/>
              </w:rPr>
              <w:t>support rejection</w:t>
            </w:r>
          </w:p>
        </w:tc>
        <w:tc>
          <w:tcPr>
            <w:tcW w:type="dxa" w:w="2475"/>
            <w:shd w:val="clear" w:color="auto" w:fill="F7F9FB"/>
            <w:vAlign w:val="center"/>
          </w:tcPr>
          <w:p>
            <w:pPr>
              <w:keepNext w:val="0"/>
              <w:spacing w:after="0"/>
            </w:pPr>
            <w:r>
              <w:rPr>
                <w:rFonts w:ascii="Calibri" w:hAnsi="Calibri"/>
                <w:b w:val="0"/>
                <w:i w:val="0"/>
                <w:color w:val="222222"/>
                <w:sz w:val="20"/>
              </w:rPr>
              <w:t>the calibrated twin cannot sample 9 of 113 real recordings</w:t>
            </w:r>
          </w:p>
        </w:tc>
        <w:tc>
          <w:tcPr>
            <w:tcW w:type="dxa" w:w="3355"/>
            <w:shd w:val="clear" w:color="auto" w:fill="F7F9FB"/>
            <w:vAlign w:val="center"/>
          </w:tcPr>
          <w:p>
            <w:pPr>
              <w:keepNext w:val="0"/>
              <w:spacing w:after="0"/>
            </w:pPr>
            <w:r>
              <w:rPr>
                <w:rFonts w:ascii="Calibri" w:hAnsi="Calibri"/>
                <w:b w:val="0"/>
                <w:i w:val="0"/>
                <w:color w:val="222222"/>
                <w:sz w:val="20"/>
              </w:rPr>
              <w:t>treat a refusal as an out-of-distribution flag and send the recording to a person</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It would be natural to blame the models, so we asked the question directly: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0 of the 7 do. After subtracting each device's own baseline, 0 do — in both cases after a Holm correction for testing seven features at once. The models were not failing to extract a signal. The signal simply was not there.</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There is no monotonic dose tracking.</w:t>
      </w:r>
      <w:r>
        <w:rPr>
          <w:rFonts w:ascii="Calibri" w:hAnsi="Calibri"/>
          <w:b w:val="0"/>
          <w:i w:val="0"/>
          <w:color w:val="222222"/>
          <w:sz w:val="21"/>
        </w:rPr>
        <w:t xml:space="preserve"> The feature deltas contain no monotonic concentration signal across the bicuculline series.</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four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(6 electrodes,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the app imports NeuroMPS, which is installed only inside </w:t>
      </w:r>
      <w:r>
        <w:rPr>
          <w:rFonts w:ascii="Consolas" w:hAnsi="Consolas"/>
          <w:b w:val="0"/>
          <w:i w:val="0"/>
          <w:color w:val="222222"/>
          <w:sz w:val="19"/>
        </w:rPr>
        <w:t>.venv</w:t>
      </w:r>
      <w:r>
        <w:rPr>
          <w:rFonts w:ascii="Calibri" w:hAnsi="Calibri"/>
          <w:b w:val="0"/>
          <w:i w:val="0"/>
          <w:color w:val="222222"/>
          <w:sz w:val="21"/>
        </w:rPr>
        <w:t xml:space="preserve">, so a system-wide Streamlit cannot find it. Provenance is guarded the same way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 and the build halts on any mismatch.</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14" name="Picture 14"/>
            <wp:cNvGraphicFramePr>
              <a:graphicFrameLocks noChangeAspect="1"/>
            </wp:cNvGraphicFramePr>
            <a:graphic>
              <a:graphicData uri="http://schemas.openxmlformats.org/drawingml/2006/picture">
                <pic:pic>
                  <pic:nvPicPr>
                    <pic:cNvPr id="0" name="hd14_posterior_ranks_simulated.png"/>
                    <pic:cNvPicPr/>
                  </pic:nvPicPr>
                  <pic:blipFill>
                    <a:blip r:embed="rId2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2805379" cy="1636471"/>
            <wp:docPr id="15" name="Picture 15"/>
            <wp:cNvGraphicFramePr>
              <a:graphicFrameLocks noChangeAspect="1"/>
            </wp:cNvGraphicFramePr>
            <a:graphic>
              <a:graphicData uri="http://schemas.openxmlformats.org/drawingml/2006/picture">
                <pic:pic>
                  <pic:nvPicPr>
                    <pic:cNvPr id="0" name="microchannel_asymmetry_real.png"/>
                    <pic:cNvPicPr/>
                  </pic:nvPicPr>
                  <pic:blipFill>
                    <a:blip r:embed="rId27"/>
                    <a:stretch>
                      <a:fillRect/>
                    </a:stretch>
                  </pic:blipFill>
                  <pic:spPr>
                    <a:xfrm>
                      <a:off x="0" y="0"/>
                      <a:ext cx="2805379" cy="163647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0.014, p = 0.751).</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or external models. Every statistical model in this report — logistic regression, gradient boosting and the neural posterior estimator — is trained from scratch on the data described here.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