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4"/>
        <w:gridCol w:w="2763"/>
        <w:gridCol w:w="2611"/>
        <w:gridCol w:w="1181"/>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4"/>
            <w:shd w:val="clear" w:color="auto" w:fill="1F4E79"/>
            <w:vAlign w:val="center"/>
          </w:tcPr>
          <w:p>
            <w:pPr>
              <w:keepNext/>
              <w:spacing w:after="0"/>
              <w:jc w:val="center"/>
            </w:pPr>
            <w:r>
              <w:rPr>
                <w:rFonts w:ascii="Calibri" w:hAnsi="Calibri"/>
                <w:b/>
                <w:i w:val="0"/>
                <w:color w:val="FFFFFF"/>
                <w:sz w:val="20"/>
              </w:rPr>
              <w:t>Date</w:t>
            </w:r>
          </w:p>
        </w:tc>
        <w:tc>
          <w:tcPr>
            <w:tcW w:type="dxa" w:w="2763"/>
            <w:shd w:val="clear" w:color="auto" w:fill="1F4E79"/>
            <w:vAlign w:val="center"/>
          </w:tcPr>
          <w:p>
            <w:pPr>
              <w:keepNext/>
              <w:spacing w:after="0"/>
            </w:pPr>
            <w:r>
              <w:rPr>
                <w:rFonts w:ascii="Calibri" w:hAnsi="Calibri"/>
                <w:b/>
                <w:i w:val="0"/>
                <w:color w:val="FFFFFF"/>
                <w:sz w:val="20"/>
              </w:rPr>
              <w:t>Change</w:t>
            </w:r>
          </w:p>
        </w:tc>
        <w:tc>
          <w:tcPr>
            <w:tcW w:type="dxa" w:w="2611"/>
            <w:shd w:val="clear" w:color="auto" w:fill="1F4E79"/>
            <w:vAlign w:val="center"/>
          </w:tcPr>
          <w:p>
            <w:pPr>
              <w:keepNext/>
              <w:spacing w:after="0"/>
            </w:pPr>
            <w:r>
              <w:rPr>
                <w:rFonts w:ascii="Calibri" w:hAnsi="Calibri"/>
                <w:b/>
                <w:i w:val="0"/>
                <w:color w:val="FFFFFF"/>
                <w:sz w:val="20"/>
              </w:rPr>
              <w:t>Effect on results</w:t>
            </w:r>
          </w:p>
        </w:tc>
        <w:tc>
          <w:tcPr>
            <w:tcW w:type="dxa" w:w="1181"/>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4"/>
            <w:shd w:val="clear" w:color="auto" w:fill="FFFFFF"/>
            <w:vAlign w:val="center"/>
          </w:tcPr>
          <w:p>
            <w:pPr>
              <w:keepNext/>
              <w:spacing w:after="0"/>
              <w:jc w:val="center"/>
            </w:pPr>
            <w:r>
              <w:rPr>
                <w:rFonts w:ascii="Calibri" w:hAnsi="Calibri"/>
                <w:b w:val="0"/>
                <w:i w:val="0"/>
                <w:color w:val="222222"/>
                <w:sz w:val="20"/>
              </w:rPr>
              <w:t>2026-10-10</w:t>
            </w:r>
          </w:p>
        </w:tc>
        <w:tc>
          <w:tcPr>
            <w:tcW w:type="dxa" w:w="2763"/>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611"/>
            <w:shd w:val="clear" w:color="auto" w:fill="FFFFFF"/>
            <w:vAlign w:val="center"/>
          </w:tcPr>
          <w:p>
            <w:pPr>
              <w:keepNext/>
              <w:spacing w:after="0"/>
            </w:pPr>
            <w:r>
              <w:rPr>
                <w:rFonts w:ascii="Calibri" w:hAnsi="Calibri"/>
                <w:b w:val="0"/>
                <w:i w:val="0"/>
                <w:color w:val="222222"/>
                <w:sz w:val="20"/>
              </w:rPr>
              <w:t>none (no number or claim changed)</w:t>
            </w:r>
          </w:p>
        </w:tc>
        <w:tc>
          <w:tcPr>
            <w:tcW w:type="dxa" w:w="1181"/>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4"/>
            <w:shd w:val="clear" w:color="auto" w:fill="F7F9FB"/>
            <w:vAlign w:val="center"/>
          </w:tcPr>
          <w:p>
            <w:pPr>
              <w:keepNext/>
              <w:spacing w:after="0"/>
              <w:jc w:val="center"/>
            </w:pPr>
            <w:r>
              <w:rPr>
                <w:rFonts w:ascii="Calibri" w:hAnsi="Calibri"/>
                <w:b w:val="0"/>
                <w:i w:val="0"/>
                <w:color w:val="222222"/>
                <w:sz w:val="20"/>
              </w:rPr>
              <w:t>2026-10-11</w:t>
            </w:r>
          </w:p>
        </w:tc>
        <w:tc>
          <w:tcPr>
            <w:tcW w:type="dxa" w:w="2763"/>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611"/>
            <w:shd w:val="clear" w:color="auto" w:fill="F7F9FB"/>
            <w:vAlign w:val="center"/>
          </w:tcPr>
          <w:p>
            <w:pPr>
              <w:keepNext/>
              <w:spacing w:after="0"/>
            </w:pPr>
            <w:r>
              <w:rPr>
                <w:rFonts w:ascii="Calibri" w:hAnsi="Calibri"/>
                <w:b w:val="0"/>
                <w:i w:val="0"/>
                <w:color w:val="222222"/>
                <w:sz w:val="20"/>
              </w:rPr>
              <w:t>the dose conclusion reverses</w:t>
            </w:r>
          </w:p>
        </w:tc>
        <w:tc>
          <w:tcPr>
            <w:tcW w:type="dxa" w:w="1181"/>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4"/>
            <w:shd w:val="clear" w:color="auto" w:fill="FFFFFF"/>
            <w:vAlign w:val="center"/>
          </w:tcPr>
          <w:p>
            <w:pPr>
              <w:keepNext/>
              <w:spacing w:after="0"/>
              <w:jc w:val="center"/>
            </w:pPr>
            <w:r>
              <w:rPr>
                <w:rFonts w:ascii="Calibri" w:hAnsi="Calibri"/>
                <w:b w:val="0"/>
                <w:i w:val="0"/>
                <w:color w:val="222222"/>
                <w:sz w:val="20"/>
              </w:rPr>
              <w:t>2026-10-22</w:t>
            </w:r>
          </w:p>
        </w:tc>
        <w:tc>
          <w:tcPr>
            <w:tcW w:type="dxa" w:w="2763"/>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611"/>
            <w:shd w:val="clear" w:color="auto" w:fill="FFFFFF"/>
            <w:vAlign w:val="center"/>
          </w:tcPr>
          <w:p>
            <w:pPr>
              <w:keepNext/>
              <w:spacing w:after="0"/>
            </w:pPr>
            <w:r>
              <w:rPr>
                <w:rFonts w:ascii="Calibri" w:hAnsi="Calibri"/>
                <w:b w:val="0"/>
                <w:i w:val="0"/>
                <w:color w:val="222222"/>
                <w:sz w:val="20"/>
              </w:rPr>
              <w:t>none; access only</w:t>
            </w:r>
          </w:p>
        </w:tc>
        <w:tc>
          <w:tcPr>
            <w:tcW w:type="dxa" w:w="1181"/>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4"/>
            <w:shd w:val="clear" w:color="auto" w:fill="F7F9FB"/>
            <w:vAlign w:val="center"/>
          </w:tcPr>
          <w:p>
            <w:pPr>
              <w:keepNext/>
              <w:spacing w:after="0"/>
              <w:jc w:val="center"/>
            </w:pPr>
            <w:r>
              <w:rPr>
                <w:rFonts w:ascii="Calibri" w:hAnsi="Calibri"/>
                <w:b w:val="0"/>
                <w:i w:val="0"/>
                <w:color w:val="222222"/>
                <w:sz w:val="20"/>
              </w:rPr>
              <w:t>2026-10-22/23</w:t>
            </w:r>
          </w:p>
        </w:tc>
        <w:tc>
          <w:tcPr>
            <w:tcW w:type="dxa" w:w="2763"/>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611"/>
            <w:shd w:val="clear" w:color="auto" w:fill="F7F9FB"/>
            <w:vAlign w:val="center"/>
          </w:tcPr>
          <w:p>
            <w:pPr>
              <w:keepNext/>
              <w:spacing w:after="0"/>
            </w:pPr>
            <w:r>
              <w:rPr>
                <w:rFonts w:ascii="Calibri" w:hAnsi="Calibri"/>
                <w:b w:val="0"/>
                <w:i w:val="0"/>
                <w:color w:val="222222"/>
                <w:sz w:val="20"/>
              </w:rPr>
              <w:t>new results, pre-registered</w:t>
            </w:r>
          </w:p>
        </w:tc>
        <w:tc>
          <w:tcPr>
            <w:tcW w:type="dxa" w:w="1181"/>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611"/>
            <w:shd w:val="clear" w:color="auto" w:fill="FFFFFF"/>
            <w:vAlign w:val="center"/>
          </w:tcPr>
          <w:p>
            <w:pPr>
              <w:keepNext/>
              <w:spacing w:after="0"/>
            </w:pPr>
            <w:r>
              <w:rPr>
                <w:rFonts w:ascii="Calibri" w:hAnsi="Calibri"/>
                <w:b w:val="0"/>
                <w:i w:val="0"/>
                <w:color w:val="222222"/>
                <w:sz w:val="20"/>
              </w:rPr>
              <w:t>none; structure only</w:t>
            </w:r>
          </w:p>
        </w:tc>
        <w:tc>
          <w:tcPr>
            <w:tcW w:type="dxa" w:w="1181"/>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611"/>
            <w:shd w:val="clear" w:color="auto" w:fill="F7F9FB"/>
            <w:vAlign w:val="center"/>
          </w:tcPr>
          <w:p>
            <w:pPr>
              <w:keepNext/>
              <w:spacing w:after="0"/>
            </w:pPr>
            <w:r>
              <w:rPr>
                <w:rFonts w:ascii="Calibri" w:hAnsi="Calibri"/>
                <w:b w:val="0"/>
                <w:i w:val="0"/>
                <w:color w:val="222222"/>
                <w:sz w:val="20"/>
              </w:rPr>
              <w:t>new comparison (descriptive)</w:t>
            </w:r>
          </w:p>
        </w:tc>
        <w:tc>
          <w:tcPr>
            <w:tcW w:type="dxa" w:w="1181"/>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611"/>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81"/>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611"/>
            <w:shd w:val="clear" w:color="auto" w:fill="F7F9FB"/>
            <w:vAlign w:val="center"/>
          </w:tcPr>
          <w:p>
            <w:pPr>
              <w:keepNext/>
              <w:spacing w:after="0"/>
            </w:pPr>
            <w:r>
              <w:rPr>
                <w:rFonts w:ascii="Calibri" w:hAnsi="Calibri"/>
                <w:b w:val="0"/>
                <w:i w:val="0"/>
                <w:color w:val="222222"/>
                <w:sz w:val="20"/>
              </w:rPr>
              <w:t>1 of 3 registered predictions pass</w:t>
            </w:r>
          </w:p>
        </w:tc>
        <w:tc>
          <w:tcPr>
            <w:tcW w:type="dxa" w:w="1181"/>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611"/>
            <w:shd w:val="clear" w:color="auto" w:fill="FFFFFF"/>
            <w:vAlign w:val="center"/>
          </w:tcPr>
          <w:p>
            <w:pPr>
              <w:keepNext/>
              <w:spacing w:after="0"/>
            </w:pPr>
            <w:r>
              <w:rPr>
                <w:rFonts w:ascii="Calibri" w:hAnsi="Calibri"/>
                <w:b w:val="0"/>
                <w:i w:val="0"/>
                <w:color w:val="222222"/>
                <w:sz w:val="20"/>
              </w:rPr>
              <w:t>4 of 4 registered predictions pass</w:t>
            </w:r>
          </w:p>
        </w:tc>
        <w:tc>
          <w:tcPr>
            <w:tcW w:type="dxa" w:w="1181"/>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611"/>
            <w:shd w:val="clear" w:color="auto" w:fill="F7F9FB"/>
            <w:vAlign w:val="center"/>
          </w:tcPr>
          <w:p>
            <w:pPr>
              <w:keepNext/>
              <w:spacing w:after="0"/>
            </w:pPr>
            <w:r>
              <w:rPr>
                <w:rFonts w:ascii="Calibri" w:hAnsi="Calibri"/>
                <w:b w:val="0"/>
                <w:i w:val="0"/>
                <w:color w:val="222222"/>
                <w:sz w:val="20"/>
              </w:rPr>
              <w:t>6 of 7 registered predictions pass</w:t>
            </w:r>
          </w:p>
        </w:tc>
        <w:tc>
          <w:tcPr>
            <w:tcW w:type="dxa" w:w="1181"/>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611"/>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81"/>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Roadmap to an embodied, closed-loop fly</w:t>
            </w:r>
          </w:p>
        </w:tc>
        <w:tc>
          <w:tcPr>
            <w:tcW w:type="dxa" w:w="2611"/>
            <w:shd w:val="clear" w:color="auto" w:fill="F7F9FB"/>
            <w:vAlign w:val="center"/>
          </w:tcPr>
          <w:p>
            <w:pPr>
              <w:keepNext/>
              <w:spacing w:after="0"/>
            </w:pPr>
            <w:r>
              <w:rPr>
                <w:rFonts w:ascii="Calibri" w:hAnsi="Calibri"/>
                <w:b w:val="0"/>
                <w:i w:val="0"/>
                <w:color w:val="222222"/>
                <w:sz w:val="20"/>
              </w:rPr>
              <w:t>plan, no new results</w:t>
            </w:r>
          </w:p>
        </w:tc>
        <w:tc>
          <w:tcPr>
            <w:tcW w:type="dxa" w:w="1181"/>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611"/>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81"/>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611"/>
            <w:shd w:val="clear" w:color="auto" w:fill="F7F9FB"/>
            <w:vAlign w:val="center"/>
          </w:tcPr>
          <w:p>
            <w:pPr>
              <w:keepNext/>
              <w:spacing w:after="0"/>
            </w:pPr>
            <w:r>
              <w:rPr>
                <w:rFonts w:ascii="Calibri" w:hAnsi="Calibri"/>
                <w:b w:val="0"/>
                <w:i w:val="0"/>
                <w:color w:val="222222"/>
                <w:sz w:val="20"/>
              </w:rPr>
              <w:t>3 of 5 registered predictions pass</w:t>
            </w:r>
          </w:p>
        </w:tc>
        <w:tc>
          <w:tcPr>
            <w:tcW w:type="dxa" w:w="1181"/>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611"/>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81"/>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611"/>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81"/>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611"/>
            <w:shd w:val="clear" w:color="auto" w:fill="FFFFFF"/>
            <w:vAlign w:val="center"/>
          </w:tcPr>
          <w:p>
            <w:pPr>
              <w:keepNext/>
              <w:spacing w:after="0"/>
            </w:pPr>
            <w:r>
              <w:rPr>
                <w:rFonts w:ascii="Calibri" w:hAnsi="Calibri"/>
                <w:b w:val="0"/>
                <w:i w:val="0"/>
                <w:color w:val="222222"/>
                <w:sz w:val="20"/>
              </w:rPr>
              <w:t>1 of 5 pass; no walking rhythm</w:t>
            </w:r>
          </w:p>
        </w:tc>
        <w:tc>
          <w:tcPr>
            <w:tcW w:type="dxa" w:w="1181"/>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611"/>
            <w:shd w:val="clear" w:color="auto" w:fill="F7F9FB"/>
            <w:vAlign w:val="center"/>
          </w:tcPr>
          <w:p>
            <w:pPr>
              <w:keepNext/>
              <w:spacing w:after="0"/>
            </w:pPr>
            <w:r>
              <w:rPr>
                <w:rFonts w:ascii="Calibri" w:hAnsi="Calibri"/>
                <w:b w:val="0"/>
                <w:i w:val="0"/>
                <w:color w:val="222222"/>
                <w:sz w:val="20"/>
              </w:rPr>
              <w:t>6 of 6 registered predictions pass</w:t>
            </w:r>
          </w:p>
        </w:tc>
        <w:tc>
          <w:tcPr>
            <w:tcW w:type="dxa" w:w="1181"/>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611"/>
            <w:shd w:val="clear" w:color="auto" w:fill="FFFFFF"/>
            <w:vAlign w:val="center"/>
          </w:tcPr>
          <w:p>
            <w:pPr>
              <w:keepNext/>
              <w:spacing w:after="0"/>
            </w:pPr>
            <w:r>
              <w:rPr>
                <w:rFonts w:ascii="Calibri" w:hAnsi="Calibri"/>
                <w:b w:val="0"/>
                <w:i w:val="0"/>
                <w:color w:val="222222"/>
                <w:sz w:val="20"/>
              </w:rPr>
              <w:t>stopped by its rule; no cell walks</w:t>
            </w:r>
          </w:p>
        </w:tc>
        <w:tc>
          <w:tcPr>
            <w:tcW w:type="dxa" w:w="1181"/>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611"/>
            <w:shd w:val="clear" w:color="auto" w:fill="F7F9FB"/>
            <w:vAlign w:val="center"/>
          </w:tcPr>
          <w:p>
            <w:pPr>
              <w:keepNext/>
              <w:spacing w:after="0"/>
            </w:pPr>
            <w:r>
              <w:rPr>
                <w:rFonts w:ascii="Calibri" w:hAnsi="Calibri"/>
                <w:b w:val="0"/>
                <w:i w:val="0"/>
                <w:color w:val="222222"/>
                <w:sz w:val="20"/>
              </w:rPr>
              <w:t>1 of 7 at the selected cell</w:t>
            </w:r>
          </w:p>
        </w:tc>
        <w:tc>
          <w:tcPr>
            <w:tcW w:type="dxa" w:w="1181"/>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611"/>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81"/>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The registered rhythm-measure audit</w:t>
            </w:r>
          </w:p>
        </w:tc>
        <w:tc>
          <w:tcPr>
            <w:tcW w:type="dxa" w:w="2611"/>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81"/>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611"/>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81"/>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611"/>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81"/>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611"/>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81"/>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611"/>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81"/>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611"/>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81"/>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763"/>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611"/>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81"/>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763"/>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611"/>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81"/>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4"/>
            <w:shd w:val="clear" w:color="auto" w:fill="F7F9FB"/>
            <w:vAlign w:val="center"/>
          </w:tcPr>
          <w:p>
            <w:pPr>
              <w:keepNext/>
              <w:spacing w:after="0"/>
              <w:jc w:val="center"/>
            </w:pPr>
            <w:r>
              <w:rPr>
                <w:rFonts w:ascii="Calibri" w:hAnsi="Calibri"/>
                <w:b w:val="0"/>
                <w:i w:val="0"/>
                <w:color w:val="222222"/>
                <w:sz w:val="20"/>
              </w:rPr>
              <w:t>2026-10-24/25</w:t>
            </w:r>
          </w:p>
        </w:tc>
        <w:tc>
          <w:tcPr>
            <w:tcW w:type="dxa" w:w="2763"/>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611"/>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81"/>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763"/>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611"/>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81"/>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763"/>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611"/>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81"/>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763"/>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611"/>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81"/>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763"/>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611"/>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81"/>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763"/>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611"/>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81"/>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763"/>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611"/>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81"/>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763"/>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611"/>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81"/>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763"/>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611"/>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81"/>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763"/>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611"/>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81"/>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763"/>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611"/>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81"/>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763"/>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611"/>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8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4"/>
            <w:shd w:val="clear" w:color="auto" w:fill="F7F9FB"/>
            <w:vAlign w:val="center"/>
          </w:tcPr>
          <w:p>
            <w:pPr>
              <w:keepNext/>
              <w:spacing w:after="0"/>
              <w:jc w:val="center"/>
            </w:pPr>
            <w:r>
              <w:rPr>
                <w:rFonts w:ascii="Calibri" w:hAnsi="Calibri"/>
                <w:b w:val="0"/>
                <w:i w:val="0"/>
                <w:color w:val="222222"/>
                <w:sz w:val="20"/>
              </w:rPr>
              <w:t>2026-10-26</w:t>
            </w:r>
          </w:p>
        </w:tc>
        <w:tc>
          <w:tcPr>
            <w:tcW w:type="dxa" w:w="2763"/>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611"/>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81"/>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4"/>
            <w:shd w:val="clear" w:color="auto" w:fill="FFFFFF"/>
            <w:vAlign w:val="center"/>
          </w:tcPr>
          <w:p>
            <w:pPr>
              <w:keepNext/>
              <w:spacing w:after="0"/>
              <w:jc w:val="center"/>
            </w:pPr>
            <w:r>
              <w:rPr>
                <w:rFonts w:ascii="Calibri" w:hAnsi="Calibri"/>
                <w:b w:val="0"/>
                <w:i w:val="0"/>
                <w:color w:val="222222"/>
                <w:sz w:val="20"/>
              </w:rPr>
              <w:t>2026-10-27</w:t>
            </w:r>
          </w:p>
        </w:tc>
        <w:tc>
          <w:tcPr>
            <w:tcW w:type="dxa" w:w="2763"/>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611"/>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81"/>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763"/>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611"/>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81"/>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4"/>
            <w:shd w:val="clear" w:color="auto" w:fill="FFFFFF"/>
            <w:vAlign w:val="center"/>
          </w:tcPr>
          <w:p>
            <w:pPr>
              <w:keepNext/>
              <w:spacing w:after="0"/>
              <w:jc w:val="center"/>
            </w:pPr>
            <w:r>
              <w:rPr>
                <w:rFonts w:ascii="Calibri" w:hAnsi="Calibri"/>
                <w:b w:val="0"/>
                <w:i w:val="0"/>
                <w:color w:val="222222"/>
                <w:sz w:val="20"/>
              </w:rPr>
              <w:t>2026-10-27/28</w:t>
            </w:r>
          </w:p>
        </w:tc>
        <w:tc>
          <w:tcPr>
            <w:tcW w:type="dxa" w:w="2763"/>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611"/>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81"/>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763"/>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611"/>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81"/>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763"/>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611"/>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81"/>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763"/>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611"/>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81"/>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49</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763"/>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611"/>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81"/>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53</w:t>
            </w:r>
          </w:p>
        </w:tc>
        <w:tc>
          <w:tcPr>
            <w:tcW w:type="dxa" w:w="1534"/>
            <w:shd w:val="clear" w:color="auto" w:fill="F7F9FB"/>
            <w:vAlign w:val="center"/>
          </w:tcPr>
          <w:p>
            <w:pPr>
              <w:keepNext w:val="0"/>
              <w:spacing w:after="0"/>
              <w:jc w:val="center"/>
            </w:pPr>
            <w:r>
              <w:rPr>
                <w:rFonts w:ascii="Calibri" w:hAnsi="Calibri"/>
                <w:b w:val="0"/>
                <w:i w:val="0"/>
                <w:color w:val="222222"/>
                <w:sz w:val="20"/>
              </w:rPr>
              <w:t>2026-10-28</w:t>
            </w:r>
          </w:p>
        </w:tc>
        <w:tc>
          <w:tcPr>
            <w:tcW w:type="dxa" w:w="2763"/>
            <w:shd w:val="clear" w:color="auto" w:fill="F7F9FB"/>
            <w:vAlign w:val="center"/>
          </w:tcPr>
          <w:p>
            <w:pPr>
              <w:keepNext w:val="0"/>
              <w:spacing w:after="0"/>
            </w:pPr>
            <w:r>
              <w:rPr>
                <w:rFonts w:ascii="Calibri" w:hAnsi="Calibri"/>
                <w:b w:val="0"/>
                <w:i w:val="0"/>
                <w:color w:val="222222"/>
                <w:sz w:val="20"/>
              </w:rPr>
              <w:t>Is the twin's distance from the real recordings the prior's range? A registered wider prior (D38)</w:t>
            </w:r>
          </w:p>
        </w:tc>
        <w:tc>
          <w:tcPr>
            <w:tcW w:type="dxa" w:w="2611"/>
            <w:shd w:val="clear" w:color="auto" w:fill="F7F9FB"/>
            <w:vAlign w:val="center"/>
          </w:tcPr>
          <w:p>
            <w:pPr>
              <w:keepNext w:val="0"/>
              <w:spacing w:after="0"/>
            </w:pPr>
            <w:r>
              <w:rPr>
                <w:rFonts w:ascii="Calibri" w:hAnsi="Calibri"/>
                <w:b w:val="0"/>
                <w:i w:val="0"/>
                <w:color w:val="222222"/>
                <w:sz w:val="20"/>
              </w:rPr>
              <w:t>2 of 3 registered predictions pass; widening the box where the posterior pointed barely moves the real recordings closer, so the gap is misspecification; the inverse model is not to be read on absolute real recordings</w:t>
            </w:r>
          </w:p>
        </w:tc>
        <w:tc>
          <w:tcPr>
            <w:tcW w:type="dxa" w:w="1181"/>
            <w:shd w:val="clear" w:color="auto" w:fill="F7F9FB"/>
            <w:vAlign w:val="center"/>
          </w:tcPr>
          <w:p>
            <w:pPr>
              <w:keepNext w:val="0"/>
              <w:spacing w:after="0"/>
            </w:pPr>
            <w:r>
              <w:rPr>
                <w:rFonts w:ascii="Consolas" w:hAnsi="Consolas"/>
                <w:b w:val="0"/>
                <w:i w:val="0"/>
                <w:color w:val="222222"/>
                <w:sz w:val="18"/>
              </w:rPr>
              <w:t>3c2e43e</w:t>
            </w:r>
            <w:r>
              <w:rPr>
                <w:rFonts w:ascii="Calibri" w:hAnsi="Calibri"/>
                <w:b w:val="0"/>
                <w:i w:val="0"/>
                <w:color w:val="222222"/>
                <w:sz w:val="20"/>
              </w:rPr>
              <w:t xml:space="preserve">, </w:t>
            </w:r>
            <w:r>
              <w:rPr>
                <w:rFonts w:ascii="Consolas" w:hAnsi="Consolas"/>
                <w:b w:val="0"/>
                <w:i w:val="0"/>
                <w:color w:val="222222"/>
                <w:sz w:val="18"/>
              </w:rPr>
              <w:t>c3a7d3a</w:t>
            </w:r>
            <w:r>
              <w:rPr>
                <w:rFonts w:ascii="Calibri" w:hAnsi="Calibri"/>
                <w:b w:val="0"/>
                <w:i w:val="0"/>
                <w:color w:val="222222"/>
                <w:sz w:val="20"/>
              </w:rPr>
              <w:t xml:space="preserve">, </w:t>
            </w:r>
            <w:r>
              <w:rPr>
                <w:rFonts w:ascii="Consolas" w:hAnsi="Consolas"/>
                <w:b w:val="0"/>
                <w:i w:val="0"/>
                <w:color w:val="222222"/>
                <w:sz w:val="18"/>
              </w:rPr>
              <w:t>44f78f1</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47 registered studies here made 236 predictions: 107 passed, 89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42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53. A wider prior does not bring the twin to the real recordings: the gap is the model</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Widening the twin's prior where its posterior pointed moves the median real recording only from 2.43 to 2.211 units from its nearest simulation (registered target: half); the twin does not produce these recordings, so its inverse model is not to be read on them, under either prior.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45 (</w:t>
      </w:r>
      <w:r>
        <w:rPr>
          <w:rFonts w:ascii="Consolas" w:hAnsi="Consolas"/>
          <w:b w:val="0"/>
          <w:i w:val="0"/>
          <w:color w:val="222222"/>
          <w:sz w:val="19"/>
        </w:rPr>
        <w:t>src/neuromps/twin/prior_reach.py</w:t>
      </w:r>
      <w:r>
        <w:rPr>
          <w:rFonts w:ascii="Calibri" w:hAnsi="Calibri"/>
          <w:b w:val="0"/>
          <w:i w:val="0"/>
          <w:color w:val="222222"/>
          <w:sz w:val="21"/>
        </w:rPr>
        <w:t xml:space="preserve">, </w:t>
      </w:r>
      <w:r>
        <w:rPr>
          <w:rFonts w:ascii="Consolas" w:hAnsi="Consolas"/>
          <w:b w:val="0"/>
          <w:i w:val="0"/>
          <w:color w:val="222222"/>
          <w:sz w:val="19"/>
        </w:rPr>
        <w:t>src/neuromps/twin/prior_reach_run.py</w:t>
      </w:r>
      <w:r>
        <w:rPr>
          <w:rFonts w:ascii="Calibri" w:hAnsi="Calibri"/>
          <w:b w:val="0"/>
          <w:i w:val="0"/>
          <w:color w:val="222222"/>
          <w:sz w:val="21"/>
        </w:rPr>
        <w:t xml:space="preserve">, </w:t>
      </w:r>
      <w:r>
        <w:rPr>
          <w:rFonts w:ascii="Consolas" w:hAnsi="Consolas"/>
          <w:b w:val="0"/>
          <w:i w:val="0"/>
          <w:color w:val="222222"/>
          <w:sz w:val="19"/>
        </w:rPr>
        <w:t>preregistration/twin_prior_reach.json</w:t>
      </w:r>
      <w:r>
        <w:rPr>
          <w:rFonts w:ascii="Calibri" w:hAnsi="Calibri"/>
          <w:b w:val="0"/>
          <w:i w:val="0"/>
          <w:color w:val="222222"/>
          <w:sz w:val="21"/>
        </w:rPr>
        <w:t xml:space="preserve">, decision D38, report §16, "A registered follow-up"). A diagnostic on the round-1 pool, declared as seen, located the gap in four summaries (the chambers' rate ratio, the coupling lag, the two active-electrode counts) and showed the round-1 posterior pushing past the </w:t>
      </w:r>
      <w:r>
        <w:rPr>
          <w:rFonts w:ascii="Consolas" w:hAnsi="Consolas"/>
          <w:b w:val="0"/>
          <w:i w:val="0"/>
          <w:color w:val="222222"/>
          <w:sz w:val="19"/>
        </w:rPr>
        <w:t>threshold_scale</w:t>
      </w:r>
      <w:r>
        <w:rPr>
          <w:rFonts w:ascii="Calibri" w:hAnsi="Calibri"/>
          <w:b w:val="0"/>
          <w:i w:val="0"/>
          <w:color w:val="222222"/>
          <w:sz w:val="21"/>
        </w:rPr>
        <w:t xml:space="preserve"> and </w:t>
      </w:r>
      <w:r>
        <w:rPr>
          <w:rFonts w:ascii="Consolas" w:hAnsi="Consolas"/>
          <w:b w:val="0"/>
          <w:i w:val="0"/>
          <w:color w:val="222222"/>
          <w:sz w:val="19"/>
        </w:rPr>
        <w:t>log10_forward_ratio</w:t>
      </w:r>
      <w:r>
        <w:rPr>
          <w:rFonts w:ascii="Calibri" w:hAnsi="Calibri"/>
          <w:b w:val="0"/>
          <w:i w:val="0"/>
          <w:color w:val="222222"/>
          <w:sz w:val="21"/>
        </w:rPr>
        <w:t xml:space="preserve"> bounds for the real recordings. The registered box widens those two and </w:t>
      </w:r>
      <w:r>
        <w:rPr>
          <w:rFonts w:ascii="Consolas" w:hAnsi="Consolas"/>
          <w:b w:val="0"/>
          <w:i w:val="0"/>
          <w:color w:val="222222"/>
          <w:sz w:val="19"/>
        </w:rPr>
        <w:t>ampa_scale</w:t>
      </w:r>
      <w:r>
        <w:rPr>
          <w:rFonts w:ascii="Calibri" w:hAnsi="Calibri"/>
          <w:b w:val="0"/>
          <w:i w:val="0"/>
          <w:color w:val="222222"/>
          <w:sz w:val="21"/>
        </w:rPr>
        <w:t xml:space="preserve"> and keeps the other two; 3,000 fresh simulations (600 held out) were run from it, all before the registered cut-off, and every distance is read on the round-1 pool's scale at equal pool sizes. </w:t>
      </w:r>
      <w:r>
        <w:rPr>
          <w:rFonts w:ascii="Consolas" w:hAnsi="Consolas"/>
          <w:b w:val="0"/>
          <w:i w:val="0"/>
          <w:color w:val="222222"/>
          <w:sz w:val="19"/>
        </w:rPr>
        <w:t>neuromps.twin.inference</w:t>
      </w:r>
      <w:r>
        <w:rPr>
          <w:rFonts w:ascii="Calibri" w:hAnsi="Calibri"/>
          <w:b w:val="0"/>
          <w:i w:val="0"/>
          <w:color w:val="222222"/>
          <w:sz w:val="21"/>
        </w:rPr>
        <w:t xml:space="preserve"> now takes an optional prior box (unchanged when none is given), and </w:t>
      </w:r>
      <w:r>
        <w:rPr>
          <w:rFonts w:ascii="Consolas" w:hAnsi="Consolas"/>
          <w:b w:val="0"/>
          <w:i w:val="0"/>
          <w:color w:val="222222"/>
          <w:sz w:val="19"/>
        </w:rPr>
        <w:t>run_all.py</w:t>
      </w:r>
      <w:r>
        <w:rPr>
          <w:rFonts w:ascii="Calibri" w:hAnsi="Calibri"/>
          <w:b w:val="0"/>
          <w:i w:val="0"/>
          <w:color w:val="222222"/>
          <w:sz w:val="21"/>
        </w:rPr>
        <w:t xml:space="preserve"> gains a full-tier step; the quick tier only re-scores the committed record.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45 found the real recordings far from every simulation; whether that is the prior's range or something the twin cannot produce decides whether a wider prior or a different model is the next step.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R1 fails: the ratio of median distances is 0.91 (registered pass at 0.5 or below), and the verdict holds on the new pool's own scale (0.876) and on the pooled one. The chambers' rate ratio still carries a share of 0.2998 of what remains.</w:t>
      </w:r>
    </w:p>
    <w:p>
      <w:pPr>
        <w:spacing w:after="120"/>
        <w:ind w:left="432" w:hanging="259"/>
      </w:pPr>
      <w:r>
        <w:rPr>
          <w:rFonts w:ascii="Calibri" w:hAnsi="Calibri"/>
          <w:b w:val="0"/>
          <w:i w:val="0"/>
          <w:color w:val="222222"/>
          <w:sz w:val="21"/>
        </w:rPr>
        <w:t>•</w:t>
        <w:tab/>
      </w:r>
      <w:r>
        <w:rPr>
          <w:rFonts w:ascii="Calibri" w:hAnsi="Calibri"/>
          <w:b w:val="0"/>
          <w:i w:val="0"/>
          <w:color w:val="222222"/>
          <w:sz w:val="21"/>
        </w:rPr>
        <w:t>R2 passes: the new pool keeps a near neighbour for a share of 0.8233 of the round-1 held-out simulations.</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R3 passes: one flow on the new pool is calibrated for </w:t>
      </w:r>
      <w:r>
        <w:rPr>
          <w:rFonts w:ascii="Consolas" w:hAnsi="Consolas"/>
          <w:b w:val="0"/>
          <w:i w:val="0"/>
          <w:color w:val="222222"/>
          <w:sz w:val="19"/>
        </w:rPr>
        <w:t>threshold_scale</w:t>
      </w:r>
      <w:r>
        <w:rPr>
          <w:rFonts w:ascii="Calibri" w:hAnsi="Calibri"/>
          <w:b w:val="0"/>
          <w:i w:val="0"/>
          <w:color w:val="222222"/>
          <w:sz w:val="21"/>
        </w:rPr>
        <w:t xml:space="preserve"> on the 200 held-out simulations nearest the real recordings (p = 0.2682); on the same simulations it fails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cache, whose summary-code hash moved with two off-by-default extractor options (entry 47), reproduces exactly (6 of 6 rows), so both pools come from one simulator.</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45's record (</w:t>
      </w:r>
      <w:r>
        <w:rPr>
          <w:rFonts w:ascii="Consolas" w:hAnsi="Consolas"/>
          <w:b w:val="0"/>
          <w:i w:val="0"/>
          <w:color w:val="222222"/>
          <w:sz w:val="19"/>
        </w:rPr>
        <w:t>twin_hd14b_recalibration</w:t>
      </w:r>
      <w:r>
        <w:rPr>
          <w:rFonts w:ascii="Calibri" w:hAnsi="Calibri"/>
          <w:b w:val="0"/>
          <w:i w:val="0"/>
          <w:color w:val="222222"/>
          <w:sz w:val="21"/>
        </w:rPr>
        <w:t>) is untouched. §18's support-rejection row now says the gap is misspecification, not the prior's range. The registration counts in §21 and entry 43 rise by this study's three predictions, one registration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decision D38; </w:t>
      </w:r>
      <w:r>
        <w:rPr>
          <w:rFonts w:ascii="Consolas" w:hAnsi="Consolas"/>
          <w:b w:val="0"/>
          <w:i w:val="0"/>
          <w:color w:val="222222"/>
          <w:sz w:val="19"/>
        </w:rPr>
        <w:t>outputs/twin/prior_reach_simulated.png</w:t>
      </w:r>
      <w:r>
        <w:rPr>
          <w:rFonts w:ascii="Calibri" w:hAnsi="Calibri"/>
          <w:b w:val="0"/>
          <w:i w:val="0"/>
          <w:color w:val="222222"/>
          <w:sz w:val="21"/>
        </w:rPr>
        <w:t xml:space="preserve">, </w:t>
      </w:r>
      <w:r>
        <w:rPr>
          <w:rFonts w:ascii="Consolas" w:hAnsi="Consolas"/>
          <w:b w:val="0"/>
          <w:i w:val="0"/>
          <w:color w:val="222222"/>
          <w:sz w:val="19"/>
        </w:rPr>
        <w:t>outputs/twin/prior_reach_SIMULATED.json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twin_prior_reach</w:t>
      </w:r>
      <w:r>
        <w:rPr>
          <w:rFonts w:ascii="Calibri" w:hAnsi="Calibri"/>
          <w:b w:val="0"/>
          <w:i w:val="0"/>
          <w:color w:val="222222"/>
          <w:sz w:val="21"/>
        </w:rPr>
        <w:t xml:space="preserve">; tests </w:t>
      </w:r>
      <w:r>
        <w:rPr>
          <w:rFonts w:ascii="Consolas" w:hAnsi="Consolas"/>
          <w:b w:val="0"/>
          <w:i w:val="0"/>
          <w:color w:val="222222"/>
          <w:sz w:val="19"/>
        </w:rPr>
        <w:t>tests/test_twin_prior_reach.py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