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36"/>
        <w:gridCol w:w="2437"/>
        <w:gridCol w:w="2632"/>
        <w:gridCol w:w="1691"/>
      </w:tblGrid>
      <w:tr>
        <w:trPr>
          <w:cantSplit/>
          <w:tblHeader/>
        </w:trPr>
        <w:tc>
          <w:tcPr>
            <w:tcW w:type="dxa" w:w="1736"/>
            <w:shd w:val="clear" w:color="auto" w:fill="1F4E79"/>
            <w:vAlign w:val="center"/>
          </w:tcPr>
          <w:p>
            <w:pPr>
              <w:keepNext/>
              <w:spacing w:after="0"/>
            </w:pPr>
            <w:r>
              <w:rPr>
                <w:rFonts w:ascii="Calibri" w:hAnsi="Calibri"/>
                <w:b/>
                <w:i w:val="0"/>
                <w:color w:val="FFFFFF"/>
                <w:sz w:val="20"/>
              </w:rPr>
              <w:t>setting</w:t>
            </w:r>
          </w:p>
        </w:tc>
        <w:tc>
          <w:tcPr>
            <w:tcW w:type="dxa" w:w="2437"/>
            <w:shd w:val="clear" w:color="auto" w:fill="1F4E79"/>
            <w:vAlign w:val="center"/>
          </w:tcPr>
          <w:p>
            <w:pPr>
              <w:keepNext/>
              <w:spacing w:after="0"/>
            </w:pPr>
            <w:r>
              <w:rPr>
                <w:rFonts w:ascii="Calibri" w:hAnsi="Calibri"/>
                <w:b/>
                <w:i w:val="0"/>
                <w:color w:val="FFFFFF"/>
                <w:sz w:val="20"/>
              </w:rPr>
              <w:t>depositors (meaRtools, as stated)</w:t>
            </w:r>
          </w:p>
        </w:tc>
        <w:tc>
          <w:tcPr>
            <w:tcW w:type="dxa" w:w="2632"/>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691"/>
            <w:shd w:val="clear" w:color="auto" w:fill="1F4E79"/>
            <w:vAlign w:val="center"/>
          </w:tcPr>
          <w:p>
            <w:pPr>
              <w:keepNext/>
              <w:spacing w:after="0"/>
            </w:pPr>
            <w:r>
              <w:rPr>
                <w:rFonts w:ascii="Calibri" w:hAnsi="Calibri"/>
                <w:b/>
                <w:i w:val="0"/>
                <w:color w:val="FFFFFF"/>
                <w:sz w:val="20"/>
              </w:rPr>
              <w:t>ladder step</w:t>
            </w:r>
          </w:p>
        </w:tc>
      </w:tr>
      <w:tr>
        <w:trPr>
          <w:cantSplit/>
        </w:trPr>
        <w:tc>
          <w:tcPr>
            <w:tcW w:type="dxa" w:w="1736"/>
            <w:shd w:val="clear" w:color="auto" w:fill="FFFFFF"/>
            <w:vAlign w:val="center"/>
          </w:tcPr>
          <w:p>
            <w:pPr>
              <w:keepNext/>
              <w:spacing w:after="0"/>
            </w:pPr>
            <w:r>
              <w:rPr>
                <w:rFonts w:ascii="Calibri" w:hAnsi="Calibri"/>
                <w:b/>
                <w:i w:val="0"/>
                <w:color w:val="222222"/>
                <w:sz w:val="20"/>
              </w:rPr>
              <w:t>active electrode</w:t>
            </w:r>
          </w:p>
        </w:tc>
        <w:tc>
          <w:tcPr>
            <w:tcW w:type="dxa" w:w="2437"/>
            <w:shd w:val="clear" w:color="auto" w:fill="FFFFFF"/>
            <w:vAlign w:val="center"/>
          </w:tcPr>
          <w:p>
            <w:pPr>
              <w:keepNext/>
              <w:spacing w:after="0"/>
            </w:pPr>
            <w:r>
              <w:rPr>
                <w:rFonts w:ascii="Calibri" w:hAnsi="Calibri"/>
                <w:b w:val="0"/>
                <w:i w:val="0"/>
                <w:color w:val="222222"/>
                <w:sz w:val="20"/>
              </w:rPr>
              <w:t>more than 10 spikes/min</w:t>
            </w:r>
          </w:p>
        </w:tc>
        <w:tc>
          <w:tcPr>
            <w:tcW w:type="dxa" w:w="2632"/>
            <w:shd w:val="clear" w:color="auto" w:fill="FFFFFF"/>
            <w:vAlign w:val="center"/>
          </w:tcPr>
          <w:p>
            <w:pPr>
              <w:keepNext/>
              <w:spacing w:after="0"/>
            </w:pPr>
            <w:r>
              <w:rPr>
                <w:rFonts w:ascii="Calibri" w:hAnsi="Calibri"/>
                <w:b w:val="0"/>
                <w:i w:val="0"/>
                <w:color w:val="222222"/>
                <w:sz w:val="20"/>
              </w:rPr>
              <w:t>at least 5 spikes/min</w:t>
            </w:r>
          </w:p>
        </w:tc>
        <w:tc>
          <w:tcPr>
            <w:tcW w:type="dxa" w:w="1691"/>
            <w:shd w:val="clear" w:color="auto" w:fill="FFFFFF"/>
            <w:vAlign w:val="center"/>
          </w:tcPr>
          <w:p>
            <w:pPr>
              <w:keepNext/>
              <w:spacing w:after="0"/>
            </w:pPr>
            <w:r>
              <w:rPr>
                <w:rFonts w:ascii="Calibri" w:hAnsi="Calibri"/>
                <w:b w:val="0"/>
                <w:i w:val="0"/>
                <w:color w:val="222222"/>
                <w:sz w:val="20"/>
              </w:rPr>
              <w:t>S1</w:t>
            </w:r>
          </w:p>
        </w:tc>
      </w:tr>
      <w:tr>
        <w:trPr>
          <w:cantSplit/>
        </w:trPr>
        <w:tc>
          <w:tcPr>
            <w:tcW w:type="dxa" w:w="1736"/>
            <w:shd w:val="clear" w:color="auto" w:fill="F7F9FB"/>
            <w:vAlign w:val="center"/>
          </w:tcPr>
          <w:p>
            <w:pPr>
              <w:keepNext/>
              <w:spacing w:after="0"/>
            </w:pPr>
            <w:r>
              <w:rPr>
                <w:rFonts w:ascii="Calibri" w:hAnsi="Calibri"/>
                <w:b/>
                <w:i w:val="0"/>
                <w:color w:val="222222"/>
                <w:sz w:val="20"/>
              </w:rPr>
              <w:t>noisy electrodes</w:t>
            </w:r>
          </w:p>
        </w:tc>
        <w:tc>
          <w:tcPr>
            <w:tcW w:type="dxa" w:w="2437"/>
            <w:shd w:val="clear" w:color="auto" w:fill="F7F9FB"/>
            <w:vAlign w:val="center"/>
          </w:tcPr>
          <w:p>
            <w:pPr>
              <w:keepNext/>
              <w:spacing w:after="0"/>
            </w:pPr>
            <w:r>
              <w:rPr>
                <w:rFonts w:ascii="Calibri" w:hAnsi="Calibri"/>
                <w:b w:val="0"/>
                <w:i w:val="0"/>
                <w:color w:val="222222"/>
                <w:sz w:val="20"/>
              </w:rPr>
              <w:t>discarded</w:t>
            </w:r>
          </w:p>
        </w:tc>
        <w:tc>
          <w:tcPr>
            <w:tcW w:type="dxa" w:w="2632"/>
            <w:shd w:val="clear" w:color="auto" w:fill="F7F9FB"/>
            <w:vAlign w:val="center"/>
          </w:tcPr>
          <w:p>
            <w:pPr>
              <w:keepNext/>
              <w:spacing w:after="0"/>
            </w:pPr>
            <w:r>
              <w:rPr>
                <w:rFonts w:ascii="Calibri" w:hAnsi="Calibri"/>
                <w:b w:val="0"/>
                <w:i w:val="0"/>
                <w:color w:val="222222"/>
                <w:sz w:val="20"/>
              </w:rPr>
              <w:t>flagged, kept</w:t>
            </w:r>
          </w:p>
        </w:tc>
        <w:tc>
          <w:tcPr>
            <w:tcW w:type="dxa" w:w="1691"/>
            <w:shd w:val="clear" w:color="auto" w:fill="F7F9FB"/>
            <w:vAlign w:val="center"/>
          </w:tcPr>
          <w:p>
            <w:pPr>
              <w:keepNext/>
              <w:spacing w:after="0"/>
            </w:pPr>
            <w:r>
              <w:rPr>
                <w:rFonts w:ascii="Calibri" w:hAnsi="Calibri"/>
                <w:b w:val="0"/>
                <w:i w:val="0"/>
                <w:color w:val="222222"/>
                <w:sz w:val="20"/>
              </w:rPr>
              <w:t>S2</w:t>
            </w:r>
          </w:p>
        </w:tc>
      </w:tr>
      <w:tr>
        <w:trPr>
          <w:cantSplit/>
        </w:trPr>
        <w:tc>
          <w:tcPr>
            <w:tcW w:type="dxa" w:w="1736"/>
            <w:shd w:val="clear" w:color="auto" w:fill="FFFFFF"/>
            <w:vAlign w:val="center"/>
          </w:tcPr>
          <w:p>
            <w:pPr>
              <w:keepNext/>
              <w:spacing w:after="0"/>
            </w:pPr>
            <w:r>
              <w:rPr>
                <w:rFonts w:ascii="Calibri" w:hAnsi="Calibri"/>
                <w:b/>
                <w:i w:val="0"/>
                <w:color w:val="222222"/>
                <w:sz w:val="20"/>
              </w:rPr>
              <w:t>burst rate divided by</w:t>
            </w:r>
          </w:p>
        </w:tc>
        <w:tc>
          <w:tcPr>
            <w:tcW w:type="dxa" w:w="2437"/>
            <w:shd w:val="clear" w:color="auto" w:fill="FFFFFF"/>
            <w:vAlign w:val="center"/>
          </w:tcPr>
          <w:p>
            <w:pPr>
              <w:keepNext/>
              <w:spacing w:after="0"/>
            </w:pPr>
            <w:r>
              <w:rPr>
                <w:rFonts w:ascii="Calibri" w:hAnsi="Calibri"/>
                <w:b w:val="0"/>
                <w:i w:val="0"/>
                <w:color w:val="222222"/>
                <w:sz w:val="20"/>
              </w:rPr>
              <w:t>electrodes that burst</w:t>
            </w:r>
          </w:p>
        </w:tc>
        <w:tc>
          <w:tcPr>
            <w:tcW w:type="dxa" w:w="2632"/>
            <w:shd w:val="clear" w:color="auto" w:fill="FFFFFF"/>
            <w:vAlign w:val="center"/>
          </w:tcPr>
          <w:p>
            <w:pPr>
              <w:keepNext/>
              <w:spacing w:after="0"/>
            </w:pPr>
            <w:r>
              <w:rPr>
                <w:rFonts w:ascii="Calibri" w:hAnsi="Calibri"/>
                <w:b w:val="0"/>
                <w:i w:val="0"/>
                <w:color w:val="222222"/>
                <w:sz w:val="20"/>
              </w:rPr>
              <w:t>every active electrode</w:t>
            </w:r>
          </w:p>
        </w:tc>
        <w:tc>
          <w:tcPr>
            <w:tcW w:type="dxa" w:w="1691"/>
            <w:shd w:val="clear" w:color="auto" w:fill="FFFFFF"/>
            <w:vAlign w:val="center"/>
          </w:tcPr>
          <w:p>
            <w:pPr>
              <w:keepNext/>
              <w:spacing w:after="0"/>
            </w:pPr>
            <w:r>
              <w:rPr>
                <w:rFonts w:ascii="Calibri" w:hAnsi="Calibri"/>
                <w:b w:val="0"/>
                <w:i w:val="0"/>
                <w:color w:val="222222"/>
                <w:sz w:val="20"/>
              </w:rPr>
              <w:t>S3</w:t>
            </w:r>
          </w:p>
        </w:tc>
      </w:tr>
      <w:tr>
        <w:trPr>
          <w:cantSplit/>
        </w:trPr>
        <w:tc>
          <w:tcPr>
            <w:tcW w:type="dxa" w:w="1736"/>
            <w:shd w:val="clear" w:color="auto" w:fill="F7F9FB"/>
            <w:vAlign w:val="center"/>
          </w:tcPr>
          <w:p>
            <w:pPr>
              <w:keepNext/>
              <w:spacing w:after="0"/>
            </w:pPr>
            <w:r>
              <w:rPr>
                <w:rFonts w:ascii="Calibri" w:hAnsi="Calibri"/>
                <w:b/>
                <w:i w:val="0"/>
                <w:color w:val="222222"/>
                <w:sz w:val="20"/>
              </w:rPr>
              <w:t>burst detector</w:t>
            </w:r>
          </w:p>
        </w:tc>
        <w:tc>
          <w:tcPr>
            <w:tcW w:type="dxa" w:w="2437"/>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632"/>
            <w:shd w:val="clear" w:color="auto" w:fill="F7F9FB"/>
            <w:vAlign w:val="center"/>
          </w:tcPr>
          <w:p>
            <w:pPr>
              <w:keepNext/>
              <w:spacing w:after="0"/>
            </w:pPr>
            <w:r>
              <w:rPr>
                <w:rFonts w:ascii="Calibri" w:hAnsi="Calibri"/>
                <w:b w:val="0"/>
                <w:i w:val="0"/>
                <w:color w:val="222222"/>
                <w:sz w:val="20"/>
              </w:rPr>
              <w:t>fixed: ISI ≤ 100 ms</w:t>
            </w:r>
          </w:p>
        </w:tc>
        <w:tc>
          <w:tcPr>
            <w:tcW w:type="dxa" w:w="1691"/>
            <w:shd w:val="clear" w:color="auto" w:fill="F7F9FB"/>
            <w:vAlign w:val="center"/>
          </w:tcPr>
          <w:p>
            <w:pPr>
              <w:keepNext/>
              <w:spacing w:after="0"/>
            </w:pPr>
            <w:r>
              <w:rPr>
                <w:rFonts w:ascii="Calibri" w:hAnsi="Calibri"/>
                <w:b w:val="0"/>
                <w:i w:val="0"/>
                <w:color w:val="222222"/>
                <w:sz w:val="20"/>
              </w:rPr>
              <w:t>S4, registered (below)</w:t>
            </w:r>
          </w:p>
        </w:tc>
      </w:tr>
      <w:tr>
        <w:trPr>
          <w:cantSplit/>
        </w:trPr>
        <w:tc>
          <w:tcPr>
            <w:tcW w:type="dxa" w:w="1736"/>
            <w:shd w:val="clear" w:color="auto" w:fill="FFFFFF"/>
            <w:vAlign w:val="center"/>
          </w:tcPr>
          <w:p>
            <w:pPr>
              <w:keepNext/>
              <w:spacing w:after="0"/>
            </w:pPr>
            <w:r>
              <w:rPr>
                <w:rFonts w:ascii="Calibri" w:hAnsi="Calibri"/>
                <w:b/>
                <w:i w:val="0"/>
                <w:color w:val="222222"/>
                <w:sz w:val="20"/>
              </w:rPr>
              <w:t>minimum spikes per burst</w:t>
            </w:r>
          </w:p>
        </w:tc>
        <w:tc>
          <w:tcPr>
            <w:tcW w:type="dxa" w:w="2437"/>
            <w:shd w:val="clear" w:color="auto" w:fill="FFFFFF"/>
            <w:vAlign w:val="center"/>
          </w:tcPr>
          <w:p>
            <w:pPr>
              <w:keepNext/>
              <w:spacing w:after="0"/>
              <w:jc w:val="center"/>
            </w:pPr>
            <w:r>
              <w:rPr>
                <w:rFonts w:ascii="Calibri" w:hAnsi="Calibri"/>
                <w:b w:val="0"/>
                <w:i w:val="0"/>
                <w:color w:val="222222"/>
                <w:sz w:val="20"/>
              </w:rPr>
              <w:t>5</w:t>
            </w:r>
          </w:p>
        </w:tc>
        <w:tc>
          <w:tcPr>
            <w:tcW w:type="dxa" w:w="2632"/>
            <w:shd w:val="clear" w:color="auto" w:fill="FFFFFF"/>
            <w:vAlign w:val="center"/>
          </w:tcPr>
          <w:p>
            <w:pPr>
              <w:keepNext/>
              <w:spacing w:after="0"/>
              <w:jc w:val="center"/>
            </w:pPr>
            <w:r>
              <w:rPr>
                <w:rFonts w:ascii="Calibri" w:hAnsi="Calibri"/>
                <w:b w:val="0"/>
                <w:i w:val="0"/>
                <w:color w:val="222222"/>
                <w:sz w:val="20"/>
              </w:rPr>
              <w:t>5</w:t>
            </w:r>
          </w:p>
        </w:tc>
        <w:tc>
          <w:tcPr>
            <w:tcW w:type="dxa" w:w="1691"/>
            <w:shd w:val="clear" w:color="auto" w:fill="FFFFFF"/>
            <w:vAlign w:val="center"/>
          </w:tcPr>
          <w:p>
            <w:pPr>
              <w:keepNext/>
              <w:spacing w:after="0"/>
            </w:pPr>
            <w:r>
              <w:rPr>
                <w:rFonts w:ascii="Calibri" w:hAnsi="Calibri"/>
                <w:b w:val="0"/>
                <w:i w:val="0"/>
                <w:color w:val="222222"/>
                <w:sz w:val="20"/>
              </w:rPr>
              <w:t>same</w:t>
            </w:r>
          </w:p>
        </w:tc>
      </w:tr>
      <w:tr>
        <w:trPr>
          <w:cantSplit/>
        </w:trPr>
        <w:tc>
          <w:tcPr>
            <w:tcW w:type="dxa" w:w="1736"/>
            <w:shd w:val="clear" w:color="auto" w:fill="F7F9FB"/>
            <w:vAlign w:val="center"/>
          </w:tcPr>
          <w:p>
            <w:pPr>
              <w:keepNext w:val="0"/>
              <w:spacing w:after="0"/>
            </w:pPr>
            <w:r>
              <w:rPr>
                <w:rFonts w:ascii="Calibri" w:hAnsi="Calibri"/>
                <w:b/>
                <w:i w:val="0"/>
                <w:color w:val="222222"/>
                <w:sz w:val="20"/>
              </w:rPr>
              <w:t>STTC window</w:t>
            </w:r>
          </w:p>
        </w:tc>
        <w:tc>
          <w:tcPr>
            <w:tcW w:type="dxa" w:w="2437"/>
            <w:shd w:val="clear" w:color="auto" w:fill="F7F9FB"/>
            <w:vAlign w:val="center"/>
          </w:tcPr>
          <w:p>
            <w:pPr>
              <w:keepNext w:val="0"/>
              <w:spacing w:after="0"/>
            </w:pPr>
            <w:r>
              <w:rPr>
                <w:rFonts w:ascii="Calibri" w:hAnsi="Calibri"/>
                <w:b w:val="0"/>
                <w:i w:val="0"/>
                <w:color w:val="222222"/>
                <w:sz w:val="20"/>
              </w:rPr>
              <w:t>50 ms</w:t>
            </w:r>
          </w:p>
        </w:tc>
        <w:tc>
          <w:tcPr>
            <w:tcW w:type="dxa" w:w="2632"/>
            <w:shd w:val="clear" w:color="auto" w:fill="F7F9FB"/>
            <w:vAlign w:val="center"/>
          </w:tcPr>
          <w:p>
            <w:pPr>
              <w:keepNext w:val="0"/>
              <w:spacing w:after="0"/>
            </w:pPr>
            <w:r>
              <w:rPr>
                <w:rFonts w:ascii="Calibri" w:hAnsi="Calibri"/>
                <w:b w:val="0"/>
                <w:i w:val="0"/>
                <w:color w:val="222222"/>
                <w:sz w:val="20"/>
              </w:rPr>
              <w:t>50 ms</w:t>
            </w:r>
          </w:p>
        </w:tc>
        <w:tc>
          <w:tcPr>
            <w:tcW w:type="dxa" w:w="1691"/>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The ladder leaves the rest to the burst detector, which it does not change: burst duration stays at a pooled ratio of 0.8208 and spikes per burst at 0.9433 at S3. Whether the detector accounts for that remainder was then tested, as registered (below).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keepNext/>
        <w:spacing w:after="120"/>
      </w:pPr>
      <w:r>
        <w:rPr>
          <w:rFonts w:ascii="Calibri" w:hAnsi="Calibri"/>
          <w:b/>
          <w:i w:val="0"/>
          <w:color w:val="156082"/>
          <w:sz w:val="21"/>
        </w:rPr>
        <w:t>The detector, tested (registered).</w:t>
      </w:r>
      <w:r>
        <w:rPr>
          <w:rFonts w:ascii="Calibri" w:hAnsi="Calibri"/>
          <w:b w:val="0"/>
          <w:i w:val="0"/>
          <w:color w:val="222222"/>
          <w:sz w:val="21"/>
        </w:rPr>
        <w:t xml:space="preserve"> We then implemented the depositors' adaptive detector, logISI (Pasquale et al. 2010, with their minimum of five spikes and their merging of bursts that lie closer than the merge interval), as an option of the same extractor, off by default (</w:t>
      </w:r>
      <w:r>
        <w:rPr>
          <w:rFonts w:ascii="Consolas" w:hAnsi="Consolas"/>
          <w:b w:val="0"/>
          <w:i w:val="0"/>
          <w:color w:val="222222"/>
          <w:sz w:val="19"/>
        </w:rPr>
        <w:t>FeatureParams.burst_detector</w:t>
      </w:r>
      <w:r>
        <w:rPr>
          <w:rFonts w:ascii="Calibri" w:hAnsi="Calibri"/>
          <w:b w:val="0"/>
          <w:i w:val="0"/>
          <w:color w:val="222222"/>
          <w:sz w:val="21"/>
        </w:rPr>
        <w:t xml:space="preserve">), and registered four predictions before running it on any Kapucu recording (decision D34, </w:t>
      </w:r>
      <w:r>
        <w:rPr>
          <w:rFonts w:ascii="Consolas" w:hAnsi="Consolas"/>
          <w:b w:val="0"/>
          <w:i w:val="0"/>
          <w:color w:val="222222"/>
          <w:sz w:val="19"/>
        </w:rPr>
        <w:t>preregistration/extractor_logisi.json</w:t>
      </w:r>
      <w:r>
        <w:rPr>
          <w:rFonts w:ascii="Calibri" w:hAnsi="Calibri"/>
          <w:b w:val="0"/>
          <w:i w:val="0"/>
          <w:color w:val="222222"/>
          <w:sz w:val="21"/>
        </w:rPr>
        <w:t>; its implementation section, committed before the run, gives each choice of binning, smoothing, peaks, cutoff, extension, fallback and merging with its source). Each electrode gets its own ISI threshold from the valley of its log-ISI histogram; an electrode with no valid threshold falls back to the fixed rule. S4 is S3 with logISI, so the electrodes and the denominator stay the depositors'.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15"/>
        <w:gridCol w:w="1886"/>
        <w:gridCol w:w="1843"/>
        <w:gridCol w:w="3252"/>
      </w:tblGrid>
      <w:tr>
        <w:trPr>
          <w:cantSplit/>
          <w:tblHeader/>
        </w:trPr>
        <w:tc>
          <w:tcPr>
            <w:tcW w:type="dxa" w:w="1515"/>
            <w:shd w:val="clear" w:color="auto" w:fill="1F4E79"/>
            <w:vAlign w:val="center"/>
          </w:tcPr>
          <w:p>
            <w:pPr>
              <w:keepNext/>
              <w:spacing w:after="0"/>
            </w:pPr>
            <w:r>
              <w:rPr>
                <w:rFonts w:ascii="Calibri" w:hAnsi="Calibri"/>
                <w:b/>
                <w:i w:val="0"/>
                <w:color w:val="FFFFFF"/>
                <w:sz w:val="20"/>
              </w:rPr>
              <w:t>prediction</w:t>
            </w:r>
          </w:p>
        </w:tc>
        <w:tc>
          <w:tcPr>
            <w:tcW w:type="dxa" w:w="1886"/>
            <w:shd w:val="clear" w:color="auto" w:fill="1F4E79"/>
            <w:vAlign w:val="center"/>
          </w:tcPr>
          <w:p>
            <w:pPr>
              <w:keepNext/>
              <w:spacing w:after="0"/>
            </w:pPr>
            <w:r>
              <w:rPr>
                <w:rFonts w:ascii="Calibri" w:hAnsi="Calibri"/>
                <w:b/>
                <w:i w:val="0"/>
                <w:color w:val="FFFFFF"/>
                <w:sz w:val="20"/>
              </w:rPr>
              <w:t>registered test</w:t>
            </w:r>
          </w:p>
        </w:tc>
        <w:tc>
          <w:tcPr>
            <w:tcW w:type="dxa" w:w="1843"/>
            <w:shd w:val="clear" w:color="auto" w:fill="1F4E79"/>
            <w:vAlign w:val="center"/>
          </w:tcPr>
          <w:p>
            <w:pPr>
              <w:keepNext/>
              <w:spacing w:after="0"/>
            </w:pPr>
            <w:r>
              <w:rPr>
                <w:rFonts w:ascii="Calibri" w:hAnsi="Calibri"/>
                <w:b/>
                <w:i w:val="0"/>
                <w:color w:val="FFFFFF"/>
                <w:sz w:val="20"/>
              </w:rPr>
              <w:t>S4</w:t>
            </w:r>
          </w:p>
        </w:tc>
        <w:tc>
          <w:tcPr>
            <w:tcW w:type="dxa" w:w="3252"/>
            <w:shd w:val="clear" w:color="auto" w:fill="1F4E79"/>
            <w:vAlign w:val="center"/>
          </w:tcPr>
          <w:p>
            <w:pPr>
              <w:keepNext/>
              <w:spacing w:after="0"/>
            </w:pPr>
            <w:r>
              <w:rPr>
                <w:rFonts w:ascii="Calibri" w:hAnsi="Calibri"/>
                <w:b/>
                <w:i w:val="0"/>
                <w:color w:val="FFFFFF"/>
                <w:sz w:val="20"/>
              </w:rPr>
              <w:t>outcome</w:t>
            </w:r>
          </w:p>
        </w:tc>
      </w:tr>
      <w:tr>
        <w:trPr>
          <w:cantSplit/>
        </w:trPr>
        <w:tc>
          <w:tcPr>
            <w:tcW w:type="dxa" w:w="1515"/>
            <w:shd w:val="clear" w:color="auto" w:fill="FFFFFF"/>
            <w:vAlign w:val="center"/>
          </w:tcPr>
          <w:p>
            <w:pPr>
              <w:keepNext/>
              <w:spacing w:after="0"/>
            </w:pPr>
            <w:r>
              <w:rPr>
                <w:rFonts w:ascii="Calibri" w:hAnsi="Calibri"/>
                <w:b/>
                <w:i w:val="0"/>
                <w:color w:val="222222"/>
                <w:sz w:val="20"/>
              </w:rPr>
              <w:t>L1, burst duration closes</w:t>
            </w:r>
          </w:p>
        </w:tc>
        <w:tc>
          <w:tcPr>
            <w:tcW w:type="dxa" w:w="1886"/>
            <w:shd w:val="clear" w:color="auto" w:fill="FFFFFF"/>
            <w:vAlign w:val="center"/>
          </w:tcPr>
          <w:p>
            <w:pPr>
              <w:keepNext/>
              <w:spacing w:after="0"/>
            </w:pPr>
            <w:r>
              <w:rPr>
                <w:rFonts w:ascii="Calibri" w:hAnsi="Calibri"/>
                <w:b w:val="0"/>
                <w:i w:val="0"/>
                <w:color w:val="222222"/>
                <w:sz w:val="20"/>
              </w:rPr>
              <w:t>pooled ratio 0.9 to 1.1, rho at least 0.9</w:t>
            </w:r>
          </w:p>
        </w:tc>
        <w:tc>
          <w:tcPr>
            <w:tcW w:type="dxa" w:w="1843"/>
            <w:shd w:val="clear" w:color="auto" w:fill="FFFFFF"/>
            <w:vAlign w:val="center"/>
          </w:tcPr>
          <w:p>
            <w:pPr>
              <w:keepNext/>
              <w:spacing w:after="0"/>
            </w:pPr>
            <w:r>
              <w:rPr>
                <w:rFonts w:ascii="Calibri" w:hAnsi="Calibri"/>
                <w:b w:val="0"/>
                <w:i w:val="0"/>
                <w:color w:val="222222"/>
                <w:sz w:val="20"/>
              </w:rPr>
              <w:t>ratio 0.9611, rho 0.8347</w:t>
            </w:r>
          </w:p>
        </w:tc>
        <w:tc>
          <w:tcPr>
            <w:tcW w:type="dxa" w:w="3252"/>
            <w:shd w:val="clear" w:color="auto" w:fill="FFFFFF"/>
            <w:vAlign w:val="center"/>
          </w:tcPr>
          <w:p>
            <w:pPr>
              <w:keepNext/>
              <w:spacing w:after="0"/>
            </w:pPr>
            <w:r>
              <w:rPr>
                <w:rFonts w:ascii="Consolas" w:hAnsi="Consolas"/>
                <w:b w:val="0"/>
                <w:i w:val="0"/>
                <w:color w:val="222222"/>
                <w:sz w:val="18"/>
              </w:rPr>
              <w:t>fail</w:t>
            </w:r>
          </w:p>
        </w:tc>
      </w:tr>
      <w:tr>
        <w:trPr>
          <w:cantSplit/>
        </w:trPr>
        <w:tc>
          <w:tcPr>
            <w:tcW w:type="dxa" w:w="1515"/>
            <w:shd w:val="clear" w:color="auto" w:fill="F7F9FB"/>
            <w:vAlign w:val="center"/>
          </w:tcPr>
          <w:p>
            <w:pPr>
              <w:keepNext/>
              <w:spacing w:after="0"/>
            </w:pPr>
            <w:r>
              <w:rPr>
                <w:rFonts w:ascii="Calibri" w:hAnsi="Calibri"/>
                <w:b/>
                <w:i w:val="0"/>
                <w:color w:val="222222"/>
                <w:sz w:val="20"/>
              </w:rPr>
              <w:t>L2, spikes per burst closes</w:t>
            </w:r>
          </w:p>
        </w:tc>
        <w:tc>
          <w:tcPr>
            <w:tcW w:type="dxa" w:w="1886"/>
            <w:shd w:val="clear" w:color="auto" w:fill="F7F9FB"/>
            <w:vAlign w:val="center"/>
          </w:tcPr>
          <w:p>
            <w:pPr>
              <w:keepNext/>
              <w:spacing w:after="0"/>
            </w:pPr>
            <w:r>
              <w:rPr>
                <w:rFonts w:ascii="Calibri" w:hAnsi="Calibri"/>
                <w:b w:val="0"/>
                <w:i w:val="0"/>
                <w:color w:val="222222"/>
                <w:sz w:val="20"/>
              </w:rPr>
              <w:t>pooled ratio 0.95 to 1.05, rho at least 0.95</w:t>
            </w:r>
          </w:p>
        </w:tc>
        <w:tc>
          <w:tcPr>
            <w:tcW w:type="dxa" w:w="1843"/>
            <w:shd w:val="clear" w:color="auto" w:fill="F7F9FB"/>
            <w:vAlign w:val="center"/>
          </w:tcPr>
          <w:p>
            <w:pPr>
              <w:keepNext/>
              <w:spacing w:after="0"/>
            </w:pPr>
            <w:r>
              <w:rPr>
                <w:rFonts w:ascii="Calibri" w:hAnsi="Calibri"/>
                <w:b w:val="0"/>
                <w:i w:val="0"/>
                <w:color w:val="222222"/>
                <w:sz w:val="20"/>
              </w:rPr>
              <w:t>ratio 0.9986, rho 0.9467</w:t>
            </w:r>
          </w:p>
        </w:tc>
        <w:tc>
          <w:tcPr>
            <w:tcW w:type="dxa" w:w="3252"/>
            <w:shd w:val="clear" w:color="auto" w:fill="F7F9FB"/>
            <w:vAlign w:val="center"/>
          </w:tcPr>
          <w:p>
            <w:pPr>
              <w:keepNext/>
              <w:spacing w:after="0"/>
            </w:pPr>
            <w:r>
              <w:rPr>
                <w:rFonts w:ascii="Consolas" w:hAnsi="Consolas"/>
                <w:b w:val="0"/>
                <w:i w:val="0"/>
                <w:color w:val="222222"/>
                <w:sz w:val="18"/>
              </w:rPr>
              <w:t>fail</w:t>
            </w:r>
          </w:p>
        </w:tc>
      </w:tr>
      <w:tr>
        <w:trPr>
          <w:cantSplit/>
        </w:trPr>
        <w:tc>
          <w:tcPr>
            <w:tcW w:type="dxa" w:w="1515"/>
            <w:shd w:val="clear" w:color="auto" w:fill="FFFFFF"/>
            <w:vAlign w:val="center"/>
          </w:tcPr>
          <w:p>
            <w:pPr>
              <w:keepNext/>
              <w:spacing w:after="0"/>
            </w:pPr>
            <w:r>
              <w:rPr>
                <w:rFonts w:ascii="Calibri" w:hAnsi="Calibri"/>
                <w:b/>
                <w:i w:val="0"/>
                <w:color w:val="222222"/>
                <w:sz w:val="20"/>
              </w:rPr>
              <w:t>L3, hPSC burst rate closes</w:t>
            </w:r>
          </w:p>
        </w:tc>
        <w:tc>
          <w:tcPr>
            <w:tcW w:type="dxa" w:w="1886"/>
            <w:shd w:val="clear" w:color="auto" w:fill="FFFFFF"/>
            <w:vAlign w:val="center"/>
          </w:tcPr>
          <w:p>
            <w:pPr>
              <w:keepNext/>
              <w:spacing w:after="0"/>
            </w:pPr>
            <w:r>
              <w:rPr>
                <w:rFonts w:ascii="Calibri" w:hAnsi="Calibri"/>
                <w:b w:val="0"/>
                <w:i w:val="0"/>
                <w:color w:val="222222"/>
                <w:sz w:val="20"/>
              </w:rPr>
              <w:t>ratio 0.95 to 1.05 on both hPSC plates</w:t>
            </w:r>
          </w:p>
        </w:tc>
        <w:tc>
          <w:tcPr>
            <w:tcW w:type="dxa" w:w="1843"/>
            <w:shd w:val="clear" w:color="auto" w:fill="FFFFFF"/>
            <w:vAlign w:val="center"/>
          </w:tcPr>
          <w:p>
            <w:pPr>
              <w:keepNext/>
              <w:spacing w:after="0"/>
            </w:pPr>
            <w:r>
              <w:rPr>
                <w:rFonts w:ascii="Calibri" w:hAnsi="Calibri"/>
                <w:b w:val="0"/>
                <w:i w:val="0"/>
                <w:color w:val="222222"/>
                <w:sz w:val="20"/>
              </w:rPr>
              <w:t>1.0847 (hPSC_MEA1), 1.1438 (hPSC_MEA2)</w:t>
            </w:r>
          </w:p>
        </w:tc>
        <w:tc>
          <w:tcPr>
            <w:tcW w:type="dxa" w:w="3252"/>
            <w:shd w:val="clear" w:color="auto" w:fill="FFFFFF"/>
            <w:vAlign w:val="center"/>
          </w:tcPr>
          <w:p>
            <w:pPr>
              <w:keepNext/>
              <w:spacing w:after="0"/>
            </w:pPr>
            <w:r>
              <w:rPr>
                <w:rFonts w:ascii="Consolas" w:hAnsi="Consolas"/>
                <w:b w:val="0"/>
                <w:i w:val="0"/>
                <w:color w:val="222222"/>
                <w:sz w:val="18"/>
              </w:rPr>
              <w:t>uninterpretable</w:t>
            </w:r>
            <w:r>
              <w:rPr>
                <w:rFonts w:ascii="Calibri" w:hAnsi="Calibri"/>
                <w:b w:val="0"/>
                <w:i w:val="0"/>
                <w:color w:val="222222"/>
                <w:sz w:val="20"/>
              </w:rPr>
              <w:t>: the fallback covers a share of 0.515 of the hPSC active electrodes, more than half</w:t>
            </w:r>
          </w:p>
        </w:tc>
      </w:tr>
      <w:tr>
        <w:trPr>
          <w:cantSplit/>
        </w:trPr>
        <w:tc>
          <w:tcPr>
            <w:tcW w:type="dxa" w:w="1515"/>
            <w:shd w:val="clear" w:color="auto" w:fill="F7F9FB"/>
            <w:vAlign w:val="center"/>
          </w:tcPr>
          <w:p>
            <w:pPr>
              <w:keepNext w:val="0"/>
              <w:spacing w:after="0"/>
            </w:pPr>
            <w:r>
              <w:rPr>
                <w:rFonts w:ascii="Calibri" w:hAnsi="Calibri"/>
                <w:b/>
                <w:i w:val="0"/>
                <w:color w:val="222222"/>
                <w:sz w:val="20"/>
              </w:rPr>
              <w:t>L4, rat not worse</w:t>
            </w:r>
          </w:p>
        </w:tc>
        <w:tc>
          <w:tcPr>
            <w:tcW w:type="dxa" w:w="1886"/>
            <w:shd w:val="clear" w:color="auto" w:fill="F7F9FB"/>
            <w:vAlign w:val="center"/>
          </w:tcPr>
          <w:p>
            <w:pPr>
              <w:keepNext w:val="0"/>
              <w:spacing w:after="0"/>
            </w:pPr>
            <w:r>
              <w:rPr>
                <w:rFonts w:ascii="Calibri" w:hAnsi="Calibri"/>
                <w:b w:val="0"/>
                <w:i w:val="0"/>
                <w:color w:val="222222"/>
                <w:sz w:val="20"/>
              </w:rPr>
              <w:t>Rat_MEA1 burst rate 0.95 to 1.05, burst duration 0.9 to 1.1</w:t>
            </w:r>
          </w:p>
        </w:tc>
        <w:tc>
          <w:tcPr>
            <w:tcW w:type="dxa" w:w="1843"/>
            <w:shd w:val="clear" w:color="auto" w:fill="F7F9FB"/>
            <w:vAlign w:val="center"/>
          </w:tcPr>
          <w:p>
            <w:pPr>
              <w:keepNext w:val="0"/>
              <w:spacing w:after="0"/>
            </w:pPr>
            <w:r>
              <w:rPr>
                <w:rFonts w:ascii="Calibri" w:hAnsi="Calibri"/>
                <w:b w:val="0"/>
                <w:i w:val="0"/>
                <w:color w:val="222222"/>
                <w:sz w:val="20"/>
              </w:rPr>
              <w:t>0.9816 and 0.9825</w:t>
            </w:r>
          </w:p>
        </w:tc>
        <w:tc>
          <w:tcPr>
            <w:tcW w:type="dxa" w:w="3252"/>
            <w:shd w:val="clear" w:color="auto" w:fill="F7F9FB"/>
            <w:vAlign w:val="center"/>
          </w:tcPr>
          <w:p>
            <w:pPr>
              <w:keepNext w:val="0"/>
              <w:spacing w:after="0"/>
            </w:pPr>
            <w:r>
              <w:rPr>
                <w:rFonts w:ascii="Consolas" w:hAnsi="Consolas"/>
                <w:b w:val="0"/>
                <w:i w:val="0"/>
                <w:color w:val="222222"/>
                <w:sz w:val="18"/>
              </w:rPr>
              <w:t>pass</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97"/>
        <w:gridCol w:w="1600"/>
        <w:gridCol w:w="1600"/>
        <w:gridCol w:w="1500"/>
        <w:gridCol w:w="1300"/>
      </w:tblGrid>
      <w:tr>
        <w:trPr>
          <w:cantSplit/>
          <w:tblHeader/>
        </w:trPr>
        <w:tc>
          <w:tcPr>
            <w:tcW w:type="dxa" w:w="2497"/>
            <w:shd w:val="clear" w:color="auto" w:fill="1F4E79"/>
            <w:vAlign w:val="center"/>
          </w:tcPr>
          <w:p>
            <w:pPr>
              <w:keepNext/>
              <w:spacing w:after="0"/>
            </w:pPr>
            <w:r>
              <w:rPr>
                <w:rFonts w:ascii="Calibri" w:hAnsi="Calibri"/>
                <w:b/>
                <w:i w:val="0"/>
                <w:color w:val="FFFFFF"/>
                <w:sz w:val="20"/>
              </w:rPr>
              <w:t>median ratio ours/theirs, S3 → S4</w:t>
            </w:r>
          </w:p>
        </w:tc>
        <w:tc>
          <w:tcPr>
            <w:tcW w:type="dxa" w:w="1600"/>
            <w:shd w:val="clear" w:color="auto" w:fill="1F4E79"/>
            <w:vAlign w:val="center"/>
          </w:tcPr>
          <w:p>
            <w:pPr>
              <w:keepNext/>
              <w:spacing w:after="0"/>
            </w:pPr>
            <w:r>
              <w:rPr>
                <w:rFonts w:ascii="Calibri" w:hAnsi="Calibri"/>
                <w:b/>
                <w:i w:val="0"/>
                <w:color w:val="FFFFFF"/>
                <w:sz w:val="20"/>
              </w:rPr>
              <w:t>hPSC_MEA1</w:t>
            </w:r>
          </w:p>
        </w:tc>
        <w:tc>
          <w:tcPr>
            <w:tcW w:type="dxa" w:w="1600"/>
            <w:shd w:val="clear" w:color="auto" w:fill="1F4E79"/>
            <w:vAlign w:val="center"/>
          </w:tcPr>
          <w:p>
            <w:pPr>
              <w:keepNext/>
              <w:spacing w:after="0"/>
            </w:pPr>
            <w:r>
              <w:rPr>
                <w:rFonts w:ascii="Calibri" w:hAnsi="Calibri"/>
                <w:b/>
                <w:i w:val="0"/>
                <w:color w:val="FFFFFF"/>
                <w:sz w:val="20"/>
              </w:rPr>
              <w:t>hPSC_MEA2</w:t>
            </w:r>
          </w:p>
        </w:tc>
        <w:tc>
          <w:tcPr>
            <w:tcW w:type="dxa" w:w="1500"/>
            <w:shd w:val="clear" w:color="auto" w:fill="1F4E79"/>
            <w:vAlign w:val="center"/>
          </w:tcPr>
          <w:p>
            <w:pPr>
              <w:keepNext/>
              <w:spacing w:after="0"/>
            </w:pPr>
            <w:r>
              <w:rPr>
                <w:rFonts w:ascii="Calibri" w:hAnsi="Calibri"/>
                <w:b/>
                <w:i w:val="0"/>
                <w:color w:val="FFFFFF"/>
                <w:sz w:val="20"/>
              </w:rPr>
              <w:t>Rat_MEA1</w:t>
            </w:r>
          </w:p>
        </w:tc>
        <w:tc>
          <w:tcPr>
            <w:tcW w:type="dxa" w:w="1300"/>
            <w:shd w:val="clear" w:color="auto" w:fill="1F4E79"/>
            <w:vAlign w:val="center"/>
          </w:tcPr>
          <w:p>
            <w:pPr>
              <w:keepNext/>
              <w:spacing w:after="0"/>
            </w:pPr>
            <w:r>
              <w:rPr>
                <w:rFonts w:ascii="Calibri" w:hAnsi="Calibri"/>
                <w:b/>
                <w:i w:val="0"/>
                <w:color w:val="FFFFFF"/>
                <w:sz w:val="20"/>
              </w:rPr>
              <w:t>pooled</w:t>
            </w:r>
          </w:p>
        </w:tc>
      </w:tr>
      <w:tr>
        <w:trPr>
          <w:cantSplit/>
        </w:trPr>
        <w:tc>
          <w:tcPr>
            <w:tcW w:type="dxa" w:w="2497"/>
            <w:shd w:val="clear" w:color="auto" w:fill="FFFFFF"/>
            <w:vAlign w:val="center"/>
          </w:tcPr>
          <w:p>
            <w:pPr>
              <w:keepNext/>
              <w:spacing w:after="0"/>
            </w:pPr>
            <w:r>
              <w:rPr>
                <w:rFonts w:ascii="Calibri" w:hAnsi="Calibri"/>
                <w:b/>
                <w:i w:val="0"/>
                <w:color w:val="222222"/>
                <w:sz w:val="20"/>
              </w:rPr>
              <w:t>burst duration</w:t>
            </w:r>
          </w:p>
        </w:tc>
        <w:tc>
          <w:tcPr>
            <w:tcW w:type="dxa" w:w="1600"/>
            <w:shd w:val="clear" w:color="auto" w:fill="FFFFFF"/>
            <w:vAlign w:val="center"/>
          </w:tcPr>
          <w:p>
            <w:pPr>
              <w:keepNext/>
              <w:spacing w:after="0"/>
            </w:pPr>
            <w:r>
              <w:rPr>
                <w:rFonts w:ascii="Calibri" w:hAnsi="Calibri"/>
                <w:b w:val="0"/>
                <w:i w:val="0"/>
                <w:color w:val="222222"/>
                <w:sz w:val="20"/>
              </w:rPr>
              <w:t>0.9275 → 0.9686</w:t>
            </w:r>
          </w:p>
        </w:tc>
        <w:tc>
          <w:tcPr>
            <w:tcW w:type="dxa" w:w="1600"/>
            <w:shd w:val="clear" w:color="auto" w:fill="FFFFFF"/>
            <w:vAlign w:val="center"/>
          </w:tcPr>
          <w:p>
            <w:pPr>
              <w:keepNext/>
              <w:spacing w:after="0"/>
            </w:pPr>
            <w:r>
              <w:rPr>
                <w:rFonts w:ascii="Calibri" w:hAnsi="Calibri"/>
                <w:b w:val="0"/>
                <w:i w:val="0"/>
                <w:color w:val="222222"/>
                <w:sz w:val="20"/>
              </w:rPr>
              <w:t>0.8804 → 0.9191</w:t>
            </w:r>
          </w:p>
        </w:tc>
        <w:tc>
          <w:tcPr>
            <w:tcW w:type="dxa" w:w="1500"/>
            <w:shd w:val="clear" w:color="auto" w:fill="FFFFFF"/>
            <w:vAlign w:val="center"/>
          </w:tcPr>
          <w:p>
            <w:pPr>
              <w:keepNext/>
              <w:spacing w:after="0"/>
            </w:pPr>
            <w:r>
              <w:rPr>
                <w:rFonts w:ascii="Calibri" w:hAnsi="Calibri"/>
                <w:b w:val="0"/>
                <w:i w:val="0"/>
                <w:color w:val="222222"/>
                <w:sz w:val="20"/>
              </w:rPr>
              <w:t>0.7705 → 0.9825</w:t>
            </w:r>
          </w:p>
        </w:tc>
        <w:tc>
          <w:tcPr>
            <w:tcW w:type="dxa" w:w="1300"/>
            <w:shd w:val="clear" w:color="auto" w:fill="FFFFFF"/>
            <w:vAlign w:val="center"/>
          </w:tcPr>
          <w:p>
            <w:pPr>
              <w:keepNext/>
              <w:spacing w:after="0"/>
            </w:pPr>
            <w:r>
              <w:rPr>
                <w:rFonts w:ascii="Calibri" w:hAnsi="Calibri"/>
                <w:b w:val="0"/>
                <w:i w:val="0"/>
                <w:color w:val="222222"/>
                <w:sz w:val="20"/>
              </w:rPr>
              <w:t>0.8208 → 0.9611</w:t>
            </w:r>
          </w:p>
        </w:tc>
      </w:tr>
      <w:tr>
        <w:trPr>
          <w:cantSplit/>
        </w:trPr>
        <w:tc>
          <w:tcPr>
            <w:tcW w:type="dxa" w:w="2497"/>
            <w:shd w:val="clear" w:color="auto" w:fill="F7F9FB"/>
            <w:vAlign w:val="center"/>
          </w:tcPr>
          <w:p>
            <w:pPr>
              <w:keepNext/>
              <w:spacing w:after="0"/>
            </w:pPr>
            <w:r>
              <w:rPr>
                <w:rFonts w:ascii="Calibri" w:hAnsi="Calibri"/>
                <w:b/>
                <w:i w:val="0"/>
                <w:color w:val="222222"/>
                <w:sz w:val="20"/>
              </w:rPr>
              <w:t>spikes per burst</w:t>
            </w:r>
          </w:p>
        </w:tc>
        <w:tc>
          <w:tcPr>
            <w:tcW w:type="dxa" w:w="1600"/>
            <w:shd w:val="clear" w:color="auto" w:fill="F7F9FB"/>
            <w:vAlign w:val="center"/>
          </w:tcPr>
          <w:p>
            <w:pPr>
              <w:keepNext/>
              <w:spacing w:after="0"/>
            </w:pPr>
            <w:r>
              <w:rPr>
                <w:rFonts w:ascii="Calibri" w:hAnsi="Calibri"/>
                <w:b w:val="0"/>
                <w:i w:val="0"/>
                <w:color w:val="222222"/>
                <w:sz w:val="20"/>
              </w:rPr>
              <w:t>0.9523 → 1.0005</w:t>
            </w:r>
          </w:p>
        </w:tc>
        <w:tc>
          <w:tcPr>
            <w:tcW w:type="dxa" w:w="1600"/>
            <w:shd w:val="clear" w:color="auto" w:fill="F7F9FB"/>
            <w:vAlign w:val="center"/>
          </w:tcPr>
          <w:p>
            <w:pPr>
              <w:keepNext/>
              <w:spacing w:after="0"/>
            </w:pPr>
            <w:r>
              <w:rPr>
                <w:rFonts w:ascii="Calibri" w:hAnsi="Calibri"/>
                <w:b w:val="0"/>
                <w:i w:val="0"/>
                <w:color w:val="222222"/>
                <w:sz w:val="20"/>
              </w:rPr>
              <w:t>0.9466 → 0.9851</w:t>
            </w:r>
          </w:p>
        </w:tc>
        <w:tc>
          <w:tcPr>
            <w:tcW w:type="dxa" w:w="1500"/>
            <w:shd w:val="clear" w:color="auto" w:fill="F7F9FB"/>
            <w:vAlign w:val="center"/>
          </w:tcPr>
          <w:p>
            <w:pPr>
              <w:keepNext/>
              <w:spacing w:after="0"/>
            </w:pPr>
            <w:r>
              <w:rPr>
                <w:rFonts w:ascii="Calibri" w:hAnsi="Calibri"/>
                <w:b w:val="0"/>
                <w:i w:val="0"/>
                <w:color w:val="222222"/>
                <w:sz w:val="20"/>
              </w:rPr>
              <w:t>0.9378 → 1.0041</w:t>
            </w:r>
          </w:p>
        </w:tc>
        <w:tc>
          <w:tcPr>
            <w:tcW w:type="dxa" w:w="1300"/>
            <w:shd w:val="clear" w:color="auto" w:fill="F7F9FB"/>
            <w:vAlign w:val="center"/>
          </w:tcPr>
          <w:p>
            <w:pPr>
              <w:keepNext/>
              <w:spacing w:after="0"/>
            </w:pPr>
            <w:r>
              <w:rPr>
                <w:rFonts w:ascii="Calibri" w:hAnsi="Calibri"/>
                <w:b w:val="0"/>
                <w:i w:val="0"/>
                <w:color w:val="222222"/>
                <w:sz w:val="20"/>
              </w:rPr>
              <w:t>0.9433 → 0.9986</w:t>
            </w:r>
          </w:p>
        </w:tc>
      </w:tr>
      <w:tr>
        <w:trPr>
          <w:cantSplit/>
        </w:trPr>
        <w:tc>
          <w:tcPr>
            <w:tcW w:type="dxa" w:w="2497"/>
            <w:shd w:val="clear" w:color="auto" w:fill="FFFFFF"/>
            <w:vAlign w:val="center"/>
          </w:tcPr>
          <w:p>
            <w:pPr>
              <w:keepNext w:val="0"/>
              <w:spacing w:after="0"/>
            </w:pPr>
            <w:r>
              <w:rPr>
                <w:rFonts w:ascii="Calibri" w:hAnsi="Calibri"/>
                <w:b/>
                <w:i w:val="0"/>
                <w:color w:val="222222"/>
                <w:sz w:val="20"/>
              </w:rPr>
              <w:t>burst rate</w:t>
            </w:r>
          </w:p>
        </w:tc>
        <w:tc>
          <w:tcPr>
            <w:tcW w:type="dxa" w:w="1600"/>
            <w:shd w:val="clear" w:color="auto" w:fill="FFFFFF"/>
            <w:vAlign w:val="center"/>
          </w:tcPr>
          <w:p>
            <w:pPr>
              <w:keepNext w:val="0"/>
              <w:spacing w:after="0"/>
            </w:pPr>
            <w:r>
              <w:rPr>
                <w:rFonts w:ascii="Calibri" w:hAnsi="Calibri"/>
                <w:b w:val="0"/>
                <w:i w:val="0"/>
                <w:color w:val="222222"/>
                <w:sz w:val="20"/>
              </w:rPr>
              <w:t>0.8579 → 1.0847</w:t>
            </w:r>
          </w:p>
        </w:tc>
        <w:tc>
          <w:tcPr>
            <w:tcW w:type="dxa" w:w="1600"/>
            <w:shd w:val="clear" w:color="auto" w:fill="FFFFFF"/>
            <w:vAlign w:val="center"/>
          </w:tcPr>
          <w:p>
            <w:pPr>
              <w:keepNext w:val="0"/>
              <w:spacing w:after="0"/>
            </w:pPr>
            <w:r>
              <w:rPr>
                <w:rFonts w:ascii="Calibri" w:hAnsi="Calibri"/>
                <w:b w:val="0"/>
                <w:i w:val="0"/>
                <w:color w:val="222222"/>
                <w:sz w:val="20"/>
              </w:rPr>
              <w:t>0.8973 → 1.1438</w:t>
            </w:r>
          </w:p>
        </w:tc>
        <w:tc>
          <w:tcPr>
            <w:tcW w:type="dxa" w:w="1500"/>
            <w:shd w:val="clear" w:color="auto" w:fill="FFFFFF"/>
            <w:vAlign w:val="center"/>
          </w:tcPr>
          <w:p>
            <w:pPr>
              <w:keepNext w:val="0"/>
              <w:spacing w:after="0"/>
            </w:pPr>
            <w:r>
              <w:rPr>
                <w:rFonts w:ascii="Calibri" w:hAnsi="Calibri"/>
                <w:b w:val="0"/>
                <w:i w:val="0"/>
                <w:color w:val="222222"/>
                <w:sz w:val="20"/>
              </w:rPr>
              <w:t>1.04 → 0.9816</w:t>
            </w:r>
          </w:p>
        </w:tc>
        <w:tc>
          <w:tcPr>
            <w:tcW w:type="dxa" w:w="1300"/>
            <w:shd w:val="clear" w:color="auto" w:fill="FFFFFF"/>
            <w:vAlign w:val="center"/>
          </w:tcPr>
          <w:p>
            <w:pPr>
              <w:keepNext w:val="0"/>
              <w:spacing w:after="0"/>
            </w:pPr>
            <w:r>
              <w:rPr>
                <w:rFonts w:ascii="Calibri" w:hAnsi="Calibri"/>
                <w:b w:val="0"/>
                <w:i w:val="0"/>
                <w:color w:val="222222"/>
                <w:sz w:val="20"/>
              </w:rPr>
              <w:t>0.944 → 1.0488</w:t>
            </w:r>
          </w:p>
        </w:tc>
      </w:tr>
    </w:tbl>
    <w:p>
      <w:pPr>
        <w:spacing w:after="80"/>
      </w:pPr>
    </w:p>
    <w:p>
      <w:pPr>
        <w:keepNext/>
        <w:spacing w:before="120" w:after="40"/>
        <w:jc w:val="center"/>
      </w:pPr>
      <w:r>
        <w:drawing>
          <wp:inline xmlns:a="http://schemas.openxmlformats.org/drawingml/2006/main" xmlns:pic="http://schemas.openxmlformats.org/drawingml/2006/picture">
            <wp:extent cx="5394960" cy="2129589"/>
            <wp:docPr id="4" name="Picture 4"/>
            <wp:cNvGraphicFramePr>
              <a:graphicFrameLocks noChangeAspect="1"/>
            </wp:cNvGraphicFramePr>
            <a:graphic>
              <a:graphicData uri="http://schemas.openxmlformats.org/drawingml/2006/picture">
                <pic:pic>
                  <pic:nvPicPr>
                    <pic:cNvPr id="0" name="extractor_logisi_real.png"/>
                    <pic:cNvPicPr/>
                  </pic:nvPicPr>
                  <pic:blipFill>
                    <a:blip r:embed="rId16"/>
                    <a:stretch>
                      <a:fillRect/>
                    </a:stretch>
                  </pic:blipFill>
                  <pic:spPr>
                    <a:xfrm>
                      <a:off x="0" y="0"/>
                      <a:ext cx="5394960" cy="212958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Burst duration, spikes per burst and burst rate, median ratio ours/theirs per plate and pooled, for our definitions (S0), the depositors' stated settings (S3) and S3 with the logISI detector (S4, registered); REAL recordings.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As we implemented it, the detector puts burst duration and spikes per burst on the depositors' scale but does not make the two implementations order the recordings the same way: rank agreement moves only from 0.8167 to 0.8347 for burst duration and from 0.9443 to 0.9467 for spikes per burst. On the human plates it overshoots the burst rate instead of closing it; on the rat plate it closes most of the burst-duration gap and leaves the burst rate in agreement. So the registered answer is no: the detector does not explain the rest of the difference, or our implementation of it differs from theirs, and these data cannot tell the two apart. The attribution stays open. Two diagnostics point at the implementation as much as at the detector. On the hPSC plates about half of the active electrode-recordings found no valid threshold (a share of 0.4982 on hPSC_MEA1 and 0.5321 on hPSC_MEA2, against 0.2313 on the rat plate), most often because their histogram has no valley after its first peak. And of those that did, a share of 0.2786 (hPSC_MEA1) and 0.2133 (hPSC_MEA2) set it below a millisecond: a peak of near-coincident spike pairs is taken as the intraburst peak, and that electrode then has almost no bursts. On the rat plate the median threshold is 281.84 ms, above the cutoff for a share of 0.8985 of its electrodes, so there logISI extends bursts at their edges, which is what lengthens them. Post hoc, and labelled so in the output: from S3 to S4 the hPSC burst rate changes by more than a tenth in a share of 0.8273 and 0.7632 of recordings, the rat burst duration in 0.8723; and two hPSC recordings lose every burst under S4 (318 pairs against 320). Whether the depositors' implementation treats near-coincident spikes the same way we cannot say: their analysis scripts are shared with the deposit (G-Node GIN) and were not read for this test, and reading them is the next step if the attribution matters.</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trims bursts whose spikes loosen towards their edges; with logISI, burst duration moved most on the rat plate, where the per-electrode thresholds sit above the cutoff (above). A reader pooling our features with meaRtools output should convert, or recompute, rather than mix them.</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5" name="Picture 5"/>
            <wp:cNvGraphicFramePr>
              <a:graphicFrameLocks noChangeAspect="1"/>
            </wp:cNvGraphicFramePr>
            <a:graphic>
              <a:graphicData uri="http://schemas.openxmlformats.org/drawingml/2006/picture">
                <pic:pic>
                  <pic:nvPicPr>
                    <pic:cNvPr id="0" name="mechanism_classifier_real.png"/>
                    <pic:cNvPicPr/>
                  </pic:nvPicPr>
                  <pic:blipFill>
                    <a:blip r:embed="rId17"/>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6" name="Picture 6"/>
            <wp:cNvGraphicFramePr>
              <a:graphicFrameLocks noChangeAspect="1"/>
            </wp:cNvGraphicFramePr>
            <a:graphic>
              <a:graphicData uri="http://schemas.openxmlformats.org/drawingml/2006/picture">
                <pic:pic>
                  <pic:nvPicPr>
                    <pic:cNvPr id="0" name="mechanism_confusion.png"/>
                    <pic:cNvPicPr/>
                  </pic:nvPicPr>
                  <pic:blipFill>
                    <a:blip r:embed="rId18"/>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7" name="Picture 7"/>
            <wp:cNvGraphicFramePr>
              <a:graphicFrameLocks noChangeAspect="1"/>
            </wp:cNvGraphicFramePr>
            <a:graphic>
              <a:graphicData uri="http://schemas.openxmlformats.org/drawingml/2006/picture">
                <pic:pic>
                  <pic:nvPicPr>
                    <pic:cNvPr id="0" name="species_shift.png"/>
                    <pic:cNvPicPr/>
                  </pic:nvPicPr>
                  <pic:blipFill>
                    <a:blip r:embed="rId19"/>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8" name="Picture 8"/>
            <wp:cNvGraphicFramePr>
              <a:graphicFrameLocks noChangeAspect="1"/>
            </wp:cNvGraphicFramePr>
            <a:graphic>
              <a:graphicData uri="http://schemas.openxmlformats.org/drawingml/2006/picture">
                <pic:pic>
                  <pic:nvPicPr>
                    <pic:cNvPr id="0" name="baseline_species_comparison.png"/>
                    <pic:cNvPicPr/>
                  </pic:nvPicPr>
                  <pic:blipFill>
                    <a:blip r:embed="rId20"/>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9" name="Picture 9"/>
            <wp:cNvGraphicFramePr>
              <a:graphicFrameLocks noChangeAspect="1"/>
            </wp:cNvGraphicFramePr>
            <a:graphic>
              <a:graphicData uri="http://schemas.openxmlformats.org/drawingml/2006/picture">
                <pic:pic>
                  <pic:nvPicPr>
                    <pic:cNvPr id="0" name="platform_contrast_gabaa_antagonist.png"/>
                    <pic:cNvPicPr/>
                  </pic:nvPicPr>
                  <pic:blipFill>
                    <a:blip r:embed="rId21"/>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10" name="Picture 10"/>
            <wp:cNvGraphicFramePr>
              <a:graphicFrameLocks noChangeAspect="1"/>
            </wp:cNvGraphicFramePr>
            <a:graphic>
              <a:graphicData uri="http://schemas.openxmlformats.org/drawingml/2006/picture">
                <pic:pic>
                  <pic:nvPicPr>
                    <pic:cNvPr id="0" name="twin_architecture_simulated.png"/>
                    <pic:cNvPicPr/>
                  </pic:nvPicPr>
                  <pic:blipFill>
                    <a:blip r:embed="rId22"/>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1" name="Picture 11"/>
            <wp:cNvGraphicFramePr>
              <a:graphicFrameLocks noChangeAspect="1"/>
            </wp:cNvGraphicFramePr>
            <a:graphic>
              <a:graphicData uri="http://schemas.openxmlformats.org/drawingml/2006/picture">
                <pic:pic>
                  <pic:nvPicPr>
                    <pic:cNvPr id="0" name="hd12_calibration_simulated.png"/>
                    <pic:cNvPicPr/>
                  </pic:nvPicPr>
                  <pic:blipFill>
                    <a:blip r:embed="rId23"/>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2" name="Picture 12"/>
            <wp:cNvGraphicFramePr>
              <a:graphicFrameLocks noChangeAspect="1"/>
            </wp:cNvGraphicFramePr>
            <a:graphic>
              <a:graphicData uri="http://schemas.openxmlformats.org/drawingml/2006/picture">
                <pic:pic>
                  <pic:nvPicPr>
                    <pic:cNvPr id="0" name="hd13_drug_knob_validation_simulated.png"/>
                    <pic:cNvPicPr/>
                  </pic:nvPicPr>
                  <pic:blipFill>
                    <a:blip r:embed="rId24"/>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3" name="Picture 13"/>
            <wp:cNvGraphicFramePr>
              <a:graphicFrameLocks noChangeAspect="1"/>
            </wp:cNvGraphicFramePr>
            <a:graphic>
              <a:graphicData uri="http://schemas.openxmlformats.org/drawingml/2006/picture">
                <pic:pic>
                  <pic:nvPicPr>
                    <pic:cNvPr id="0" name="compartment_lag_by_device_type.png"/>
                    <pic:cNvPicPr/>
                  </pic:nvPicPr>
                  <pic:blipFill>
                    <a:blip r:embed="rId25"/>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4" name="Picture 14"/>
            <wp:cNvGraphicFramePr>
              <a:graphicFrameLocks noChangeAspect="1"/>
            </wp:cNvGraphicFramePr>
            <a:graphic>
              <a:graphicData uri="http://schemas.openxmlformats.org/drawingml/2006/picture">
                <pic:pic>
                  <pic:nvPicPr>
                    <pic:cNvPr id="0" name="axonal_flow_vs_chamber.png"/>
                    <pic:cNvPicPr/>
                  </pic:nvPicPr>
                  <pic:blipFill>
                    <a:blip r:embed="rId26"/>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5" name="Picture 15"/>
            <wp:cNvGraphicFramePr>
              <a:graphicFrameLocks noChangeAspect="1"/>
            </wp:cNvGraphicFramePr>
            <a:graphic>
              <a:graphicData uri="http://schemas.openxmlformats.org/drawingml/2006/picture">
                <pic:pic>
                  <pic:nvPicPr>
                    <pic:cNvPr id="0" name="inference_network_simulated.png"/>
                    <pic:cNvPicPr/>
                  </pic:nvPicPr>
                  <pic:blipFill>
                    <a:blip r:embed="rId27"/>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keepNext/>
        <w:spacing w:after="120"/>
      </w:pPr>
      <w:r>
        <w:rPr>
          <w:rFonts w:ascii="Calibri" w:hAnsi="Calibri"/>
          <w:b/>
          <w:i w:val="0"/>
          <w:color w:val="156082"/>
          <w:sz w:val="21"/>
        </w:rPr>
        <w:t>A registered follow-up: is the gap the prior's range or the model? (decision D38).</w:t>
      </w:r>
      <w:r>
        <w:rPr>
          <w:rFonts w:ascii="Calibri" w:hAnsi="Calibri"/>
          <w:b w:val="0"/>
          <w:i w:val="0"/>
          <w:color w:val="222222"/>
          <w:sz w:val="21"/>
        </w:rPr>
        <w:t xml:space="preserve"> The check above leaves a question open: are the real recordings far from the simulations because the prior box is too narrow, or because the twin cannot produce them at all? Before registering, we looked at where the gap comes from (a diagnostic on the first-round pool, declared as seen in </w:t>
      </w:r>
      <w:r>
        <w:rPr>
          <w:rFonts w:ascii="Consolas" w:hAnsi="Consolas"/>
          <w:b w:val="0"/>
          <w:i w:val="0"/>
          <w:color w:val="222222"/>
          <w:sz w:val="19"/>
        </w:rPr>
        <w:t>preregistration/twin_prior_reach.json</w:t>
      </w:r>
      <w:r>
        <w:rPr>
          <w:rFonts w:ascii="Calibri" w:hAnsi="Calibri"/>
          <w:b w:val="0"/>
          <w:i w:val="0"/>
          <w:color w:val="222222"/>
          <w:sz w:val="21"/>
        </w:rPr>
        <w:t xml:space="preserve">). On one fixed scale, the first-round pool's own, the median real recording lies 2.43 units from its nearest simulation, against 0.409 between neighbouring simulations. Four summaries carry most of that distance: the firing-rate ratio of the two chambers (a share of 0.338; for 19.5% of real chips it lies outside every simulated value, mostly with the first chamber the faster), the coupling lag (0.181) and the two active-electrode counts (0.164 and 0.113). Shown the real recordings, the first-round posterior pushes against two edges of its box: for 72% of recordings most of its raw mass lies above the </w:t>
      </w:r>
      <w:r>
        <w:rPr>
          <w:rFonts w:ascii="Consolas" w:hAnsi="Consolas"/>
          <w:b w:val="0"/>
          <w:i w:val="0"/>
          <w:color w:val="222222"/>
          <w:sz w:val="19"/>
        </w:rPr>
        <w:t>threshold_scale</w:t>
      </w:r>
      <w:r>
        <w:rPr>
          <w:rFonts w:ascii="Calibri" w:hAnsi="Calibri"/>
          <w:b w:val="0"/>
          <w:i w:val="0"/>
          <w:color w:val="222222"/>
          <w:sz w:val="21"/>
        </w:rPr>
        <w:t xml:space="preserve"> bound, and for 27% below the </w:t>
      </w:r>
      <w:r>
        <w:rPr>
          <w:rFonts w:ascii="Consolas" w:hAnsi="Consolas"/>
          <w:b w:val="0"/>
          <w:i w:val="0"/>
          <w:color w:val="222222"/>
          <w:sz w:val="19"/>
        </w:rPr>
        <w:t>log10_forward_ratio</w:t>
      </w:r>
      <w:r>
        <w:rPr>
          <w:rFonts w:ascii="Calibri" w:hAnsi="Calibri"/>
          <w:b w:val="0"/>
          <w:i w:val="0"/>
          <w:color w:val="222222"/>
          <w:sz w:val="21"/>
        </w:rPr>
        <w:t xml:space="preserve"> bound;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xml:space="preserve"> stay inside. So we registered a wider box only where the recordings push: the pathway ratio re-centred to run either way (1/20 to 20), the upper bounds of </w:t>
      </w:r>
      <w:r>
        <w:rPr>
          <w:rFonts w:ascii="Consolas" w:hAnsi="Consolas"/>
          <w:b w:val="0"/>
          <w:i w:val="0"/>
          <w:color w:val="222222"/>
          <w:sz w:val="19"/>
        </w:rPr>
        <w:t>threshold_scale</w:t>
      </w:r>
      <w:r>
        <w:rPr>
          <w:rFonts w:ascii="Calibri" w:hAnsi="Calibri"/>
          <w:b w:val="0"/>
          <w:i w:val="0"/>
          <w:color w:val="222222"/>
          <w:sz w:val="21"/>
        </w:rPr>
        <w:t xml:space="preserve"> (1.15 to 1.35) and </w:t>
      </w:r>
      <w:r>
        <w:rPr>
          <w:rFonts w:ascii="Consolas" w:hAnsi="Consolas"/>
          <w:b w:val="0"/>
          <w:i w:val="0"/>
          <w:color w:val="222222"/>
          <w:sz w:val="19"/>
        </w:rPr>
        <w:t>ampa_scale</w:t>
      </w:r>
      <w:r>
        <w:rPr>
          <w:rFonts w:ascii="Calibri" w:hAnsi="Calibri"/>
          <w:b w:val="0"/>
          <w:i w:val="0"/>
          <w:color w:val="222222"/>
          <w:sz w:val="21"/>
        </w:rPr>
        <w:t xml:space="preserve"> (1.4 to 1.8) raised, the other two unchanged. We simulated 3,000 runs from it with fresh seeds, all before the registered cut-off, and scored three predictions on the first-round scale, with both pools at the same size: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5867"/>
        <w:gridCol w:w="1525"/>
        <w:gridCol w:w="1104"/>
      </w:tblGrid>
      <w:tr>
        <w:trPr>
          <w:cantSplit/>
          <w:tblHeader/>
        </w:trPr>
        <w:tc>
          <w:tcPr>
            <w:tcW w:type="dxa" w:w="5867"/>
            <w:shd w:val="clear" w:color="auto" w:fill="1F4E79"/>
            <w:vAlign w:val="center"/>
          </w:tcPr>
          <w:p>
            <w:pPr>
              <w:keepNext/>
              <w:spacing w:after="0"/>
            </w:pPr>
            <w:r>
              <w:rPr>
                <w:rFonts w:ascii="Calibri" w:hAnsi="Calibri"/>
                <w:b/>
                <w:i w:val="0"/>
                <w:color w:val="FFFFFF"/>
                <w:sz w:val="20"/>
              </w:rPr>
              <w:t>registered prediction</w:t>
            </w:r>
          </w:p>
        </w:tc>
        <w:tc>
          <w:tcPr>
            <w:tcW w:type="dxa" w:w="1525"/>
            <w:shd w:val="clear" w:color="auto" w:fill="1F4E79"/>
            <w:vAlign w:val="center"/>
          </w:tcPr>
          <w:p>
            <w:pPr>
              <w:keepNext/>
              <w:spacing w:after="0"/>
            </w:pPr>
            <w:r>
              <w:rPr>
                <w:rFonts w:ascii="Calibri" w:hAnsi="Calibri"/>
                <w:b/>
                <w:i w:val="0"/>
                <w:color w:val="FFFFFF"/>
                <w:sz w:val="20"/>
              </w:rPr>
              <w:t>value</w:t>
            </w:r>
          </w:p>
        </w:tc>
        <w:tc>
          <w:tcPr>
            <w:tcW w:type="dxa" w:w="1104"/>
            <w:shd w:val="clear" w:color="auto" w:fill="1F4E79"/>
            <w:vAlign w:val="center"/>
          </w:tcPr>
          <w:p>
            <w:pPr>
              <w:keepNext/>
              <w:spacing w:after="0"/>
            </w:pPr>
            <w:r>
              <w:rPr>
                <w:rFonts w:ascii="Calibri" w:hAnsi="Calibri"/>
                <w:b/>
                <w:i w:val="0"/>
                <w:color w:val="FFFFFF"/>
                <w:sz w:val="20"/>
              </w:rPr>
              <w:t>outcome</w:t>
            </w:r>
          </w:p>
        </w:tc>
      </w:tr>
      <w:tr>
        <w:trPr>
          <w:cantSplit/>
        </w:trPr>
        <w:tc>
          <w:tcPr>
            <w:tcW w:type="dxa" w:w="5867"/>
            <w:shd w:val="clear" w:color="auto" w:fill="FFFFFF"/>
            <w:vAlign w:val="center"/>
          </w:tcPr>
          <w:p>
            <w:pPr>
              <w:keepNext/>
              <w:spacing w:after="0"/>
            </w:pPr>
            <w:r>
              <w:rPr>
                <w:rFonts w:ascii="Calibri" w:hAnsi="Calibri"/>
                <w:b/>
                <w:i w:val="0"/>
                <w:color w:val="222222"/>
                <w:sz w:val="20"/>
              </w:rPr>
              <w:t>R1 reach: median real-to-nearest distance at most halves</w:t>
            </w:r>
          </w:p>
        </w:tc>
        <w:tc>
          <w:tcPr>
            <w:tcW w:type="dxa" w:w="1525"/>
            <w:shd w:val="clear" w:color="auto" w:fill="FFFFFF"/>
            <w:vAlign w:val="center"/>
          </w:tcPr>
          <w:p>
            <w:pPr>
              <w:keepNext/>
              <w:spacing w:after="0"/>
            </w:pPr>
            <w:r>
              <w:rPr>
                <w:rFonts w:ascii="Calibri" w:hAnsi="Calibri"/>
                <w:b w:val="0"/>
                <w:i w:val="0"/>
                <w:color w:val="222222"/>
                <w:sz w:val="20"/>
              </w:rPr>
              <w:t>2.43 to 2.211, ratio 0.91</w:t>
            </w:r>
          </w:p>
        </w:tc>
        <w:tc>
          <w:tcPr>
            <w:tcW w:type="dxa" w:w="1104"/>
            <w:shd w:val="clear" w:color="auto" w:fill="FFFFFF"/>
            <w:vAlign w:val="center"/>
          </w:tcPr>
          <w:p>
            <w:pPr>
              <w:keepNext/>
              <w:spacing w:after="0"/>
            </w:pPr>
            <w:r>
              <w:rPr>
                <w:rFonts w:ascii="Calibri" w:hAnsi="Calibri"/>
                <w:b w:val="0"/>
                <w:i w:val="0"/>
                <w:color w:val="222222"/>
                <w:sz w:val="20"/>
              </w:rPr>
              <w:t>fail</w:t>
            </w:r>
          </w:p>
        </w:tc>
      </w:tr>
      <w:tr>
        <w:trPr>
          <w:cantSplit/>
        </w:trPr>
        <w:tc>
          <w:tcPr>
            <w:tcW w:type="dxa" w:w="5867"/>
            <w:shd w:val="clear" w:color="auto" w:fill="F7F9FB"/>
            <w:vAlign w:val="center"/>
          </w:tcPr>
          <w:p>
            <w:pPr>
              <w:keepNext/>
              <w:spacing w:after="0"/>
            </w:pPr>
            <w:r>
              <w:rPr>
                <w:rFonts w:ascii="Calibri" w:hAnsi="Calibri"/>
                <w:b/>
                <w:i w:val="0"/>
                <w:color w:val="222222"/>
                <w:sz w:val="20"/>
              </w:rPr>
              <w:t>R2 the old region keeps a near neighbour for at least half of the first-round held-out runs</w:t>
            </w:r>
          </w:p>
        </w:tc>
        <w:tc>
          <w:tcPr>
            <w:tcW w:type="dxa" w:w="1525"/>
            <w:shd w:val="clear" w:color="auto" w:fill="F7F9FB"/>
            <w:vAlign w:val="center"/>
          </w:tcPr>
          <w:p>
            <w:pPr>
              <w:keepNext/>
              <w:spacing w:after="0"/>
              <w:jc w:val="center"/>
            </w:pPr>
            <w:r>
              <w:rPr>
                <w:rFonts w:ascii="Calibri" w:hAnsi="Calibri"/>
                <w:b w:val="0"/>
                <w:i w:val="0"/>
                <w:color w:val="222222"/>
                <w:sz w:val="20"/>
              </w:rPr>
              <w:t>0.8233</w:t>
            </w:r>
          </w:p>
        </w:tc>
        <w:tc>
          <w:tcPr>
            <w:tcW w:type="dxa" w:w="1104"/>
            <w:shd w:val="clear" w:color="auto" w:fill="F7F9FB"/>
            <w:vAlign w:val="center"/>
          </w:tcPr>
          <w:p>
            <w:pPr>
              <w:keepNext/>
              <w:spacing w:after="0"/>
            </w:pPr>
            <w:r>
              <w:rPr>
                <w:rFonts w:ascii="Calibri" w:hAnsi="Calibri"/>
                <w:b w:val="0"/>
                <w:i w:val="0"/>
                <w:color w:val="222222"/>
                <w:sz w:val="20"/>
              </w:rPr>
              <w:t>pass</w:t>
            </w:r>
          </w:p>
        </w:tc>
      </w:tr>
      <w:tr>
        <w:trPr>
          <w:cantSplit/>
        </w:trPr>
        <w:tc>
          <w:tcPr>
            <w:tcW w:type="dxa" w:w="5867"/>
            <w:shd w:val="clear" w:color="auto" w:fill="FFFFFF"/>
            <w:vAlign w:val="center"/>
          </w:tcPr>
          <w:p>
            <w:pPr>
              <w:keepNext w:val="0"/>
              <w:spacing w:after="0"/>
            </w:pPr>
            <w:r>
              <w:rPr>
                <w:rFonts w:ascii="Calibri" w:hAnsi="Calibri"/>
                <w:b/>
                <w:i w:val="0"/>
                <w:color w:val="222222"/>
                <w:sz w:val="20"/>
              </w:rPr>
              <w:t xml:space="preserve">R3 one flow on the new pool is calibrated for </w:t>
            </w:r>
            <w:r>
              <w:rPr>
                <w:rFonts w:ascii="Consolas" w:hAnsi="Consolas"/>
                <w:b/>
                <w:i w:val="0"/>
                <w:color w:val="222222"/>
                <w:sz w:val="18"/>
              </w:rPr>
              <w:t>threshold_scale</w:t>
            </w:r>
            <w:r>
              <w:rPr>
                <w:rFonts w:ascii="Calibri" w:hAnsi="Calibri"/>
                <w:b/>
                <w:i w:val="0"/>
                <w:color w:val="222222"/>
                <w:sz w:val="20"/>
              </w:rPr>
              <w:t xml:space="preserve"> on the 200 held-out runs nearest the real recordings (KS p ≥ 0.05)</w:t>
            </w:r>
          </w:p>
        </w:tc>
        <w:tc>
          <w:tcPr>
            <w:tcW w:type="dxa" w:w="1525"/>
            <w:shd w:val="clear" w:color="auto" w:fill="FFFFFF"/>
            <w:vAlign w:val="center"/>
          </w:tcPr>
          <w:p>
            <w:pPr>
              <w:keepNext w:val="0"/>
              <w:spacing w:after="0"/>
              <w:jc w:val="center"/>
            </w:pPr>
            <w:r>
              <w:rPr>
                <w:rFonts w:ascii="Calibri" w:hAnsi="Calibri"/>
                <w:b w:val="0"/>
                <w:i w:val="0"/>
                <w:color w:val="222222"/>
                <w:sz w:val="20"/>
              </w:rPr>
              <w:t>0.2682</w:t>
            </w:r>
          </w:p>
        </w:tc>
        <w:tc>
          <w:tcPr>
            <w:tcW w:type="dxa" w:w="1104"/>
            <w:shd w:val="clear" w:color="auto" w:fill="FFFFFF"/>
            <w:vAlign w:val="center"/>
          </w:tcPr>
          <w:p>
            <w:pPr>
              <w:keepNext w:val="0"/>
              <w:spacing w:after="0"/>
            </w:pPr>
            <w:r>
              <w:rPr>
                <w:rFonts w:ascii="Calibri" w:hAnsi="Calibri"/>
                <w:b w:val="0"/>
                <w:i w:val="0"/>
                <w:color w:val="222222"/>
                <w:sz w:val="20"/>
              </w:rPr>
              <w:t>pass</w:t>
            </w:r>
          </w:p>
        </w:tc>
      </w:tr>
    </w:tbl>
    <w:p>
      <w:pPr>
        <w:spacing w:after="80"/>
      </w:pPr>
    </w:p>
    <w:p>
      <w:pPr>
        <w:spacing w:after="120"/>
      </w:pPr>
      <w:r>
        <w:rPr>
          <w:rFonts w:ascii="Calibri" w:hAnsi="Calibri"/>
          <w:b w:val="0"/>
          <w:i w:val="0"/>
          <w:color w:val="222222"/>
          <w:sz w:val="21"/>
        </w:rPr>
        <w:t>The registered reading of an R1 failure is misspecification within the widened box. Widening helps the far tail (the 90th percentile falls from 5.864 to 4.069), but the typical recording barely moves, and no real recording, in either pool, comes within the distance at which simulations neighbour each other (a share of 0.0 of recordings for the first-round pool and 0.0 for the widened one). What is left is carried by the same summaries as before: the chamber rate ratio (0.2998), the coupling lag (0.1829) and the electrode counts. The new box produces rate ratios on both sides, yet 15% of real recordings still lie above its 99th percentile, which is what one expects if the real asymmetry comes from something the twin does not have (a chamber-specific excitability or cell density, a conduction delay, uneven electrode coverage) rather than from the pathway's direction. The verdict does not depend on the scale: on the new pool's own scale the ratio is 0.876, on the pooled scale 0.856. The first-round cache, whose summary-code hash moved when two off-by-default extractor options were added, still reproduces exactly (6 of 6 re-simulated rows identical), so the two pools come from the same simulator.</w:t>
      </w:r>
    </w:p>
    <w:p>
      <w:pPr>
        <w:keepNext/>
        <w:spacing w:after="120"/>
      </w:pPr>
      <w:r>
        <w:rPr>
          <w:rFonts w:ascii="Calibri" w:hAnsi="Calibri"/>
          <w:b w:val="0"/>
          <w:i w:val="0"/>
          <w:color w:val="222222"/>
          <w:sz w:val="21"/>
        </w:rPr>
        <w:t xml:space="preserve">R3 passes, but it is narrow. On the same 200 near-real runs the new flow fails </w:t>
      </w:r>
      <w:r>
        <w:rPr>
          <w:rFonts w:ascii="Consolas" w:hAnsi="Consolas"/>
          <w:b w:val="0"/>
          <w:i w:val="0"/>
          <w:color w:val="222222"/>
          <w:sz w:val="19"/>
        </w:rPr>
        <w:t>gabaa_scale</w:t>
      </w:r>
      <w:r>
        <w:rPr>
          <w:rFonts w:ascii="Calibri" w:hAnsi="Calibri"/>
          <w:b w:val="0"/>
          <w:i w:val="0"/>
          <w:color w:val="222222"/>
          <w:sz w:val="21"/>
        </w:rPr>
        <w:t xml:space="preserve"> (p = 0.0007) and </w:t>
      </w:r>
      <w:r>
        <w:rPr>
          <w:rFonts w:ascii="Consolas" w:hAnsi="Consolas"/>
          <w:b w:val="0"/>
          <w:i w:val="0"/>
          <w:color w:val="222222"/>
          <w:sz w:val="19"/>
        </w:rPr>
        <w:t>inter_in_degree</w:t>
      </w:r>
      <w:r>
        <w:rPr>
          <w:rFonts w:ascii="Calibri" w:hAnsi="Calibri"/>
          <w:b w:val="0"/>
          <w:i w:val="0"/>
          <w:color w:val="222222"/>
          <w:sz w:val="21"/>
        </w:rPr>
        <w:t xml:space="preserve"> (p = 0.0146), and on all 600 held-out runs </w:t>
      </w:r>
      <w:r>
        <w:rPr>
          <w:rFonts w:ascii="Consolas" w:hAnsi="Consolas"/>
          <w:b w:val="0"/>
          <w:i w:val="0"/>
          <w:color w:val="222222"/>
          <w:sz w:val="19"/>
        </w:rPr>
        <w:t>threshold_scale</w:t>
      </w:r>
      <w:r>
        <w:rPr>
          <w:rFonts w:ascii="Calibri" w:hAnsi="Calibri"/>
          <w:b w:val="0"/>
          <w:i w:val="0"/>
          <w:color w:val="222222"/>
          <w:sz w:val="21"/>
        </w:rPr>
        <w:t xml:space="preserve"> only just passes (p = 0.0511; reported, not tested). And "near" still means about two units away. The wider box does make the inverse model extrapolate less on real recordings: a median 0.468 of its raw draws fall inside its box, against 0.035 for the first-round flow inside its own. But 30% of recordings still put most of their mass above the new </w:t>
      </w:r>
      <w:r>
        <w:rPr>
          <w:rFonts w:ascii="Consolas" w:hAnsi="Consolas"/>
          <w:b w:val="0"/>
          <w:i w:val="0"/>
          <w:color w:val="222222"/>
          <w:sz w:val="19"/>
        </w:rPr>
        <w:t>ampa_scale</w:t>
      </w:r>
      <w:r>
        <w:rPr>
          <w:rFonts w:ascii="Calibri" w:hAnsi="Calibri"/>
          <w:b w:val="0"/>
          <w:i w:val="0"/>
          <w:color w:val="222222"/>
          <w:sz w:val="21"/>
        </w:rPr>
        <w:t xml:space="preserve"> bound, so a still wider box is not ruled out for that knob (reported, not tested). What this means for use: the twin's inverse model is not to be read on absolute real recordings, under either prior; the </w:t>
      </w:r>
      <w:r>
        <w:rPr>
          <w:rFonts w:ascii="Consolas" w:hAnsi="Consolas"/>
          <w:b w:val="0"/>
          <w:i w:val="0"/>
          <w:color w:val="222222"/>
          <w:sz w:val="19"/>
        </w:rPr>
        <w:t>threshold_scale</w:t>
      </w:r>
      <w:r>
        <w:rPr>
          <w:rFonts w:ascii="Calibri" w:hAnsi="Calibri"/>
          <w:b w:val="0"/>
          <w:i w:val="0"/>
          <w:color w:val="222222"/>
          <w:sz w:val="21"/>
        </w:rPr>
        <w:t xml:space="preserve"> calibration D31 adopted holds near them but describes simulations that are themselves far from the data. The next step is a change to the model, not to its prior: a parameter for chamber-specific excitability and for the coupling delay. The full record is </w:t>
      </w:r>
      <w:r>
        <w:rPr>
          <w:rFonts w:ascii="Consolas" w:hAnsi="Consolas"/>
          <w:b w:val="0"/>
          <w:i w:val="0"/>
          <w:color w:val="222222"/>
          <w:sz w:val="19"/>
        </w:rPr>
        <w:t>twin_prior_reach</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xml:space="preserve"> and </w:t>
      </w:r>
      <w:r>
        <w:rPr>
          <w:rFonts w:ascii="Consolas" w:hAnsi="Consolas"/>
          <w:b w:val="0"/>
          <w:i w:val="0"/>
          <w:color w:val="222222"/>
          <w:sz w:val="19"/>
        </w:rPr>
        <w:t>outputs/twin/prior_reach_SIMULATED.json</w:t>
      </w:r>
      <w:r>
        <w:rPr>
          <w:rFonts w:ascii="Calibri" w:hAnsi="Calibri"/>
          <w:b w:val="0"/>
          <w:i w:val="0"/>
          <w:color w:val="222222"/>
          <w:sz w:val="21"/>
        </w:rPr>
        <w:t>.</w:t>
      </w:r>
    </w:p>
    <w:p>
      <w:pPr>
        <w:keepNext/>
        <w:spacing w:before="120" w:after="40"/>
        <w:jc w:val="center"/>
      </w:pPr>
      <w:r>
        <w:drawing>
          <wp:inline xmlns:a="http://schemas.openxmlformats.org/drawingml/2006/main" xmlns:pic="http://schemas.openxmlformats.org/drawingml/2006/picture">
            <wp:extent cx="5394960" cy="4954831"/>
            <wp:docPr id="16" name="Picture 16"/>
            <wp:cNvGraphicFramePr>
              <a:graphicFrameLocks noChangeAspect="1"/>
            </wp:cNvGraphicFramePr>
            <a:graphic>
              <a:graphicData uri="http://schemas.openxmlformats.org/drawingml/2006/picture">
                <pic:pic>
                  <pic:nvPicPr>
                    <pic:cNvPr id="0" name="prior_reach_simulated.png"/>
                    <pic:cNvPicPr/>
                  </pic:nvPicPr>
                  <pic:blipFill>
                    <a:blip r:embed="rId28"/>
                    <a:stretch>
                      <a:fillRect/>
                    </a:stretch>
                  </pic:blipFill>
                  <pic:spPr>
                    <a:xfrm>
                      <a:off x="0" y="0"/>
                      <a:ext cx="5394960" cy="4954831"/>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SIMULATED twin pools under the first-round prior and the widened D38 prior, against the 113 REAL two-chamber recordings, on the first-round scale. Top: each summary's distribution. Bottom left: distance from each real recording to its nearest simulation, both pools at 3,000 runs, beside the distance between neighbouring simulations. Bottom right: which summaries carry that distance.</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
        <w:gridCol w:w="2075"/>
        <w:gridCol w:w="2914"/>
        <w:gridCol w:w="3202"/>
      </w:tblGrid>
      <w:tr>
        <w:trPr>
          <w:cantSplit/>
          <w:tblHeader/>
        </w:trPr>
        <w:tc>
          <w:tcPr>
            <w:tcW w:type="dxa" w:w="305"/>
            <w:shd w:val="clear" w:color="auto" w:fill="1F4E79"/>
            <w:vAlign w:val="center"/>
          </w:tcPr>
          <w:p>
            <w:pPr>
              <w:keepNext/>
              <w:spacing w:after="0"/>
              <w:jc w:val="center"/>
            </w:pPr>
            <w:r>
              <w:rPr>
                <w:rFonts w:ascii="Calibri" w:hAnsi="Calibri"/>
                <w:b/>
                <w:i w:val="0"/>
                <w:color w:val="FFFFFF"/>
                <w:sz w:val="20"/>
              </w:rPr>
              <w:t>#</w:t>
            </w:r>
          </w:p>
        </w:tc>
        <w:tc>
          <w:tcPr>
            <w:tcW w:type="dxa" w:w="2075"/>
            <w:shd w:val="clear" w:color="auto" w:fill="1F4E79"/>
            <w:vAlign w:val="center"/>
          </w:tcPr>
          <w:p>
            <w:pPr>
              <w:keepNext/>
              <w:spacing w:after="0"/>
            </w:pPr>
            <w:r>
              <w:rPr>
                <w:rFonts w:ascii="Calibri" w:hAnsi="Calibri"/>
                <w:b/>
                <w:i w:val="0"/>
                <w:color w:val="FFFFFF"/>
                <w:sz w:val="20"/>
              </w:rPr>
              <w:t>finding</w:t>
            </w:r>
          </w:p>
        </w:tc>
        <w:tc>
          <w:tcPr>
            <w:tcW w:type="dxa" w:w="2914"/>
            <w:shd w:val="clear" w:color="auto" w:fill="1F4E79"/>
            <w:vAlign w:val="center"/>
          </w:tcPr>
          <w:p>
            <w:pPr>
              <w:keepNext/>
              <w:spacing w:after="0"/>
            </w:pPr>
            <w:r>
              <w:rPr>
                <w:rFonts w:ascii="Calibri" w:hAnsi="Calibri"/>
                <w:b/>
                <w:i w:val="0"/>
                <w:color w:val="FFFFFF"/>
                <w:sz w:val="20"/>
              </w:rPr>
              <w:t>evidence</w:t>
            </w:r>
          </w:p>
        </w:tc>
        <w:tc>
          <w:tcPr>
            <w:tcW w:type="dxa" w:w="320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1</w:t>
            </w:r>
          </w:p>
        </w:tc>
        <w:tc>
          <w:tcPr>
            <w:tcW w:type="dxa" w:w="207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914"/>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0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2</w:t>
            </w:r>
          </w:p>
        </w:tc>
        <w:tc>
          <w:tcPr>
            <w:tcW w:type="dxa" w:w="2075"/>
            <w:shd w:val="clear" w:color="auto" w:fill="F7F9FB"/>
            <w:vAlign w:val="center"/>
          </w:tcPr>
          <w:p>
            <w:pPr>
              <w:keepNext/>
              <w:spacing w:after="0"/>
            </w:pPr>
            <w:r>
              <w:rPr>
                <w:rFonts w:ascii="Calibri" w:hAnsi="Calibri"/>
                <w:b w:val="0"/>
                <w:i w:val="0"/>
                <w:color w:val="222222"/>
                <w:sz w:val="20"/>
              </w:rPr>
              <w:t>chamber readouts miss direction</w:t>
            </w:r>
          </w:p>
        </w:tc>
        <w:tc>
          <w:tcPr>
            <w:tcW w:type="dxa" w:w="2914"/>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0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3</w:t>
            </w:r>
          </w:p>
        </w:tc>
        <w:tc>
          <w:tcPr>
            <w:tcW w:type="dxa" w:w="2075"/>
            <w:shd w:val="clear" w:color="auto" w:fill="FFFFFF"/>
            <w:vAlign w:val="center"/>
          </w:tcPr>
          <w:p>
            <w:pPr>
              <w:keepNext/>
              <w:spacing w:after="0"/>
            </w:pPr>
            <w:r>
              <w:rPr>
                <w:rFonts w:ascii="Calibri" w:hAnsi="Calibri"/>
                <w:b w:val="0"/>
                <w:i w:val="0"/>
                <w:color w:val="222222"/>
                <w:sz w:val="20"/>
              </w:rPr>
              <w:t>no cross-laboratory transfer</w:t>
            </w:r>
          </w:p>
        </w:tc>
        <w:tc>
          <w:tcPr>
            <w:tcW w:type="dxa" w:w="2914"/>
            <w:shd w:val="clear" w:color="auto" w:fill="FFFFFF"/>
            <w:vAlign w:val="center"/>
          </w:tcPr>
          <w:p>
            <w:pPr>
              <w:keepNext/>
              <w:spacing w:after="0"/>
            </w:pPr>
            <w:r>
              <w:rPr>
                <w:rFonts w:ascii="Calibri" w:hAnsi="Calibri"/>
                <w:b w:val="0"/>
                <w:i w:val="0"/>
                <w:color w:val="222222"/>
                <w:sz w:val="20"/>
              </w:rPr>
              <w:t>0.3482 against 0.3333 chance</w:t>
            </w:r>
          </w:p>
        </w:tc>
        <w:tc>
          <w:tcPr>
            <w:tcW w:type="dxa" w:w="320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4</w:t>
            </w:r>
          </w:p>
        </w:tc>
        <w:tc>
          <w:tcPr>
            <w:tcW w:type="dxa" w:w="2075"/>
            <w:shd w:val="clear" w:color="auto" w:fill="F7F9FB"/>
            <w:vAlign w:val="center"/>
          </w:tcPr>
          <w:p>
            <w:pPr>
              <w:keepNext/>
              <w:spacing w:after="0"/>
            </w:pPr>
            <w:r>
              <w:rPr>
                <w:rFonts w:ascii="Calibri" w:hAnsi="Calibri"/>
                <w:b w:val="0"/>
                <w:i w:val="0"/>
                <w:color w:val="222222"/>
                <w:sz w:val="20"/>
              </w:rPr>
              <w:t>domain adaptation backfires</w:t>
            </w:r>
          </w:p>
        </w:tc>
        <w:tc>
          <w:tcPr>
            <w:tcW w:type="dxa" w:w="2914"/>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0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5</w:t>
            </w:r>
          </w:p>
        </w:tc>
        <w:tc>
          <w:tcPr>
            <w:tcW w:type="dxa" w:w="2075"/>
            <w:shd w:val="clear" w:color="auto" w:fill="FFFFFF"/>
            <w:vAlign w:val="center"/>
          </w:tcPr>
          <w:p>
            <w:pPr>
              <w:keepNext/>
              <w:spacing w:after="0"/>
            </w:pPr>
            <w:r>
              <w:rPr>
                <w:rFonts w:ascii="Calibri" w:hAnsi="Calibri"/>
                <w:b w:val="0"/>
                <w:i w:val="0"/>
                <w:color w:val="222222"/>
                <w:sz w:val="20"/>
              </w:rPr>
              <w:t>synchrony was an artifact</w:t>
            </w:r>
          </w:p>
        </w:tc>
        <w:tc>
          <w:tcPr>
            <w:tcW w:type="dxa" w:w="2914"/>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0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6</w:t>
            </w:r>
          </w:p>
        </w:tc>
        <w:tc>
          <w:tcPr>
            <w:tcW w:type="dxa" w:w="2075"/>
            <w:shd w:val="clear" w:color="auto" w:fill="F7F9FB"/>
            <w:vAlign w:val="center"/>
          </w:tcPr>
          <w:p>
            <w:pPr>
              <w:keepNext/>
              <w:spacing w:after="0"/>
            </w:pPr>
            <w:r>
              <w:rPr>
                <w:rFonts w:ascii="Calibri" w:hAnsi="Calibri"/>
                <w:b w:val="0"/>
                <w:i w:val="0"/>
                <w:color w:val="222222"/>
                <w:sz w:val="20"/>
              </w:rPr>
              <w:t>posterior over-confidence</w:t>
            </w:r>
          </w:p>
        </w:tc>
        <w:tc>
          <w:tcPr>
            <w:tcW w:type="dxa" w:w="2914"/>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202"/>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7</w:t>
            </w:r>
          </w:p>
        </w:tc>
        <w:tc>
          <w:tcPr>
            <w:tcW w:type="dxa" w:w="2075"/>
            <w:shd w:val="clear" w:color="auto" w:fill="FFFFFF"/>
            <w:vAlign w:val="center"/>
          </w:tcPr>
          <w:p>
            <w:pPr>
              <w:keepNext/>
              <w:spacing w:after="0"/>
            </w:pPr>
            <w:r>
              <w:rPr>
                <w:rFonts w:ascii="Calibri" w:hAnsi="Calibri"/>
                <w:b w:val="0"/>
                <w:i w:val="0"/>
                <w:color w:val="222222"/>
                <w:sz w:val="20"/>
              </w:rPr>
              <w:t>baseline read as drug effect</w:t>
            </w:r>
          </w:p>
        </w:tc>
        <w:tc>
          <w:tcPr>
            <w:tcW w:type="dxa" w:w="2914"/>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0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8</w:t>
            </w:r>
          </w:p>
        </w:tc>
        <w:tc>
          <w:tcPr>
            <w:tcW w:type="dxa" w:w="2075"/>
            <w:shd w:val="clear" w:color="auto" w:fill="F7F9FB"/>
            <w:vAlign w:val="center"/>
          </w:tcPr>
          <w:p>
            <w:pPr>
              <w:keepNext/>
              <w:spacing w:after="0"/>
            </w:pPr>
            <w:r>
              <w:rPr>
                <w:rFonts w:ascii="Calibri" w:hAnsi="Calibri"/>
                <w:b w:val="0"/>
                <w:i w:val="0"/>
                <w:color w:val="222222"/>
                <w:sz w:val="20"/>
              </w:rPr>
              <w:t>support rejection</w:t>
            </w:r>
          </w:p>
        </w:tc>
        <w:tc>
          <w:tcPr>
            <w:tcW w:type="dxa" w:w="2914"/>
            <w:shd w:val="clear" w:color="auto" w:fill="F7F9FB"/>
            <w:vAlign w:val="center"/>
          </w:tcPr>
          <w:p>
            <w:pPr>
              <w:keepNext/>
              <w:spacing w:after="0"/>
            </w:pPr>
            <w:r>
              <w:rPr>
                <w:rFonts w:ascii="Calibri" w:hAnsi="Calibri"/>
                <w:b w:val="0"/>
                <w:i w:val="0"/>
                <w:color w:val="222222"/>
                <w:sz w:val="20"/>
              </w:rPr>
              <w:t>the calibrated twin cannot sample 9 of 113 real recordings; since round 1, a prior widened where the posterior pointed leaves the real recordings almost as far from every simulation (median distance ratio 0.91, registered, §16): the twin does not produce them, so this is misspecification, not the prior's range</w:t>
            </w:r>
          </w:p>
        </w:tc>
        <w:tc>
          <w:tcPr>
            <w:tcW w:type="dxa" w:w="320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 do not read absolute real recordings through the inverse model under either prior; change the model (chamber-specific excitability, coupling delay) before widening the prior further</w:t>
            </w:r>
          </w:p>
        </w:tc>
      </w:tr>
      <w:tr>
        <w:trPr>
          <w:cantSplit/>
        </w:trPr>
        <w:tc>
          <w:tcPr>
            <w:tcW w:type="dxa" w:w="305"/>
            <w:shd w:val="clear" w:color="auto" w:fill="FFFFFF"/>
            <w:vAlign w:val="center"/>
          </w:tcPr>
          <w:p>
            <w:pPr>
              <w:keepNext w:val="0"/>
              <w:spacing w:after="0"/>
              <w:jc w:val="center"/>
            </w:pPr>
            <w:r>
              <w:rPr>
                <w:rFonts w:ascii="Calibri" w:hAnsi="Calibri"/>
                <w:b/>
                <w:i w:val="0"/>
                <w:color w:val="222222"/>
                <w:sz w:val="20"/>
              </w:rPr>
              <w:t>9</w:t>
            </w:r>
          </w:p>
        </w:tc>
        <w:tc>
          <w:tcPr>
            <w:tcW w:type="dxa" w:w="207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914"/>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0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7" name="Picture 17"/>
            <wp:cNvGraphicFramePr>
              <a:graphicFrameLocks noChangeAspect="1"/>
            </wp:cNvGraphicFramePr>
            <a:graphic>
              <a:graphicData uri="http://schemas.openxmlformats.org/drawingml/2006/picture">
                <pic:pic>
                  <pic:nvPicPr>
                    <pic:cNvPr id="0" name="depression_under_block_simulated.png"/>
                    <pic:cNvPicPr/>
                  </pic:nvPicPr>
                  <pic:blipFill>
                    <a:blip r:embed="rId29"/>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47 studies made 236 registered predictions, of which 107 passed, 89 failed and 39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46 registrations, 42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8" name="Picture 18"/>
            <wp:cNvGraphicFramePr>
              <a:graphicFrameLocks noChangeAspect="1"/>
            </wp:cNvGraphicFramePr>
            <a:graphic>
              <a:graphicData uri="http://schemas.openxmlformats.org/drawingml/2006/picture">
                <pic:pic>
                  <pic:nvPicPr>
                    <pic:cNvPr id="0" name="fly_chip_to_animal_dose_SIMULATED.png"/>
                    <pic:cNvPicPr/>
                  </pic:nvPicPr>
                  <pic:blipFill>
                    <a:blip r:embed="rId30"/>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9" name="Picture 19"/>
            <wp:cNvGraphicFramePr>
              <a:graphicFrameLocks noChangeAspect="1"/>
            </wp:cNvGraphicFramePr>
            <a:graphic>
              <a:graphicData uri="http://schemas.openxmlformats.org/drawingml/2006/picture">
                <pic:pic>
                  <pic:nvPicPr>
                    <pic:cNvPr id="0" name="fly_sentinel_ladder_SIMULATED.png"/>
                    <pic:cNvPicPr/>
                  </pic:nvPicPr>
                  <pic:blipFill>
                    <a:blip r:embed="rId31"/>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20" name="Picture 20"/>
            <wp:cNvGraphicFramePr>
              <a:graphicFrameLocks noChangeAspect="1"/>
            </wp:cNvGraphicFramePr>
            <a:graphic>
              <a:graphicData uri="http://schemas.openxmlformats.org/drawingml/2006/picture">
                <pic:pic>
                  <pic:nvPicPr>
                    <pic:cNvPr id="0" name="fly_output_tract_SIMULATED.png"/>
                    <pic:cNvPicPr/>
                  </pic:nvPicPr>
                  <pic:blipFill>
                    <a:blip r:embed="rId32"/>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21" name="Picture 21"/>
            <wp:cNvGraphicFramePr>
              <a:graphicFrameLocks noChangeAspect="1"/>
            </wp:cNvGraphicFramePr>
            <a:graphic>
              <a:graphicData uri="http://schemas.openxmlformats.org/drawingml/2006/picture">
                <pic:pic>
                  <pic:nvPicPr>
                    <pic:cNvPr id="0" name="fly_direction_SIMULATED.png"/>
                    <pic:cNvPicPr/>
                  </pic:nvPicPr>
                  <pic:blipFill>
                    <a:blip r:embed="rId33"/>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2" name="Picture 22"/>
            <wp:cNvGraphicFramePr>
              <a:graphicFrameLocks noChangeAspect="1"/>
            </wp:cNvGraphicFramePr>
            <a:graphic>
              <a:graphicData uri="http://schemas.openxmlformats.org/drawingml/2006/picture">
                <pic:pic>
                  <pic:nvPicPr>
                    <pic:cNvPr id="0" name="fly_motor_onsets_SIMULATED.png"/>
                    <pic:cNvPicPr/>
                  </pic:nvPicPr>
                  <pic:blipFill>
                    <a:blip r:embed="rId34"/>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3" name="Picture 23"/>
            <wp:cNvGraphicFramePr>
              <a:graphicFrameLocks noChangeAspect="1"/>
            </wp:cNvGraphicFramePr>
            <a:graphic>
              <a:graphicData uri="http://schemas.openxmlformats.org/drawingml/2006/picture">
                <pic:pic>
                  <pic:nvPicPr>
                    <pic:cNvPr id="0" name="fly_motor_tie_break_SIMULATED.png"/>
                    <pic:cNvPicPr/>
                  </pic:nvPicPr>
                  <pic:blipFill>
                    <a:blip r:embed="rId35"/>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4" name="Picture 24"/>
            <wp:cNvGraphicFramePr>
              <a:graphicFrameLocks noChangeAspect="1"/>
            </wp:cNvGraphicFramePr>
            <a:graphic>
              <a:graphicData uri="http://schemas.openxmlformats.org/drawingml/2006/picture">
                <pic:pic>
                  <pic:nvPicPr>
                    <pic:cNvPr id="0" name="toxcast_noise_floors_real.png"/>
                    <pic:cNvPicPr/>
                  </pic:nvPicPr>
                  <pic:blipFill>
                    <a:blip r:embed="rId36"/>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5" name="Picture 25"/>
            <wp:cNvGraphicFramePr>
              <a:graphicFrameLocks noChangeAspect="1"/>
            </wp:cNvGraphicFramePr>
            <a:graphic>
              <a:graphicData uri="http://schemas.openxmlformats.org/drawingml/2006/picture">
                <pic:pic>
                  <pic:nvPicPr>
                    <pic:cNvPr id="0" name="twin_toxcast_positive_controls.png"/>
                    <pic:cNvPicPr/>
                  </pic:nvPicPr>
                  <pic:blipFill>
                    <a:blip r:embed="rId37"/>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6" name="Picture 26"/>
            <wp:cNvGraphicFramePr>
              <a:graphicFrameLocks noChangeAspect="1"/>
            </wp:cNvGraphicFramePr>
            <a:graphic>
              <a:graphicData uri="http://schemas.openxmlformats.org/drawingml/2006/picture">
                <pic:pic>
                  <pic:nvPicPr>
                    <pic:cNvPr id="0" name="twin_toxcast_dose_response.png"/>
                    <pic:cNvPicPr/>
                  </pic:nvPicPr>
                  <pic:blipFill>
                    <a:blip r:embed="rId38"/>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7" name="Picture 27"/>
            <wp:cNvGraphicFramePr>
              <a:graphicFrameLocks noChangeAspect="1"/>
            </wp:cNvGraphicFramePr>
            <a:graphic>
              <a:graphicData uri="http://schemas.openxmlformats.org/drawingml/2006/picture">
                <pic:pic>
                  <pic:nvPicPr>
                    <pic:cNvPr id="0" name="hpsc_split_half_real.png"/>
                    <pic:cNvPicPr/>
                  </pic:nvPicPr>
                  <pic:blipFill>
                    <a:blip r:embed="rId39"/>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 The follow-up below finds that ratio is mostly a difference in settling, which bears on whether a lab should add wells or wait longer before dosing.</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The registered follow-up below (D35) measured this: on the human baseline nearly all of the split-half spread is each well's own trend over the recording, and the wells differ in how far their firing rate falls early on, so what this section measures for firing rate is mostly uneven settling, not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keepNext/>
        <w:spacing w:before="240" w:after="60"/>
      </w:pPr>
      <w:r>
        <w:rPr>
          <w:rFonts w:ascii="Calibri" w:hAnsi="Calibri"/>
          <w:b/>
          <w:i w:val="0"/>
          <w:color w:val="1F4E79"/>
          <w:sz w:val="23"/>
        </w:rPr>
        <w:t>Registered follow-up: settling or steady noise?</w:t>
      </w:r>
    </w:p>
    <w:p>
      <w:pPr>
        <w:keepNext/>
        <w:spacing w:after="120"/>
      </w:pPr>
      <w:r>
        <w:rPr>
          <w:rFonts w:ascii="Calibri" w:hAnsi="Calibri"/>
          <w:b w:val="0"/>
          <w:i w:val="0"/>
          <w:color w:val="222222"/>
          <w:sz w:val="21"/>
        </w:rPr>
        <w:t xml:space="preserve">The split-half change cannot tell a well that wobbles steadily from a well that is still settling after the plate went into the reader. The two call for different fixes in an assay, so we registered a test that separates them (decision D35, </w:t>
      </w:r>
      <w:r>
        <w:rPr>
          <w:rFonts w:ascii="Consolas" w:hAnsi="Consolas"/>
          <w:b w:val="0"/>
          <w:i w:val="0"/>
          <w:color w:val="222222"/>
          <w:sz w:val="19"/>
        </w:rPr>
        <w:t>preregistration/hpsc_settling.json</w:t>
      </w:r>
      <w:r>
        <w:rPr>
          <w:rFonts w:ascii="Calibri" w:hAnsi="Calibri"/>
          <w:b w:val="0"/>
          <w:i w:val="0"/>
          <w:color w:val="222222"/>
          <w:sz w:val="21"/>
        </w:rPr>
        <w:t>, committed before any window shorter than half a recording was computed; the code and its tests were committed before the first real-data run). Same baselines, same usable wells as above (24 human, 38 rat). Each 30-minute recording is cut into six 5-minute windows; per well, the firing rate is counted on one fixed set of electrodes (those active over the whole recording under the extractor's own rule), so a changing electrode set cannot move it. A straight line fitted to each well's six log2 rates gives its slope b (its settling, in log2 per window) and its residual SD s (the scatter around its own line). The split-half change then splits exactly into a trend part, 3b, and a residual part.</w:t>
      </w:r>
    </w:p>
    <w:p>
      <w:pPr>
        <w:keepNext/>
        <w:spacing w:before="120" w:after="40"/>
        <w:jc w:val="center"/>
      </w:pPr>
      <w:r>
        <w:drawing>
          <wp:inline xmlns:a="http://schemas.openxmlformats.org/drawingml/2006/main" xmlns:pic="http://schemas.openxmlformats.org/drawingml/2006/picture">
            <wp:extent cx="5394960" cy="1501189"/>
            <wp:docPr id="28" name="Picture 28"/>
            <wp:cNvGraphicFramePr>
              <a:graphicFrameLocks noChangeAspect="1"/>
            </wp:cNvGraphicFramePr>
            <a:graphic>
              <a:graphicData uri="http://schemas.openxmlformats.org/drawingml/2006/picture">
                <pic:pic>
                  <pic:nvPicPr>
                    <pic:cNvPr id="0" name="hpsc_settling_real.png"/>
                    <pic:cNvPicPr/>
                  </pic:nvPicPr>
                  <pic:blipFill>
                    <a:blip r:embed="rId40"/>
                    <a:stretch>
                      <a:fillRect/>
                    </a:stretch>
                  </pic:blipFill>
                  <pic:spPr>
                    <a:xfrm>
                      <a:off x="0" y="0"/>
                      <a:ext cx="5394960" cy="1501189"/>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REAL data, Kapucu 2022, one lab. Left two panels: each usable well's log2 firing rate over six 5-minute windows on a fixed electrode set (faint), with the median rate per window (black), human iPSC and rat. Third: each well's within-recording slope. Right: each well's split-half change against its trend part (3b); points on the dashed line are all trend.</w:t>
      </w:r>
    </w:p>
    <w:p>
      <w:pPr>
        <w:spacing w:after="120"/>
      </w:pPr>
      <w:r>
        <w:rPr>
          <w:rFonts w:ascii="Calibri" w:hAnsi="Calibri"/>
          <w:b/>
          <w:i w:val="0"/>
          <w:color w:val="156082"/>
          <w:sz w:val="21"/>
        </w:rPr>
        <w:t>All three registered predictions pass; the registered linearity check fails for the human wells, and that changes how two of them read.</w:t>
      </w:r>
    </w:p>
    <w:p>
      <w:pPr>
        <w:spacing w:after="120"/>
        <w:ind w:left="432" w:hanging="259"/>
      </w:pPr>
      <w:r>
        <w:rPr>
          <w:rFonts w:ascii="Calibri" w:hAnsi="Calibri"/>
          <w:b w:val="0"/>
          <w:i w:val="0"/>
          <w:color w:val="222222"/>
          <w:sz w:val="21"/>
        </w:rPr>
        <w:t>•</w:t>
        <w:tab/>
      </w:r>
      <w:r>
        <w:rPr>
          <w:rFonts w:ascii="Calibri" w:hAnsi="Calibri"/>
          <w:b/>
          <w:i w:val="0"/>
          <w:color w:val="156082"/>
          <w:sz w:val="21"/>
        </w:rPr>
        <w:t>T1 (human wells settle more unevenly) passes.</w:t>
      </w:r>
      <w:r>
        <w:rPr>
          <w:rFonts w:ascii="Calibri" w:hAnsi="Calibri"/>
          <w:b w:val="0"/>
          <w:i w:val="0"/>
          <w:color w:val="222222"/>
          <w:sz w:val="21"/>
        </w:rPr>
        <w:t xml:space="preserve"> The slope varies more across human wells: SD 0.076 against 0.021 log2 per window, a ratio of 3.65 (95% interval 2.72 to 5.04), above 1 as registered. Both species fall on average (mean slope −0.092 human, −0.041 rat).</w:t>
      </w:r>
    </w:p>
    <w:p>
      <w:pPr>
        <w:spacing w:after="120"/>
        <w:ind w:left="432" w:hanging="259"/>
      </w:pPr>
      <w:r>
        <w:rPr>
          <w:rFonts w:ascii="Calibri" w:hAnsi="Calibri"/>
          <w:b w:val="0"/>
          <w:i w:val="0"/>
          <w:color w:val="222222"/>
          <w:sz w:val="21"/>
        </w:rPr>
        <w:t>•</w:t>
        <w:tab/>
      </w:r>
      <w:r>
        <w:rPr>
          <w:rFonts w:ascii="Calibri" w:hAnsi="Calibri"/>
          <w:b/>
          <w:i w:val="0"/>
          <w:color w:val="156082"/>
          <w:sz w:val="21"/>
        </w:rPr>
        <w:t>T2 (human wells noisier around their own trend) passes.</w:t>
      </w:r>
      <w:r>
        <w:rPr>
          <w:rFonts w:ascii="Calibri" w:hAnsi="Calibri"/>
          <w:b w:val="0"/>
          <w:i w:val="0"/>
          <w:color w:val="222222"/>
          <w:sz w:val="21"/>
        </w:rPr>
        <w:t xml:space="preserve"> Median residual SD 0.217 against 0.021, a ratio of 10.2 (7.91 to 11.43). As the linearity check shows, most of this is curvature a straight line misses, not scatter.</w:t>
      </w:r>
    </w:p>
    <w:p>
      <w:pPr>
        <w:spacing w:after="120"/>
        <w:ind w:left="432" w:hanging="259"/>
      </w:pPr>
      <w:r>
        <w:rPr>
          <w:rFonts w:ascii="Calibri" w:hAnsi="Calibri"/>
          <w:b w:val="0"/>
          <w:i w:val="0"/>
          <w:color w:val="222222"/>
          <w:sz w:val="21"/>
        </w:rPr>
        <w:t>•</w:t>
        <w:tab/>
      </w:r>
      <w:r>
        <w:rPr>
          <w:rFonts w:ascii="Calibri" w:hAnsi="Calibri"/>
          <w:b/>
          <w:i w:val="0"/>
          <w:color w:val="156082"/>
          <w:sz w:val="21"/>
        </w:rPr>
        <w:t>T3 (the trend carries most of the human split-half spread) passes.</w:t>
      </w:r>
      <w:r>
        <w:rPr>
          <w:rFonts w:ascii="Calibri" w:hAnsi="Calibri"/>
          <w:b w:val="0"/>
          <w:i w:val="0"/>
          <w:color w:val="222222"/>
          <w:sz w:val="21"/>
        </w:rPr>
        <w:t xml:space="preserve"> The trend part's share of the variance of the split-half change is 0.996 in human wells (registered threshold 0.5), and 0.946 in rat wells. A caution we found only when implementing it: a straight line on six windows absorbs part of pure steady noise too, so with no settling at all this share would be about 0.77, above the registered threshold. The pass alone therefore does not separate settling from noise. What does is how far above that reference the human share sits (descriptive interval 0.93 to 1.08), and how small the residual part is: SD 0.021 against 0.227 for the whole change (log2).</w:t>
      </w:r>
    </w:p>
    <w:p>
      <w:pPr>
        <w:spacing w:after="120"/>
      </w:pPr>
      <w:r>
        <w:rPr>
          <w:rFonts w:ascii="Calibri" w:hAnsi="Calibri"/>
          <w:b/>
          <w:i w:val="0"/>
          <w:color w:val="156082"/>
          <w:sz w:val="21"/>
        </w:rPr>
        <w:t>The registered assumption check: the trend is not a straight line in human wells.</w:t>
      </w:r>
      <w:r>
        <w:rPr>
          <w:rFonts w:ascii="Calibri" w:hAnsi="Calibri"/>
          <w:b w:val="0"/>
          <w:i w:val="0"/>
          <w:color w:val="222222"/>
          <w:sz w:val="21"/>
        </w:rPr>
        <w:t xml:space="preserve"> Adding a quadratic term lowers the residual SD by more than a third in a share of 1.0 of human wells and 0.26 of rat wells; the registered rule (more than half in either species) therefore says the trend is not linear (linear: False), and T1 and T3 are read with that caveat. The settling curve (reported, not tested) shows the shape: the human median rate falls from 6.73 Hz in the first window to 4.80 Hz in the second, bottoms at 4.26 Hz in the fourth and ends at 4.55 Hz; the rat median declines gently and steadily, from 3.59 to 3.00 Hz. So the slope of a human well summarises a fall and partial recovery, and its residual SD s is mostly the part of that curve the line misses. Around a quadratic (descriptive, beside the check) the human wells still scatter more, median 0.066 against 0.017 (log2), but T2's tenfold ratio should not be read as tenfold steady noise. Read with the caveat, T1 still holds: the human wells differ much more in how far they fall, and T3's near-total share says that difference, not window-to-window scatter, is what D32's split-half SD mostly measured.</w:t>
      </w:r>
    </w:p>
    <w:p>
      <w:pPr>
        <w:spacing w:after="120"/>
      </w:pPr>
      <w:r>
        <w:rPr>
          <w:rFonts w:ascii="Calibri" w:hAnsi="Calibri"/>
          <w:b/>
          <w:i w:val="0"/>
          <w:color w:val="156082"/>
          <w:sz w:val="21"/>
        </w:rPr>
        <w:t>Two post hoc readings, added after the first run and not registered.</w:t>
      </w:r>
      <w:r>
        <w:rPr>
          <w:rFonts w:ascii="Calibri" w:hAnsi="Calibri"/>
          <w:b w:val="0"/>
          <w:i w:val="0"/>
          <w:color w:val="222222"/>
          <w:sz w:val="21"/>
        </w:rPr>
        <w:t xml:space="preserve"> First, the scatter around each line (curvature included) would by itself produce a share of 0.43 of the human slope variance; beyond it, the human slopes still spread 2.88 times as widely as the rat ones, so T1 is not an artefact of noisier fits. Second, dropping the first window, as if the plate had settled five minutes longer, takes out the steepest human fall (median step from the first to the second window −0.47 log2 against −0.08) but not the species difference: the SD across wells of the remaining change is 0.17 human against 0.054 rat, still 3.16 times larger.</w:t>
      </w:r>
    </w:p>
    <w:p>
      <w:pPr>
        <w:spacing w:after="120"/>
      </w:pPr>
      <w:r>
        <w:rPr>
          <w:rFonts w:ascii="Calibri" w:hAnsi="Calibri"/>
          <w:b/>
          <w:i w:val="0"/>
          <w:color w:val="156082"/>
          <w:sz w:val="21"/>
        </w:rPr>
        <w:t>Wells needed from the residual part alone: illustrative, reported and not tested.</w:t>
      </w:r>
      <w:r>
        <w:rPr>
          <w:rFonts w:ascii="Calibri" w:hAnsi="Calibri"/>
          <w:b w:val="0"/>
          <w:i w:val="0"/>
          <w:color w:val="222222"/>
          <w:sz w:val="21"/>
        </w:rPr>
        <w:t xml:space="preserve"> With D32's formula on the residual part's SD, a 20% fall would need at least 1 human and 1 rat well per arm, against 8 human wells from the whole change of this windowed rate. This figure is not an assay design: it assumes each well's trend could be removed exactly, and removing a fitted line also removes part of the steady noise, so it flatters both species. We do not use it to set well counts.</w:t>
      </w:r>
    </w:p>
    <w:p>
      <w:pPr>
        <w:spacing w:after="120"/>
      </w:pPr>
      <w:r>
        <w:rPr>
          <w:rFonts w:ascii="Calibri" w:hAnsi="Calibri"/>
          <w:b/>
          <w:i w:val="0"/>
          <w:color w:val="156082"/>
          <w:sz w:val="21"/>
        </w:rPr>
        <w:t>What it changes for this section, and what a lab would do.</w:t>
      </w:r>
      <w:r>
        <w:rPr>
          <w:rFonts w:ascii="Calibri" w:hAnsi="Calibri"/>
          <w:b w:val="0"/>
          <w:i w:val="0"/>
          <w:color w:val="222222"/>
          <w:sz w:val="21"/>
        </w:rPr>
        <w:t xml:space="preserve"> The caveat above is now a measured statement: D32's twofold human firing-rate noise is mostly uneven settling within the recording, not steady noise. For an assay this points first to a longer settling period before the baseline and dosing, rather than to more wells, because the spread sits in the trend. But these 30-minute recordings do not show how long that period must be: five more minutes would not close the gap (the post hoc reading above), and the human median is still moving at the end of the recording. A lab would first record untreated human wells for longer to find where the fall ends, then decide between waiting that long and adding wells; until then, the wells-needed figures above stay the guide.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under </w:t>
      </w:r>
      <w:r>
        <w:rPr>
          <w:rFonts w:ascii="Consolas" w:hAnsi="Consolas"/>
          <w:b w:val="0"/>
          <w:i w:val="0"/>
          <w:color w:val="222222"/>
          <w:sz w:val="19"/>
        </w:rPr>
        <w:t>hpsc_settling.implementation_notes</w:t>
      </w:r>
      <w:r>
        <w:rPr>
          <w:rFonts w:ascii="Calibri" w:hAnsi="Calibri"/>
          <w:b w:val="0"/>
          <w:i w:val="0"/>
          <w:color w:val="222222"/>
          <w:sz w:val="21"/>
        </w:rPr>
        <w:t>: usable wells are read from D32's results file; windows follow D32's cut (the plate file's last spike ends the recording; a spike on a window edge starts the next window); the electrode set is the extractor's default active rule applied to the whole recording, and noisy electrodes are kept, as in D32; with the floor, a rate is defined in every window of a well with a non-empty set; SDs and variances use ddof 1; one bootstrap serves T1 and T2, drawing human then rat wells per resample as D32 does; "above 1" is strict; the quadratic fit's residual SD uses its own degrees of freedom and "more than a third" is strict (with both fits at ddof 2, the rat share is 0.45, still below one half). The caveat flag is set on T1 and T3, as registered; the note on T2 above is ours.</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and for firing rate on the human baseline it is mostly settling over the first part of the recording, as the follow-up shows.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9" name="Picture 29"/>
            <wp:cNvGraphicFramePr>
              <a:graphicFrameLocks noChangeAspect="1"/>
            </wp:cNvGraphicFramePr>
            <a:graphic>
              <a:graphicData uri="http://schemas.openxmlformats.org/drawingml/2006/picture">
                <pic:pic>
                  <pic:nvPicPr>
                    <pic:cNvPr id="0" name="hd14_posterior_ranks_simulated.png"/>
                    <pic:cNvPicPr/>
                  </pic:nvPicPr>
                  <pic:blipFill>
                    <a:blip r:embed="rId41"/>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29.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30" name="Picture 30"/>
            <wp:cNvGraphicFramePr>
              <a:graphicFrameLocks noChangeAspect="1"/>
            </wp:cNvGraphicFramePr>
            <a:graphic>
              <a:graphicData uri="http://schemas.openxmlformats.org/drawingml/2006/picture">
                <pic:pic>
                  <pic:nvPicPr>
                    <pic:cNvPr id="0" name="hd14b_recalibration_simulated.png"/>
                    <pic:cNvPicPr/>
                  </pic:nvPicPr>
                  <pic:blipFill>
                    <a:blip r:embed="rId42"/>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30.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31" name="Picture 31"/>
            <wp:cNvGraphicFramePr>
              <a:graphicFrameLocks noChangeAspect="1"/>
            </wp:cNvGraphicFramePr>
            <a:graphic>
              <a:graphicData uri="http://schemas.openxmlformats.org/drawingml/2006/picture">
                <pic:pic>
                  <pic:nvPicPr>
                    <pic:cNvPr id="0" name="microchannel_asymmetry_real.png"/>
                    <pic:cNvPicPr/>
                  </pic:nvPicPr>
                  <pic:blipFill>
                    <a:blip r:embed="rId43"/>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31.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519.0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this run was on an idle machine, with every study added through §36 included, and runs that shared the machine with other jobs took up to about twice as long, crossing ten minutes. The longest stage is the twin, at 322.5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