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D22. Resolving stage 4b's one-step margins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the two thin margins reported; a finer dose grid inside them, as the motor-level tie-break did; a different movement impairment line (a new rule chosen after the results, so not taken).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finer grid (stage 4c, registration commit f387845): GABA-A potentiation at gaba_scale 1.6-1.9 and excitability block at threshold_scale 1.24-1.36 and 1.44-1.56, with stage 4b's movement seeds and both of the parent's chip seed sets, the coarse levels rerun as a reproduction check.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4b showed that in two families the headline rests on a single step of the dose grid, and a finer grid is the direct way to ask what happens inside it.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f387845). Excitability block resolves chip later against both chip runs; GABA-A potentiation stays chip later with the full index, and tied without the bitter-gated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(for example a walking readout, once one exists) would tell whether GABA-A potentiation's lateness is specific to feeding.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D23. Stopping new science for the night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further stages (each remaining branch needs a model not at hand or is expected to fail by construction); documents for the team.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slide outline for the deck (</w:t>
      </w:r>
      <w:r>
        <w:rPr>
          <w:rFonts w:ascii="Consolas" w:hAnsi="Consolas"/>
          <w:b w:val="0"/>
          <w:i w:val="0"/>
          <w:color w:val="222222"/>
          <w:sz w:val="19"/>
        </w:rPr>
        <w:t>report/SLIDES_OUTLINE.md</w:t>
      </w:r>
      <w:r>
        <w:rPr>
          <w:rFonts w:ascii="Calibri" w:hAnsi="Calibri"/>
          <w:b w:val="0"/>
          <w:i w:val="0"/>
          <w:color w:val="222222"/>
          <w:sz w:val="21"/>
        </w:rPr>
        <w:t xml:space="preserve">, every number cited), the README's document table brought up to date, and a morning summary in </w:t>
      </w:r>
      <w:r>
        <w:rPr>
          <w:rFonts w:ascii="Consolas" w:hAnsi="Consolas"/>
          <w:b w:val="0"/>
          <w:i w:val="0"/>
          <w:color w:val="222222"/>
          <w:sz w:val="19"/>
        </w:rPr>
        <w:t>PROGRESS.md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headline has now been tested as far as the current bodies allow (stages 4a-4c), and the next scientific choices (D7 neuron volumes, a muscle-driven hind leg, a walking readout for drugs) are the team's to make.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D24. The volume size rule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(D7's unexplored branch):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from a future release, or MANC volumes through the male-CNS-to-MANC matching; found instead: the male CNS v1.0 neuPrint neuron table (same bucket, same CC-BY release) has a voxel count per 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fetch that table whole (4.65 GB, source </w:t>
      </w:r>
      <w:r>
        <w:rPr>
          <w:rFonts w:ascii="Consolas" w:hAnsi="Consolas"/>
          <w:b w:val="0"/>
          <w:i w:val="0"/>
          <w:color w:val="222222"/>
          <w:sz w:val="19"/>
        </w:rPr>
        <w:t>malecns_sizes</w:t>
      </w:r>
      <w:r>
        <w:rPr>
          <w:rFonts w:ascii="Calibri" w:hAnsi="Calibri"/>
          <w:b w:val="0"/>
          <w:i w:val="0"/>
          <w:color w:val="222222"/>
          <w:sz w:val="21"/>
        </w:rPr>
        <w:t xml:space="preserve">), checked against the bucket's CRC32C, because the bucket publishes no MD5 for it </w:t>
      </w:r>
      <w:r>
        <w:rPr>
          <w:rFonts w:ascii="Calibri" w:hAnsi="Calibri"/>
          <w:b/>
          <w:i w:val="0"/>
          <w:color w:val="222222"/>
          <w:sz w:val="21"/>
        </w:rPr>
        <w:t>(user: full file, not a column-only range read)</w:t>
      </w:r>
      <w:r>
        <w:rPr>
          <w:rFonts w:ascii="Calibri" w:hAnsi="Calibri"/>
          <w:b w:val="0"/>
          <w:i w:val="0"/>
          <w:color w:val="222222"/>
          <w:sz w:val="21"/>
        </w:rPr>
        <w:t>; rerun stage 2h with the published rule (stage 2i, registration commit d03ee27) on fresh draws. A numpy CRC32C was written rather than adding a dependency.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6 of 7 (registration commit d03ee27): the rhythm needs the circuit and promotor and remotor keep a reliable, non-antiphase offset; flexor-extensor alternation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normalizing by the median over the whole nerve cord rather than over the network (stated choice: over the network, as for the synapse-count stand-in).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D25. Checking that stage 2i comes from the neurons' own volumes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2i as it stands; name the assumption most likely to make it wrong and test it (the project rule for results that look good).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2j (registration commit 1d1d644), fresh draws: the volume rule replicated, volumes shuffled across neurons (a fresh permutation per draw), and normalization by the nerve cord's median instead of the network's.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if shuffled volumes do as well, the result is about the spread of sizes, not the identified neurons; the normalization was a stated choice the published description does not fix.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1d1d644). Shuffled volumes give no rhythm; the cord-median normalization changes nothing; the rhythm and the circuit's necessity replicate, but the promotor-remotor offset does not reach the registered reliability, so it is not claimed.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test of the offset alone with more draws, if it matters for the paper.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