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4"/>
        <w:gridCol w:w="1585"/>
        <w:gridCol w:w="2250"/>
        <w:gridCol w:w="3031"/>
        <w:gridCol w:w="1215"/>
      </w:tblGrid>
      <w:tr>
        <w:trPr>
          <w:cantSplit/>
          <w:tblHeader/>
        </w:trPr>
        <w:tc>
          <w:tcPr>
            <w:tcW w:type="dxa" w:w="414"/>
            <w:shd w:val="clear" w:color="auto" w:fill="1F4E79"/>
            <w:vAlign w:val="center"/>
          </w:tcPr>
          <w:p>
            <w:pPr>
              <w:keepNext/>
              <w:spacing w:after="0"/>
              <w:jc w:val="center"/>
            </w:pPr>
            <w:r>
              <w:rPr>
                <w:rFonts w:ascii="Calibri" w:hAnsi="Calibri"/>
                <w:b/>
                <w:i w:val="0"/>
                <w:color w:val="FFFFFF"/>
                <w:sz w:val="20"/>
              </w:rPr>
              <w:t>#</w:t>
            </w:r>
          </w:p>
        </w:tc>
        <w:tc>
          <w:tcPr>
            <w:tcW w:type="dxa" w:w="1585"/>
            <w:shd w:val="clear" w:color="auto" w:fill="1F4E79"/>
            <w:vAlign w:val="center"/>
          </w:tcPr>
          <w:p>
            <w:pPr>
              <w:keepNext/>
              <w:spacing w:after="0"/>
              <w:jc w:val="center"/>
            </w:pPr>
            <w:r>
              <w:rPr>
                <w:rFonts w:ascii="Calibri" w:hAnsi="Calibri"/>
                <w:b/>
                <w:i w:val="0"/>
                <w:color w:val="FFFFFF"/>
                <w:sz w:val="20"/>
              </w:rPr>
              <w:t>Date</w:t>
            </w:r>
          </w:p>
        </w:tc>
        <w:tc>
          <w:tcPr>
            <w:tcW w:type="dxa" w:w="2250"/>
            <w:shd w:val="clear" w:color="auto" w:fill="1F4E79"/>
            <w:vAlign w:val="center"/>
          </w:tcPr>
          <w:p>
            <w:pPr>
              <w:keepNext/>
              <w:spacing w:after="0"/>
            </w:pPr>
            <w:r>
              <w:rPr>
                <w:rFonts w:ascii="Calibri" w:hAnsi="Calibri"/>
                <w:b/>
                <w:i w:val="0"/>
                <w:color w:val="FFFFFF"/>
                <w:sz w:val="20"/>
              </w:rPr>
              <w:t>Change</w:t>
            </w:r>
          </w:p>
        </w:tc>
        <w:tc>
          <w:tcPr>
            <w:tcW w:type="dxa" w:w="3031"/>
            <w:shd w:val="clear" w:color="auto" w:fill="1F4E79"/>
            <w:vAlign w:val="center"/>
          </w:tcPr>
          <w:p>
            <w:pPr>
              <w:keepNext/>
              <w:spacing w:after="0"/>
            </w:pPr>
            <w:r>
              <w:rPr>
                <w:rFonts w:ascii="Calibri" w:hAnsi="Calibri"/>
                <w:b/>
                <w:i w:val="0"/>
                <w:color w:val="FFFFFF"/>
                <w:sz w:val="20"/>
              </w:rPr>
              <w:t>Effect on results</w:t>
            </w:r>
          </w:p>
        </w:tc>
        <w:tc>
          <w:tcPr>
            <w:tcW w:type="dxa" w:w="1215"/>
            <w:shd w:val="clear" w:color="auto" w:fill="1F4E79"/>
            <w:vAlign w:val="center"/>
          </w:tcPr>
          <w:p>
            <w:pPr>
              <w:keepNext/>
              <w:spacing w:after="0"/>
            </w:pPr>
            <w:r>
              <w:rPr>
                <w:rFonts w:ascii="Calibri" w:hAnsi="Calibri"/>
                <w:b/>
                <w:i w:val="0"/>
                <w:color w:val="FFFFFF"/>
                <w:sz w:val="20"/>
              </w:rPr>
              <w:t>Commits</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w:t>
            </w:r>
          </w:p>
        </w:tc>
        <w:tc>
          <w:tcPr>
            <w:tcW w:type="dxa" w:w="1585"/>
            <w:shd w:val="clear" w:color="auto" w:fill="FFFFFF"/>
            <w:vAlign w:val="center"/>
          </w:tcPr>
          <w:p>
            <w:pPr>
              <w:keepNext/>
              <w:spacing w:after="0"/>
              <w:jc w:val="center"/>
            </w:pPr>
            <w:r>
              <w:rPr>
                <w:rFonts w:ascii="Calibri" w:hAnsi="Calibri"/>
                <w:b w:val="0"/>
                <w:i w:val="0"/>
                <w:color w:val="222222"/>
                <w:sz w:val="20"/>
              </w:rPr>
              <w:t>2026-10-10</w:t>
            </w:r>
          </w:p>
        </w:tc>
        <w:tc>
          <w:tcPr>
            <w:tcW w:type="dxa" w:w="22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31"/>
            <w:shd w:val="clear" w:color="auto" w:fill="FFFFFF"/>
            <w:vAlign w:val="center"/>
          </w:tcPr>
          <w:p>
            <w:pPr>
              <w:keepNext/>
              <w:spacing w:after="0"/>
            </w:pPr>
            <w:r>
              <w:rPr>
                <w:rFonts w:ascii="Calibri" w:hAnsi="Calibri"/>
                <w:b w:val="0"/>
                <w:i w:val="0"/>
                <w:color w:val="222222"/>
                <w:sz w:val="20"/>
              </w:rPr>
              <w:t>none (no number or claim changed)</w:t>
            </w:r>
          </w:p>
        </w:tc>
        <w:tc>
          <w:tcPr>
            <w:tcW w:type="dxa" w:w="1215"/>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w:t>
            </w:r>
          </w:p>
        </w:tc>
        <w:tc>
          <w:tcPr>
            <w:tcW w:type="dxa" w:w="1585"/>
            <w:shd w:val="clear" w:color="auto" w:fill="F7F9FB"/>
            <w:vAlign w:val="center"/>
          </w:tcPr>
          <w:p>
            <w:pPr>
              <w:keepNext/>
              <w:spacing w:after="0"/>
              <w:jc w:val="center"/>
            </w:pPr>
            <w:r>
              <w:rPr>
                <w:rFonts w:ascii="Calibri" w:hAnsi="Calibri"/>
                <w:b w:val="0"/>
                <w:i w:val="0"/>
                <w:color w:val="222222"/>
                <w:sz w:val="20"/>
              </w:rPr>
              <w:t>2026-10-11</w:t>
            </w:r>
          </w:p>
        </w:tc>
        <w:tc>
          <w:tcPr>
            <w:tcW w:type="dxa" w:w="22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31"/>
            <w:shd w:val="clear" w:color="auto" w:fill="F7F9FB"/>
            <w:vAlign w:val="center"/>
          </w:tcPr>
          <w:p>
            <w:pPr>
              <w:keepNext/>
              <w:spacing w:after="0"/>
            </w:pPr>
            <w:r>
              <w:rPr>
                <w:rFonts w:ascii="Calibri" w:hAnsi="Calibri"/>
                <w:b w:val="0"/>
                <w:i w:val="0"/>
                <w:color w:val="222222"/>
                <w:sz w:val="20"/>
              </w:rPr>
              <w:t>the dose conclusion reverses</w:t>
            </w:r>
          </w:p>
        </w:tc>
        <w:tc>
          <w:tcPr>
            <w:tcW w:type="dxa" w:w="1215"/>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w:t>
            </w:r>
          </w:p>
        </w:tc>
        <w:tc>
          <w:tcPr>
            <w:tcW w:type="dxa" w:w="1585"/>
            <w:shd w:val="clear" w:color="auto" w:fill="FFFFFF"/>
            <w:vAlign w:val="center"/>
          </w:tcPr>
          <w:p>
            <w:pPr>
              <w:keepNext/>
              <w:spacing w:after="0"/>
              <w:jc w:val="center"/>
            </w:pPr>
            <w:r>
              <w:rPr>
                <w:rFonts w:ascii="Calibri" w:hAnsi="Calibri"/>
                <w:b w:val="0"/>
                <w:i w:val="0"/>
                <w:color w:val="222222"/>
                <w:sz w:val="20"/>
              </w:rPr>
              <w:t>2026-10-22</w:t>
            </w:r>
          </w:p>
        </w:tc>
        <w:tc>
          <w:tcPr>
            <w:tcW w:type="dxa" w:w="22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31"/>
            <w:shd w:val="clear" w:color="auto" w:fill="FFFFFF"/>
            <w:vAlign w:val="center"/>
          </w:tcPr>
          <w:p>
            <w:pPr>
              <w:keepNext/>
              <w:spacing w:after="0"/>
            </w:pPr>
            <w:r>
              <w:rPr>
                <w:rFonts w:ascii="Calibri" w:hAnsi="Calibri"/>
                <w:b w:val="0"/>
                <w:i w:val="0"/>
                <w:color w:val="222222"/>
                <w:sz w:val="20"/>
              </w:rPr>
              <w:t>none; access only</w:t>
            </w:r>
          </w:p>
        </w:tc>
        <w:tc>
          <w:tcPr>
            <w:tcW w:type="dxa" w:w="1215"/>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4</w:t>
            </w:r>
          </w:p>
        </w:tc>
        <w:tc>
          <w:tcPr>
            <w:tcW w:type="dxa" w:w="1585"/>
            <w:shd w:val="clear" w:color="auto" w:fill="F7F9FB"/>
            <w:vAlign w:val="center"/>
          </w:tcPr>
          <w:p>
            <w:pPr>
              <w:keepNext/>
              <w:spacing w:after="0"/>
              <w:jc w:val="center"/>
            </w:pPr>
            <w:r>
              <w:rPr>
                <w:rFonts w:ascii="Calibri" w:hAnsi="Calibri"/>
                <w:b w:val="0"/>
                <w:i w:val="0"/>
                <w:color w:val="222222"/>
                <w:sz w:val="20"/>
              </w:rPr>
              <w:t>2026-10-22/23</w:t>
            </w:r>
          </w:p>
        </w:tc>
        <w:tc>
          <w:tcPr>
            <w:tcW w:type="dxa" w:w="22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31"/>
            <w:shd w:val="clear" w:color="auto" w:fill="F7F9FB"/>
            <w:vAlign w:val="center"/>
          </w:tcPr>
          <w:p>
            <w:pPr>
              <w:keepNext/>
              <w:spacing w:after="0"/>
            </w:pPr>
            <w:r>
              <w:rPr>
                <w:rFonts w:ascii="Calibri" w:hAnsi="Calibri"/>
                <w:b w:val="0"/>
                <w:i w:val="0"/>
                <w:color w:val="222222"/>
                <w:sz w:val="20"/>
              </w:rPr>
              <w:t>new results, pre-registered</w:t>
            </w:r>
          </w:p>
        </w:tc>
        <w:tc>
          <w:tcPr>
            <w:tcW w:type="dxa" w:w="1215"/>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5</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31"/>
            <w:shd w:val="clear" w:color="auto" w:fill="FFFFFF"/>
            <w:vAlign w:val="center"/>
          </w:tcPr>
          <w:p>
            <w:pPr>
              <w:keepNext/>
              <w:spacing w:after="0"/>
            </w:pPr>
            <w:r>
              <w:rPr>
                <w:rFonts w:ascii="Calibri" w:hAnsi="Calibri"/>
                <w:b w:val="0"/>
                <w:i w:val="0"/>
                <w:color w:val="222222"/>
                <w:sz w:val="20"/>
              </w:rPr>
              <w:t>none; structure only</w:t>
            </w:r>
          </w:p>
        </w:tc>
        <w:tc>
          <w:tcPr>
            <w:tcW w:type="dxa" w:w="1215"/>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6</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31"/>
            <w:shd w:val="clear" w:color="auto" w:fill="F7F9FB"/>
            <w:vAlign w:val="center"/>
          </w:tcPr>
          <w:p>
            <w:pPr>
              <w:keepNext/>
              <w:spacing w:after="0"/>
            </w:pPr>
            <w:r>
              <w:rPr>
                <w:rFonts w:ascii="Calibri" w:hAnsi="Calibri"/>
                <w:b w:val="0"/>
                <w:i w:val="0"/>
                <w:color w:val="222222"/>
                <w:sz w:val="20"/>
              </w:rPr>
              <w:t>new comparison (descriptive)</w:t>
            </w:r>
          </w:p>
        </w:tc>
        <w:tc>
          <w:tcPr>
            <w:tcW w:type="dxa" w:w="1215"/>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7</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31"/>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5"/>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8</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31"/>
            <w:shd w:val="clear" w:color="auto" w:fill="F7F9FB"/>
            <w:vAlign w:val="center"/>
          </w:tcPr>
          <w:p>
            <w:pPr>
              <w:keepNext/>
              <w:spacing w:after="0"/>
            </w:pPr>
            <w:r>
              <w:rPr>
                <w:rFonts w:ascii="Calibri" w:hAnsi="Calibri"/>
                <w:b w:val="0"/>
                <w:i w:val="0"/>
                <w:color w:val="222222"/>
                <w:sz w:val="20"/>
              </w:rPr>
              <w:t>1 of 3 registered predictions pass</w:t>
            </w:r>
          </w:p>
        </w:tc>
        <w:tc>
          <w:tcPr>
            <w:tcW w:type="dxa" w:w="1215"/>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9</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31"/>
            <w:shd w:val="clear" w:color="auto" w:fill="FFFFFF"/>
            <w:vAlign w:val="center"/>
          </w:tcPr>
          <w:p>
            <w:pPr>
              <w:keepNext/>
              <w:spacing w:after="0"/>
            </w:pPr>
            <w:r>
              <w:rPr>
                <w:rFonts w:ascii="Calibri" w:hAnsi="Calibri"/>
                <w:b w:val="0"/>
                <w:i w:val="0"/>
                <w:color w:val="222222"/>
                <w:sz w:val="20"/>
              </w:rPr>
              <w:t>4 of 4 registered predictions pass</w:t>
            </w:r>
          </w:p>
        </w:tc>
        <w:tc>
          <w:tcPr>
            <w:tcW w:type="dxa" w:w="1215"/>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10</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31"/>
            <w:shd w:val="clear" w:color="auto" w:fill="F7F9FB"/>
            <w:vAlign w:val="center"/>
          </w:tcPr>
          <w:p>
            <w:pPr>
              <w:keepNext/>
              <w:spacing w:after="0"/>
            </w:pPr>
            <w:r>
              <w:rPr>
                <w:rFonts w:ascii="Calibri" w:hAnsi="Calibri"/>
                <w:b w:val="0"/>
                <w:i w:val="0"/>
                <w:color w:val="222222"/>
                <w:sz w:val="20"/>
              </w:rPr>
              <w:t>6 of 7 registered predictions pass</w:t>
            </w:r>
          </w:p>
        </w:tc>
        <w:tc>
          <w:tcPr>
            <w:tcW w:type="dxa" w:w="1215"/>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11</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31"/>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5"/>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12</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31"/>
            <w:shd w:val="clear" w:color="auto" w:fill="F7F9FB"/>
            <w:vAlign w:val="center"/>
          </w:tcPr>
          <w:p>
            <w:pPr>
              <w:keepNext/>
              <w:spacing w:after="0"/>
            </w:pPr>
            <w:r>
              <w:rPr>
                <w:rFonts w:ascii="Calibri" w:hAnsi="Calibri"/>
                <w:b w:val="0"/>
                <w:i w:val="0"/>
                <w:color w:val="222222"/>
                <w:sz w:val="20"/>
              </w:rPr>
              <w:t>plan, no new results</w:t>
            </w:r>
          </w:p>
        </w:tc>
        <w:tc>
          <w:tcPr>
            <w:tcW w:type="dxa" w:w="1215"/>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13</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31"/>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5"/>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14</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31"/>
            <w:shd w:val="clear" w:color="auto" w:fill="F7F9FB"/>
            <w:vAlign w:val="center"/>
          </w:tcPr>
          <w:p>
            <w:pPr>
              <w:keepNext/>
              <w:spacing w:after="0"/>
            </w:pPr>
            <w:r>
              <w:rPr>
                <w:rFonts w:ascii="Calibri" w:hAnsi="Calibri"/>
                <w:b w:val="0"/>
                <w:i w:val="0"/>
                <w:color w:val="222222"/>
                <w:sz w:val="20"/>
              </w:rPr>
              <w:t>3 of 5 registered predictions pass</w:t>
            </w:r>
          </w:p>
        </w:tc>
        <w:tc>
          <w:tcPr>
            <w:tcW w:type="dxa" w:w="1215"/>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15</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31"/>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5"/>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16</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31"/>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5"/>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17</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31"/>
            <w:shd w:val="clear" w:color="auto" w:fill="FFFFFF"/>
            <w:vAlign w:val="center"/>
          </w:tcPr>
          <w:p>
            <w:pPr>
              <w:keepNext/>
              <w:spacing w:after="0"/>
            </w:pPr>
            <w:r>
              <w:rPr>
                <w:rFonts w:ascii="Calibri" w:hAnsi="Calibri"/>
                <w:b w:val="0"/>
                <w:i w:val="0"/>
                <w:color w:val="222222"/>
                <w:sz w:val="20"/>
              </w:rPr>
              <w:t>1 of 5 pass; no walking rhythm</w:t>
            </w:r>
          </w:p>
        </w:tc>
        <w:tc>
          <w:tcPr>
            <w:tcW w:type="dxa" w:w="1215"/>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18</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31"/>
            <w:shd w:val="clear" w:color="auto" w:fill="F7F9FB"/>
            <w:vAlign w:val="center"/>
          </w:tcPr>
          <w:p>
            <w:pPr>
              <w:keepNext/>
              <w:spacing w:after="0"/>
            </w:pPr>
            <w:r>
              <w:rPr>
                <w:rFonts w:ascii="Calibri" w:hAnsi="Calibri"/>
                <w:b w:val="0"/>
                <w:i w:val="0"/>
                <w:color w:val="222222"/>
                <w:sz w:val="20"/>
              </w:rPr>
              <w:t>6 of 6 registered predictions pass</w:t>
            </w:r>
          </w:p>
        </w:tc>
        <w:tc>
          <w:tcPr>
            <w:tcW w:type="dxa" w:w="1215"/>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19</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31"/>
            <w:shd w:val="clear" w:color="auto" w:fill="FFFFFF"/>
            <w:vAlign w:val="center"/>
          </w:tcPr>
          <w:p>
            <w:pPr>
              <w:keepNext/>
              <w:spacing w:after="0"/>
            </w:pPr>
            <w:r>
              <w:rPr>
                <w:rFonts w:ascii="Calibri" w:hAnsi="Calibri"/>
                <w:b w:val="0"/>
                <w:i w:val="0"/>
                <w:color w:val="222222"/>
                <w:sz w:val="20"/>
              </w:rPr>
              <w:t>stopped by its rule; no cell walks</w:t>
            </w:r>
          </w:p>
        </w:tc>
        <w:tc>
          <w:tcPr>
            <w:tcW w:type="dxa" w:w="1215"/>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20</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31"/>
            <w:shd w:val="clear" w:color="auto" w:fill="F7F9FB"/>
            <w:vAlign w:val="center"/>
          </w:tcPr>
          <w:p>
            <w:pPr>
              <w:keepNext/>
              <w:spacing w:after="0"/>
            </w:pPr>
            <w:r>
              <w:rPr>
                <w:rFonts w:ascii="Calibri" w:hAnsi="Calibri"/>
                <w:b w:val="0"/>
                <w:i w:val="0"/>
                <w:color w:val="222222"/>
                <w:sz w:val="20"/>
              </w:rPr>
              <w:t>1 of 7 at the selected cell</w:t>
            </w:r>
          </w:p>
        </w:tc>
        <w:tc>
          <w:tcPr>
            <w:tcW w:type="dxa" w:w="1215"/>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21</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31"/>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5"/>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22</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The registered rhythm-measure audit</w:t>
            </w:r>
          </w:p>
        </w:tc>
        <w:tc>
          <w:tcPr>
            <w:tcW w:type="dxa" w:w="3031"/>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5"/>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23</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31"/>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5"/>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24</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31"/>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5"/>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25</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31"/>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5"/>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26</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31"/>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5"/>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27</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31"/>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5"/>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28</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31"/>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5"/>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29</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31"/>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5"/>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30</w:t>
            </w:r>
          </w:p>
        </w:tc>
        <w:tc>
          <w:tcPr>
            <w:tcW w:type="dxa" w:w="1585"/>
            <w:shd w:val="clear" w:color="auto" w:fill="F7F9FB"/>
            <w:vAlign w:val="center"/>
          </w:tcPr>
          <w:p>
            <w:pPr>
              <w:keepNext/>
              <w:spacing w:after="0"/>
              <w:jc w:val="center"/>
            </w:pPr>
            <w:r>
              <w:rPr>
                <w:rFonts w:ascii="Calibri" w:hAnsi="Calibri"/>
                <w:b w:val="0"/>
                <w:i w:val="0"/>
                <w:color w:val="222222"/>
                <w:sz w:val="20"/>
              </w:rPr>
              <w:t>2026-10-24/25</w:t>
            </w:r>
          </w:p>
        </w:tc>
        <w:tc>
          <w:tcPr>
            <w:tcW w:type="dxa" w:w="225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31"/>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5"/>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31</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31"/>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5"/>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32</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31"/>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5"/>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33</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31"/>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5"/>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34</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31"/>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5"/>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35</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31"/>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5"/>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36</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31"/>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5"/>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37</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031"/>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5"/>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38</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3031"/>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15"/>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39</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3031"/>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215"/>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40</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3031"/>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215"/>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41</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3031"/>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215"/>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14"/>
            <w:shd w:val="clear" w:color="auto" w:fill="F7F9FB"/>
            <w:vAlign w:val="center"/>
          </w:tcPr>
          <w:p>
            <w:pPr>
              <w:keepNext w:val="0"/>
              <w:spacing w:after="0"/>
              <w:jc w:val="center"/>
            </w:pPr>
            <w:r>
              <w:rPr>
                <w:rFonts w:ascii="Calibri" w:hAnsi="Calibri"/>
                <w:b/>
                <w:i w:val="0"/>
                <w:color w:val="222222"/>
                <w:sz w:val="20"/>
              </w:rPr>
              <w:t>42</w:t>
            </w:r>
          </w:p>
        </w:tc>
        <w:tc>
          <w:tcPr>
            <w:tcW w:type="dxa" w:w="1585"/>
            <w:shd w:val="clear" w:color="auto" w:fill="F7F9FB"/>
            <w:vAlign w:val="center"/>
          </w:tcPr>
          <w:p>
            <w:pPr>
              <w:keepNext w:val="0"/>
              <w:spacing w:after="0"/>
              <w:jc w:val="center"/>
            </w:pPr>
            <w:r>
              <w:rPr>
                <w:rFonts w:ascii="Calibri" w:hAnsi="Calibri"/>
                <w:b w:val="0"/>
                <w:i w:val="0"/>
                <w:color w:val="222222"/>
                <w:sz w:val="20"/>
              </w:rPr>
              <w:t>2026-10-26</w:t>
            </w:r>
          </w:p>
        </w:tc>
        <w:tc>
          <w:tcPr>
            <w:tcW w:type="dxa" w:w="2250"/>
            <w:shd w:val="clear" w:color="auto" w:fill="F7F9FB"/>
            <w:vAlign w:val="center"/>
          </w:tcPr>
          <w:p>
            <w:pPr>
              <w:keepNext w:val="0"/>
              <w:spacing w:after="0"/>
            </w:pPr>
            <w:r>
              <w:rPr>
                <w:rFonts w:ascii="Calibri" w:hAnsi="Calibri"/>
                <w:b w:val="0"/>
                <w:i w:val="0"/>
                <w:color w:val="222222"/>
                <w:sz w:val="20"/>
              </w:rPr>
              <w:t>Real ToxCast vehicle wells: noise floors, wells needed, and the twin against unseen positive controls</w:t>
            </w:r>
          </w:p>
        </w:tc>
        <w:tc>
          <w:tcPr>
            <w:tcW w:type="dxa" w:w="3031"/>
            <w:shd w:val="clear" w:color="auto" w:fill="F7F9FB"/>
            <w:vAlign w:val="center"/>
          </w:tcPr>
          <w:p>
            <w:pPr>
              <w:keepNext w:val="0"/>
              <w:spacing w:after="0"/>
            </w:pPr>
            <w:r>
              <w:rPr>
                <w:rFonts w:ascii="Calibri" w:hAnsi="Calibri"/>
                <w:b w:val="0"/>
                <w:i w:val="0"/>
                <w:color w:val="222222"/>
                <w:sz w:val="20"/>
              </w:rPr>
              <w:t>new real-data results, both registered; twin 12 of 12 directions, no better than a firing-rate rule</w:t>
            </w:r>
          </w:p>
        </w:tc>
        <w:tc>
          <w:tcPr>
            <w:tcW w:type="dxa" w:w="1215"/>
            <w:shd w:val="clear" w:color="auto" w:fill="F7F9FB"/>
            <w:vAlign w:val="center"/>
          </w:tcPr>
          <w:p>
            <w:pPr>
              <w:keepNext w:val="0"/>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