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is simulated and labelled so. Both analyses were registered before any response statistic was computed (`preregistration/toxcast_noise_floors.json`, `preregistration/twin_toxcast_positive_controls.json`).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not the twin's dose response.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3" name="Picture 23"/>
            <wp:cNvGraphicFramePr>
              <a:graphicFrameLocks noChangeAspect="1"/>
            </wp:cNvGraphicFramePr>
            <a:graphic>
              <a:graphicData uri="http://schemas.openxmlformats.org/drawingml/2006/picture">
                <pic:pic>
                  <pic:nvPicPr>
                    <pic:cNvPr id="0" name="hd14_posterior_ranks_simulated.png"/>
                    <pic:cNvPicPr/>
                  </pic:nvPicPr>
                  <pic:blipFill>
                    <a:blip r:embed="rId35"/>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4" name="Picture 24"/>
            <wp:cNvGraphicFramePr>
              <a:graphicFrameLocks noChangeAspect="1"/>
            </wp:cNvGraphicFramePr>
            <a:graphic>
              <a:graphicData uri="http://schemas.openxmlformats.org/drawingml/2006/picture">
                <pic:pic>
                  <pic:nvPicPr>
                    <pic:cNvPr id="0" name="microchannel_asymmetry_real.png"/>
                    <pic:cNvPicPr/>
                  </pic:nvPicPr>
                  <pic:blipFill>
                    <a:blip r:embed="rId36"/>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