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976"/>
        <w:gridCol w:w="6520"/>
      </w:tblGrid>
      <w:tr>
        <w:trPr>
          <w:cantSplit/>
        </w:trPr>
        <w:tc>
          <w:tcPr>
            <w:tcW w:type="dxa" w:w="1976"/>
            <w:shd w:val="clear" w:color="auto" w:fill="FFFFFF"/>
            <w:vAlign w:val="center"/>
          </w:tcPr>
          <w:p>
            <w:pPr>
              <w:keepNext/>
              <w:spacing w:after="0"/>
            </w:pPr>
            <w:r>
              <w:rPr>
                <w:rFonts w:ascii="Calibri" w:hAnsi="Calibri"/>
                <w:b/>
                <w:i w:val="0"/>
                <w:color w:val="222222"/>
                <w:sz w:val="20"/>
              </w:rPr>
              <w:t>Code and demo</w:t>
            </w:r>
          </w:p>
        </w:tc>
        <w:tc>
          <w:tcPr>
            <w:tcW w:type="dxa" w:w="6520"/>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976"/>
            <w:shd w:val="clear" w:color="auto" w:fill="F7F9FB"/>
            <w:vAlign w:val="center"/>
          </w:tcPr>
          <w:p>
            <w:pPr>
              <w:keepNext/>
              <w:spacing w:after="0"/>
            </w:pPr>
            <w:r>
              <w:rPr>
                <w:rFonts w:ascii="Calibri" w:hAnsi="Calibri"/>
                <w:b/>
                <w:i w:val="0"/>
                <w:color w:val="222222"/>
                <w:sz w:val="20"/>
              </w:rPr>
              <w:t>Verification harness</w:t>
            </w:r>
          </w:p>
        </w:tc>
        <w:tc>
          <w:tcPr>
            <w:tcW w:type="dxa" w:w="6520"/>
            <w:shd w:val="clear" w:color="auto" w:fill="F7F9FB"/>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976"/>
            <w:shd w:val="clear" w:color="auto" w:fill="FFFFFF"/>
            <w:vAlign w:val="center"/>
          </w:tcPr>
          <w:p>
            <w:pPr>
              <w:keepNext/>
              <w:spacing w:after="0"/>
            </w:pPr>
            <w:r>
              <w:rPr>
                <w:rFonts w:ascii="Calibri" w:hAnsi="Calibri"/>
                <w:b/>
                <w:i w:val="0"/>
                <w:color w:val="222222"/>
                <w:sz w:val="20"/>
              </w:rPr>
              <w:t>Audit discipline</w:t>
            </w:r>
          </w:p>
        </w:tc>
        <w:tc>
          <w:tcPr>
            <w:tcW w:type="dxa" w:w="6520"/>
            <w:shd w:val="clear" w:color="auto" w:fill="FFFFFF"/>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976"/>
            <w:shd w:val="clear" w:color="auto" w:fill="F7F9FB"/>
            <w:vAlign w:val="center"/>
          </w:tcPr>
          <w:p>
            <w:pPr>
              <w:keepNext w:val="0"/>
              <w:spacing w:after="0"/>
            </w:pPr>
            <w:r>
              <w:rPr>
                <w:rFonts w:ascii="Calibri" w:hAnsi="Calibri"/>
                <w:b/>
                <w:i w:val="0"/>
                <w:color w:val="222222"/>
                <w:sz w:val="20"/>
              </w:rPr>
              <w:t>Regulatory position</w:t>
            </w:r>
          </w:p>
        </w:tc>
        <w:tc>
          <w:tcPr>
            <w:tcW w:type="dxa" w:w="6520"/>
            <w:shd w:val="clear" w:color="auto" w:fill="F7F9FB"/>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Eight of our findings set firm boundaries, and §18 pairs each with what we would do instead. For example, chamber-level readouts cannot tell which way axons are firing without electrodes inside the microchannels (0.3854 against 0.5 chance), and no summary feature we could test tracks dose monotonically. In §20 we turn these findings into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shows no relationship with dose: Spearman ρ = 0.014, p = 0.751. Mechanism and dose are different questions, and this model only answers the first. As §18 shows, this turned out to be a property of the measurement, not of the model.</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2697480" cy="2098040"/>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3129076" cy="2448842"/>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564538"/>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2913278" cy="1529471"/>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2805379" cy="1262421"/>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1" name="Picture 11"/>
            <wp:cNvGraphicFramePr>
              <a:graphicFrameLocks noChangeAspect="1"/>
            </wp:cNvGraphicFramePr>
            <a:graphic>
              <a:graphicData uri="http://schemas.openxmlformats.org/drawingml/2006/picture">
                <pic:pic>
                  <pic:nvPicPr>
                    <pic:cNvPr id="0" name="axonal_flow_vs_chamber.png"/>
                    <pic:cNvPicPr/>
                  </pic:nvPicPr>
                  <pic:blipFill>
                    <a:blip r:embed="rId23"/>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120" w:after="40"/>
        <w:jc w:val="center"/>
      </w:pPr>
      <w:r>
        <w:drawing>
          <wp:inline xmlns:a="http://schemas.openxmlformats.org/drawingml/2006/main" xmlns:pic="http://schemas.openxmlformats.org/drawingml/2006/picture">
            <wp:extent cx="3021177" cy="2114824"/>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0.9219, using only 6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Six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3"/>
        <w:gridCol w:w="2352"/>
        <w:gridCol w:w="2475"/>
        <w:gridCol w:w="3355"/>
      </w:tblGrid>
      <w:tr>
        <w:trPr>
          <w:cantSplit/>
          <w:tblHeader/>
        </w:trPr>
        <w:tc>
          <w:tcPr>
            <w:tcW w:type="dxa" w:w="313"/>
            <w:shd w:val="clear" w:color="auto" w:fill="1F4E79"/>
            <w:vAlign w:val="center"/>
          </w:tcPr>
          <w:p>
            <w:pPr>
              <w:keepNext/>
              <w:spacing w:after="0"/>
              <w:jc w:val="center"/>
            </w:pPr>
            <w:r>
              <w:rPr>
                <w:rFonts w:ascii="Calibri" w:hAnsi="Calibri"/>
                <w:b/>
                <w:i w:val="0"/>
                <w:color w:val="FFFFFF"/>
                <w:sz w:val="20"/>
              </w:rPr>
              <w:t>#</w:t>
            </w:r>
          </w:p>
        </w:tc>
        <w:tc>
          <w:tcPr>
            <w:tcW w:type="dxa" w:w="2352"/>
            <w:shd w:val="clear" w:color="auto" w:fill="1F4E79"/>
            <w:vAlign w:val="center"/>
          </w:tcPr>
          <w:p>
            <w:pPr>
              <w:keepNext/>
              <w:spacing w:after="0"/>
            </w:pPr>
            <w:r>
              <w:rPr>
                <w:rFonts w:ascii="Calibri" w:hAnsi="Calibri"/>
                <w:b/>
                <w:i w:val="0"/>
                <w:color w:val="FFFFFF"/>
                <w:sz w:val="20"/>
              </w:rPr>
              <w:t>finding</w:t>
            </w:r>
          </w:p>
        </w:tc>
        <w:tc>
          <w:tcPr>
            <w:tcW w:type="dxa" w:w="2475"/>
            <w:shd w:val="clear" w:color="auto" w:fill="1F4E79"/>
            <w:vAlign w:val="center"/>
          </w:tcPr>
          <w:p>
            <w:pPr>
              <w:keepNext/>
              <w:spacing w:after="0"/>
            </w:pPr>
            <w:r>
              <w:rPr>
                <w:rFonts w:ascii="Calibri" w:hAnsi="Calibri"/>
                <w:b/>
                <w:i w:val="0"/>
                <w:color w:val="FFFFFF"/>
                <w:sz w:val="20"/>
              </w:rPr>
              <w:t>evidence</w:t>
            </w:r>
          </w:p>
        </w:tc>
        <w:tc>
          <w:tcPr>
            <w:tcW w:type="dxa" w:w="3355"/>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1</w:t>
            </w:r>
          </w:p>
        </w:tc>
        <w:tc>
          <w:tcPr>
            <w:tcW w:type="dxa" w:w="2352"/>
            <w:shd w:val="clear" w:color="auto" w:fill="FFFFFF"/>
            <w:vAlign w:val="center"/>
          </w:tcPr>
          <w:p>
            <w:pPr>
              <w:keepNext/>
              <w:spacing w:after="0"/>
            </w:pPr>
            <w:r>
              <w:rPr>
                <w:rFonts w:ascii="Calibri" w:hAnsi="Calibri"/>
                <w:b w:val="0"/>
                <w:i w:val="0"/>
                <w:color w:val="222222"/>
                <w:sz w:val="20"/>
              </w:rPr>
              <w:t>no monotonic dose trend in the summary features</w:t>
            </w:r>
          </w:p>
        </w:tc>
        <w:tc>
          <w:tcPr>
            <w:tcW w:type="dxa" w:w="2475"/>
            <w:shd w:val="clear" w:color="auto" w:fill="FFFFFF"/>
            <w:vAlign w:val="center"/>
          </w:tcPr>
          <w:p>
            <w:pPr>
              <w:keepNext/>
              <w:spacing w:after="0"/>
            </w:pPr>
            <w:r>
              <w:rPr>
                <w:rFonts w:ascii="Calibri" w:hAnsi="Calibri"/>
                <w:b w:val="0"/>
                <w:i w:val="0"/>
                <w:color w:val="222222"/>
                <w:sz w:val="20"/>
              </w:rPr>
              <w:t>0 of 7 testable features move with dose</w:t>
            </w:r>
          </w:p>
        </w:tc>
        <w:tc>
          <w:tcPr>
            <w:tcW w:type="dxa" w:w="3355"/>
            <w:shd w:val="clear" w:color="auto" w:fill="FFFFFF"/>
            <w:vAlign w:val="center"/>
          </w:tcPr>
          <w:p>
            <w:pPr>
              <w:keepNext/>
              <w:spacing w:after="0"/>
            </w:pPr>
            <w:r>
              <w:rPr>
                <w:rFonts w:ascii="Calibri" w:hAnsi="Calibri"/>
                <w:b w:val="0"/>
                <w:i w:val="0"/>
                <w:color w:val="222222"/>
                <w:sz w:val="20"/>
              </w:rPr>
              <w:t>do not read concentration from summary tables; keep the spike times so other features can be tried</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2</w:t>
            </w:r>
          </w:p>
        </w:tc>
        <w:tc>
          <w:tcPr>
            <w:tcW w:type="dxa" w:w="2352"/>
            <w:shd w:val="clear" w:color="auto" w:fill="F7F9FB"/>
            <w:vAlign w:val="center"/>
          </w:tcPr>
          <w:p>
            <w:pPr>
              <w:keepNext/>
              <w:spacing w:after="0"/>
            </w:pPr>
            <w:r>
              <w:rPr>
                <w:rFonts w:ascii="Calibri" w:hAnsi="Calibri"/>
                <w:b w:val="0"/>
                <w:i w:val="0"/>
                <w:color w:val="222222"/>
                <w:sz w:val="20"/>
              </w:rPr>
              <w:t>chamber readouts miss direction</w:t>
            </w:r>
          </w:p>
        </w:tc>
        <w:tc>
          <w:tcPr>
            <w:tcW w:type="dxa" w:w="2475"/>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355"/>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3</w:t>
            </w:r>
          </w:p>
        </w:tc>
        <w:tc>
          <w:tcPr>
            <w:tcW w:type="dxa" w:w="2352"/>
            <w:shd w:val="clear" w:color="auto" w:fill="FFFFFF"/>
            <w:vAlign w:val="center"/>
          </w:tcPr>
          <w:p>
            <w:pPr>
              <w:keepNext/>
              <w:spacing w:after="0"/>
            </w:pPr>
            <w:r>
              <w:rPr>
                <w:rFonts w:ascii="Calibri" w:hAnsi="Calibri"/>
                <w:b w:val="0"/>
                <w:i w:val="0"/>
                <w:color w:val="222222"/>
                <w:sz w:val="20"/>
              </w:rPr>
              <w:t>no cross-laboratory transfer</w:t>
            </w:r>
          </w:p>
        </w:tc>
        <w:tc>
          <w:tcPr>
            <w:tcW w:type="dxa" w:w="2475"/>
            <w:shd w:val="clear" w:color="auto" w:fill="FFFFFF"/>
            <w:vAlign w:val="center"/>
          </w:tcPr>
          <w:p>
            <w:pPr>
              <w:keepNext/>
              <w:spacing w:after="0"/>
            </w:pPr>
            <w:r>
              <w:rPr>
                <w:rFonts w:ascii="Calibri" w:hAnsi="Calibri"/>
                <w:b w:val="0"/>
                <w:i w:val="0"/>
                <w:color w:val="222222"/>
                <w:sz w:val="20"/>
              </w:rPr>
              <w:t>0.3482 against 0.3333 chance</w:t>
            </w:r>
          </w:p>
        </w:tc>
        <w:tc>
          <w:tcPr>
            <w:tcW w:type="dxa" w:w="3355"/>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4</w:t>
            </w:r>
          </w:p>
        </w:tc>
        <w:tc>
          <w:tcPr>
            <w:tcW w:type="dxa" w:w="2352"/>
            <w:shd w:val="clear" w:color="auto" w:fill="F7F9FB"/>
            <w:vAlign w:val="center"/>
          </w:tcPr>
          <w:p>
            <w:pPr>
              <w:keepNext/>
              <w:spacing w:after="0"/>
            </w:pPr>
            <w:r>
              <w:rPr>
                <w:rFonts w:ascii="Calibri" w:hAnsi="Calibri"/>
                <w:b w:val="0"/>
                <w:i w:val="0"/>
                <w:color w:val="222222"/>
                <w:sz w:val="20"/>
              </w:rPr>
              <w:t>domain adaptation backfires</w:t>
            </w:r>
          </w:p>
        </w:tc>
        <w:tc>
          <w:tcPr>
            <w:tcW w:type="dxa" w:w="2475"/>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355"/>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5</w:t>
            </w:r>
          </w:p>
        </w:tc>
        <w:tc>
          <w:tcPr>
            <w:tcW w:type="dxa" w:w="2352"/>
            <w:shd w:val="clear" w:color="auto" w:fill="FFFFFF"/>
            <w:vAlign w:val="center"/>
          </w:tcPr>
          <w:p>
            <w:pPr>
              <w:keepNext/>
              <w:spacing w:after="0"/>
            </w:pPr>
            <w:r>
              <w:rPr>
                <w:rFonts w:ascii="Calibri" w:hAnsi="Calibri"/>
                <w:b w:val="0"/>
                <w:i w:val="0"/>
                <w:color w:val="222222"/>
                <w:sz w:val="20"/>
              </w:rPr>
              <w:t>synchrony was an artifact</w:t>
            </w:r>
          </w:p>
        </w:tc>
        <w:tc>
          <w:tcPr>
            <w:tcW w:type="dxa" w:w="2475"/>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355"/>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6</w:t>
            </w:r>
          </w:p>
        </w:tc>
        <w:tc>
          <w:tcPr>
            <w:tcW w:type="dxa" w:w="2352"/>
            <w:shd w:val="clear" w:color="auto" w:fill="F7F9FB"/>
            <w:vAlign w:val="center"/>
          </w:tcPr>
          <w:p>
            <w:pPr>
              <w:keepNext/>
              <w:spacing w:after="0"/>
            </w:pPr>
            <w:r>
              <w:rPr>
                <w:rFonts w:ascii="Calibri" w:hAnsi="Calibri"/>
                <w:b w:val="0"/>
                <w:i w:val="0"/>
                <w:color w:val="222222"/>
                <w:sz w:val="20"/>
              </w:rPr>
              <w:t>posterior over-confidence</w:t>
            </w:r>
          </w:p>
        </w:tc>
        <w:tc>
          <w:tcPr>
            <w:tcW w:type="dxa" w:w="2475"/>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355"/>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7</w:t>
            </w:r>
          </w:p>
        </w:tc>
        <w:tc>
          <w:tcPr>
            <w:tcW w:type="dxa" w:w="2352"/>
            <w:shd w:val="clear" w:color="auto" w:fill="FFFFFF"/>
            <w:vAlign w:val="center"/>
          </w:tcPr>
          <w:p>
            <w:pPr>
              <w:keepNext/>
              <w:spacing w:after="0"/>
            </w:pPr>
            <w:r>
              <w:rPr>
                <w:rFonts w:ascii="Calibri" w:hAnsi="Calibri"/>
                <w:b w:val="0"/>
                <w:i w:val="0"/>
                <w:color w:val="222222"/>
                <w:sz w:val="20"/>
              </w:rPr>
              <w:t>baseline read as drug effect</w:t>
            </w:r>
          </w:p>
        </w:tc>
        <w:tc>
          <w:tcPr>
            <w:tcW w:type="dxa" w:w="2475"/>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355"/>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13"/>
            <w:shd w:val="clear" w:color="auto" w:fill="F7F9FB"/>
            <w:vAlign w:val="center"/>
          </w:tcPr>
          <w:p>
            <w:pPr>
              <w:keepNext w:val="0"/>
              <w:spacing w:after="0"/>
              <w:jc w:val="center"/>
            </w:pPr>
            <w:r>
              <w:rPr>
                <w:rFonts w:ascii="Calibri" w:hAnsi="Calibri"/>
                <w:b/>
                <w:i w:val="0"/>
                <w:color w:val="222222"/>
                <w:sz w:val="20"/>
              </w:rPr>
              <w:t>8</w:t>
            </w:r>
          </w:p>
        </w:tc>
        <w:tc>
          <w:tcPr>
            <w:tcW w:type="dxa" w:w="2352"/>
            <w:shd w:val="clear" w:color="auto" w:fill="F7F9FB"/>
            <w:vAlign w:val="center"/>
          </w:tcPr>
          <w:p>
            <w:pPr>
              <w:keepNext w:val="0"/>
              <w:spacing w:after="0"/>
            </w:pPr>
            <w:r>
              <w:rPr>
                <w:rFonts w:ascii="Calibri" w:hAnsi="Calibri"/>
                <w:b w:val="0"/>
                <w:i w:val="0"/>
                <w:color w:val="222222"/>
                <w:sz w:val="20"/>
              </w:rPr>
              <w:t>support rejection</w:t>
            </w:r>
          </w:p>
        </w:tc>
        <w:tc>
          <w:tcPr>
            <w:tcW w:type="dxa" w:w="2475"/>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3355"/>
            <w:shd w:val="clear" w:color="auto" w:fill="F7F9FB"/>
            <w:vAlign w:val="center"/>
          </w:tcPr>
          <w:p>
            <w:pPr>
              <w:keepNext w:val="0"/>
              <w:spacing w:after="0"/>
            </w:pPr>
            <w:r>
              <w:rPr>
                <w:rFonts w:ascii="Calibri" w:hAnsi="Calibri"/>
                <w:b w:val="0"/>
                <w:i w:val="0"/>
                <w:color w:val="222222"/>
                <w:sz w:val="20"/>
              </w:rPr>
              <w:t>treat a refusal as an out-of-distribution flag and send the recording to a person</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It would be natural to blame the models, so we asked the question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0 of the 7 do. After subtracting each device's own baseline, 0 do — in both cases after a Holm correction for testing seven features at once. The models were not failing to extract a signal. The signal simply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There is no monotonic dose tracking.</w:t>
      </w:r>
      <w:r>
        <w:rPr>
          <w:rFonts w:ascii="Calibri" w:hAnsi="Calibri"/>
          <w:b w:val="0"/>
          <w:i w:val="0"/>
          <w:color w:val="222222"/>
          <w:sz w:val="21"/>
        </w:rPr>
        <w:t xml:space="preserve"> The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four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(6 electrodes,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the app imports NeuroMPS, which is installed only inside </w:t>
      </w:r>
      <w:r>
        <w:rPr>
          <w:rFonts w:ascii="Consolas" w:hAnsi="Consolas"/>
          <w:b w:val="0"/>
          <w:i w:val="0"/>
          <w:color w:val="222222"/>
          <w:sz w:val="19"/>
        </w:rPr>
        <w:t>.venv</w:t>
      </w:r>
      <w:r>
        <w:rPr>
          <w:rFonts w:ascii="Calibri" w:hAnsi="Calibri"/>
          <w:b w:val="0"/>
          <w:i w:val="0"/>
          <w:color w:val="222222"/>
          <w:sz w:val="21"/>
        </w:rPr>
        <w:t xml:space="preserve">, so a system-wide Streamlit cannot find it. Provenance is guarded the same way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 and the build halts on any mismatch.</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4" name="Picture 14"/>
            <wp:cNvGraphicFramePr>
              <a:graphicFrameLocks noChangeAspect="1"/>
            </wp:cNvGraphicFramePr>
            <a:graphic>
              <a:graphicData uri="http://schemas.openxmlformats.org/drawingml/2006/picture">
                <pic:pic>
                  <pic:nvPicPr>
                    <pic:cNvPr id="0" name="hd14_posterior_ranks_simulated.png"/>
                    <pic:cNvPicPr/>
                  </pic:nvPicPr>
                  <pic:blipFill>
                    <a:blip r:embed="rId2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2805379" cy="1636471"/>
            <wp:docPr id="15" name="Picture 15"/>
            <wp:cNvGraphicFramePr>
              <a:graphicFrameLocks noChangeAspect="1"/>
            </wp:cNvGraphicFramePr>
            <a:graphic>
              <a:graphicData uri="http://schemas.openxmlformats.org/drawingml/2006/picture">
                <pic:pic>
                  <pic:nvPicPr>
                    <pic:cNvPr id="0" name="microchannel_asymmetry_real.png"/>
                    <pic:cNvPicPr/>
                  </pic:nvPicPr>
                  <pic:blipFill>
                    <a:blip r:embed="rId27"/>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0.014, p = 0.751).</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or external models. Every statistical model in this report — logistic regression, gradient boosting and the neural posterior estimator — is trained from scratch on the data described here.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