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88"/>
        <w:gridCol w:w="2346"/>
        <w:gridCol w:w="3656"/>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88"/>
            <w:shd w:val="clear" w:color="auto" w:fill="1F4E79"/>
            <w:vAlign w:val="center"/>
          </w:tcPr>
          <w:p>
            <w:pPr>
              <w:keepNext/>
              <w:spacing w:after="0"/>
            </w:pPr>
            <w:r>
              <w:rPr>
                <w:rFonts w:ascii="Calibri" w:hAnsi="Calibri"/>
                <w:b/>
                <w:i w:val="0"/>
                <w:color w:val="FFFFFF"/>
                <w:sz w:val="20"/>
              </w:rPr>
              <w:t>finding</w:t>
            </w:r>
          </w:p>
        </w:tc>
        <w:tc>
          <w:tcPr>
            <w:tcW w:type="dxa" w:w="2346"/>
            <w:shd w:val="clear" w:color="auto" w:fill="1F4E79"/>
            <w:vAlign w:val="center"/>
          </w:tcPr>
          <w:p>
            <w:pPr>
              <w:keepNext/>
              <w:spacing w:after="0"/>
            </w:pPr>
            <w:r>
              <w:rPr>
                <w:rFonts w:ascii="Calibri" w:hAnsi="Calibri"/>
                <w:b/>
                <w:i w:val="0"/>
                <w:color w:val="FFFFFF"/>
                <w:sz w:val="20"/>
              </w:rPr>
              <w:t>evidence</w:t>
            </w:r>
          </w:p>
        </w:tc>
        <w:tc>
          <w:tcPr>
            <w:tcW w:type="dxa" w:w="3656"/>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88"/>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346"/>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656"/>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88"/>
            <w:shd w:val="clear" w:color="auto" w:fill="F7F9FB"/>
            <w:vAlign w:val="center"/>
          </w:tcPr>
          <w:p>
            <w:pPr>
              <w:keepNext/>
              <w:spacing w:after="0"/>
            </w:pPr>
            <w:r>
              <w:rPr>
                <w:rFonts w:ascii="Calibri" w:hAnsi="Calibri"/>
                <w:b w:val="0"/>
                <w:i w:val="0"/>
                <w:color w:val="222222"/>
                <w:sz w:val="20"/>
              </w:rPr>
              <w:t>chamber readouts miss direction</w:t>
            </w:r>
          </w:p>
        </w:tc>
        <w:tc>
          <w:tcPr>
            <w:tcW w:type="dxa" w:w="2346"/>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656"/>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88"/>
            <w:shd w:val="clear" w:color="auto" w:fill="FFFFFF"/>
            <w:vAlign w:val="center"/>
          </w:tcPr>
          <w:p>
            <w:pPr>
              <w:keepNext/>
              <w:spacing w:after="0"/>
            </w:pPr>
            <w:r>
              <w:rPr>
                <w:rFonts w:ascii="Calibri" w:hAnsi="Calibri"/>
                <w:b w:val="0"/>
                <w:i w:val="0"/>
                <w:color w:val="222222"/>
                <w:sz w:val="20"/>
              </w:rPr>
              <w:t>no cross-laboratory transfer</w:t>
            </w:r>
          </w:p>
        </w:tc>
        <w:tc>
          <w:tcPr>
            <w:tcW w:type="dxa" w:w="2346"/>
            <w:shd w:val="clear" w:color="auto" w:fill="FFFFFF"/>
            <w:vAlign w:val="center"/>
          </w:tcPr>
          <w:p>
            <w:pPr>
              <w:keepNext/>
              <w:spacing w:after="0"/>
            </w:pPr>
            <w:r>
              <w:rPr>
                <w:rFonts w:ascii="Calibri" w:hAnsi="Calibri"/>
                <w:b w:val="0"/>
                <w:i w:val="0"/>
                <w:color w:val="222222"/>
                <w:sz w:val="20"/>
              </w:rPr>
              <w:t>0.3482 against 0.3333 chance</w:t>
            </w:r>
          </w:p>
        </w:tc>
        <w:tc>
          <w:tcPr>
            <w:tcW w:type="dxa" w:w="3656"/>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88"/>
            <w:shd w:val="clear" w:color="auto" w:fill="F7F9FB"/>
            <w:vAlign w:val="center"/>
          </w:tcPr>
          <w:p>
            <w:pPr>
              <w:keepNext/>
              <w:spacing w:after="0"/>
            </w:pPr>
            <w:r>
              <w:rPr>
                <w:rFonts w:ascii="Calibri" w:hAnsi="Calibri"/>
                <w:b w:val="0"/>
                <w:i w:val="0"/>
                <w:color w:val="222222"/>
                <w:sz w:val="20"/>
              </w:rPr>
              <w:t>domain adaptation backfires</w:t>
            </w:r>
          </w:p>
        </w:tc>
        <w:tc>
          <w:tcPr>
            <w:tcW w:type="dxa" w:w="2346"/>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656"/>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88"/>
            <w:shd w:val="clear" w:color="auto" w:fill="FFFFFF"/>
            <w:vAlign w:val="center"/>
          </w:tcPr>
          <w:p>
            <w:pPr>
              <w:keepNext/>
              <w:spacing w:after="0"/>
            </w:pPr>
            <w:r>
              <w:rPr>
                <w:rFonts w:ascii="Calibri" w:hAnsi="Calibri"/>
                <w:b w:val="0"/>
                <w:i w:val="0"/>
                <w:color w:val="222222"/>
                <w:sz w:val="20"/>
              </w:rPr>
              <w:t>synchrony was an artifact</w:t>
            </w:r>
          </w:p>
        </w:tc>
        <w:tc>
          <w:tcPr>
            <w:tcW w:type="dxa" w:w="2346"/>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656"/>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88"/>
            <w:shd w:val="clear" w:color="auto" w:fill="F7F9FB"/>
            <w:vAlign w:val="center"/>
          </w:tcPr>
          <w:p>
            <w:pPr>
              <w:keepNext/>
              <w:spacing w:after="0"/>
            </w:pPr>
            <w:r>
              <w:rPr>
                <w:rFonts w:ascii="Calibri" w:hAnsi="Calibri"/>
                <w:b w:val="0"/>
                <w:i w:val="0"/>
                <w:color w:val="222222"/>
                <w:sz w:val="20"/>
              </w:rPr>
              <w:t>posterior over-confidence</w:t>
            </w:r>
          </w:p>
        </w:tc>
        <w:tc>
          <w:tcPr>
            <w:tcW w:type="dxa" w:w="2346"/>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656"/>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88"/>
            <w:shd w:val="clear" w:color="auto" w:fill="FFFFFF"/>
            <w:vAlign w:val="center"/>
          </w:tcPr>
          <w:p>
            <w:pPr>
              <w:keepNext/>
              <w:spacing w:after="0"/>
            </w:pPr>
            <w:r>
              <w:rPr>
                <w:rFonts w:ascii="Calibri" w:hAnsi="Calibri"/>
                <w:b w:val="0"/>
                <w:i w:val="0"/>
                <w:color w:val="222222"/>
                <w:sz w:val="20"/>
              </w:rPr>
              <w:t>baseline read as drug effect</w:t>
            </w:r>
          </w:p>
        </w:tc>
        <w:tc>
          <w:tcPr>
            <w:tcW w:type="dxa" w:w="2346"/>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656"/>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88"/>
            <w:shd w:val="clear" w:color="auto" w:fill="F7F9FB"/>
            <w:vAlign w:val="center"/>
          </w:tcPr>
          <w:p>
            <w:pPr>
              <w:keepNext/>
              <w:spacing w:after="0"/>
            </w:pPr>
            <w:r>
              <w:rPr>
                <w:rFonts w:ascii="Calibri" w:hAnsi="Calibri"/>
                <w:b w:val="0"/>
                <w:i w:val="0"/>
                <w:color w:val="222222"/>
                <w:sz w:val="20"/>
              </w:rPr>
              <w:t>support rejection</w:t>
            </w:r>
          </w:p>
        </w:tc>
        <w:tc>
          <w:tcPr>
            <w:tcW w:type="dxa" w:w="2346"/>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656"/>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88"/>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346"/>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656"/>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40 studies made 208 registered predictions, of which 91 passed, 78 failed and 38 were uninterpretable.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each registration's checksum and the commit that first added it, a hash chain over them in commit order, and, for every result file that names its registration, whether the registration's commit came first. Of 40 registrations, 37 result files were checked and 0 came before their registration. The check cannot see the 3 registrations whose results do not name them (the twin's depression test, its prior classifier and the ToxCast noise floors),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0" name="Picture 20"/>
            <wp:cNvGraphicFramePr>
              <a:graphicFrameLocks noChangeAspect="1"/>
            </wp:cNvGraphicFramePr>
            <a:graphic>
              <a:graphicData uri="http://schemas.openxmlformats.org/drawingml/2006/picture">
                <pic:pic>
                  <pic:nvPicPr>
                    <pic:cNvPr id="0" name="fly_motor_tie_break_SIMULATED.png"/>
                    <pic:cNvPicPr/>
                  </pic:nvPicPr>
                  <pic:blipFill>
                    <a:blip r:embed="rId32"/>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is simulated and labelled so. Both analyses were registered before any response statistic was computed (`preregistration/toxcast_noise_floors.json`, `preregistration/twin_toxcast_positive_controls.json`).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1" name="Picture 21"/>
            <wp:cNvGraphicFramePr>
              <a:graphicFrameLocks noChangeAspect="1"/>
            </wp:cNvGraphicFramePr>
            <a:graphic>
              <a:graphicData uri="http://schemas.openxmlformats.org/drawingml/2006/picture">
                <pic:pic>
                  <pic:nvPicPr>
                    <pic:cNvPr id="0" name="toxcast_noise_floors_real.png"/>
                    <pic:cNvPicPr/>
                  </pic:nvPicPr>
                  <pic:blipFill>
                    <a:blip r:embed="rId33"/>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2" name="Picture 22"/>
            <wp:cNvGraphicFramePr>
              <a:graphicFrameLocks noChangeAspect="1"/>
            </wp:cNvGraphicFramePr>
            <a:graphic>
              <a:graphicData uri="http://schemas.openxmlformats.org/drawingml/2006/picture">
                <pic:pic>
                  <pic:nvPicPr>
                    <pic:cNvPr id="0" name="twin_toxcast_positive_controls.png"/>
                    <pic:cNvPicPr/>
                  </pic:nvPicPr>
                  <pic:blipFill>
                    <a:blip r:embed="rId34"/>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not the twin's dose response.</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3" name="Picture 23"/>
            <wp:cNvGraphicFramePr>
              <a:graphicFrameLocks noChangeAspect="1"/>
            </wp:cNvGraphicFramePr>
            <a:graphic>
              <a:graphicData uri="http://schemas.openxmlformats.org/drawingml/2006/picture">
                <pic:pic>
                  <pic:nvPicPr>
                    <pic:cNvPr id="0" name="hd14_posterior_ranks_simulated.png"/>
                    <pic:cNvPicPr/>
                  </pic:nvPicPr>
                  <pic:blipFill>
                    <a:blip r:embed="rId35"/>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4" name="Picture 24"/>
            <wp:cNvGraphicFramePr>
              <a:graphicFrameLocks noChangeAspect="1"/>
            </wp:cNvGraphicFramePr>
            <a:graphic>
              <a:graphicData uri="http://schemas.openxmlformats.org/drawingml/2006/picture">
                <pic:pic>
                  <pic:nvPicPr>
                    <pic:cNvPr id="0" name="microchannel_asymmetry_real.png"/>
                    <pic:cNvPicPr/>
                  </pic:nvPicPr>
                  <pic:blipFill>
                    <a:blip r:embed="rId36"/>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