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36"/>
        <w:gridCol w:w="2437"/>
        <w:gridCol w:w="2632"/>
        <w:gridCol w:w="1691"/>
      </w:tblGrid>
      <w:tr>
        <w:trPr>
          <w:cantSplit/>
          <w:tblHeader/>
        </w:trPr>
        <w:tc>
          <w:tcPr>
            <w:tcW w:type="dxa" w:w="1736"/>
            <w:shd w:val="clear" w:color="auto" w:fill="1F4E79"/>
            <w:vAlign w:val="center"/>
          </w:tcPr>
          <w:p>
            <w:pPr>
              <w:keepNext/>
              <w:spacing w:after="0"/>
            </w:pPr>
            <w:r>
              <w:rPr>
                <w:rFonts w:ascii="Calibri" w:hAnsi="Calibri"/>
                <w:b/>
                <w:i w:val="0"/>
                <w:color w:val="FFFFFF"/>
                <w:sz w:val="20"/>
              </w:rPr>
              <w:t>setting</w:t>
            </w:r>
          </w:p>
        </w:tc>
        <w:tc>
          <w:tcPr>
            <w:tcW w:type="dxa" w:w="2437"/>
            <w:shd w:val="clear" w:color="auto" w:fill="1F4E79"/>
            <w:vAlign w:val="center"/>
          </w:tcPr>
          <w:p>
            <w:pPr>
              <w:keepNext/>
              <w:spacing w:after="0"/>
            </w:pPr>
            <w:r>
              <w:rPr>
                <w:rFonts w:ascii="Calibri" w:hAnsi="Calibri"/>
                <w:b/>
                <w:i w:val="0"/>
                <w:color w:val="FFFFFF"/>
                <w:sz w:val="20"/>
              </w:rPr>
              <w:t>depositors (meaRtools, as stated)</w:t>
            </w:r>
          </w:p>
        </w:tc>
        <w:tc>
          <w:tcPr>
            <w:tcW w:type="dxa" w:w="2632"/>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691"/>
            <w:shd w:val="clear" w:color="auto" w:fill="1F4E79"/>
            <w:vAlign w:val="center"/>
          </w:tcPr>
          <w:p>
            <w:pPr>
              <w:keepNext/>
              <w:spacing w:after="0"/>
            </w:pPr>
            <w:r>
              <w:rPr>
                <w:rFonts w:ascii="Calibri" w:hAnsi="Calibri"/>
                <w:b/>
                <w:i w:val="0"/>
                <w:color w:val="FFFFFF"/>
                <w:sz w:val="20"/>
              </w:rPr>
              <w:t>ladder step</w:t>
            </w:r>
          </w:p>
        </w:tc>
      </w:tr>
      <w:tr>
        <w:trPr>
          <w:cantSplit/>
        </w:trPr>
        <w:tc>
          <w:tcPr>
            <w:tcW w:type="dxa" w:w="1736"/>
            <w:shd w:val="clear" w:color="auto" w:fill="FFFFFF"/>
            <w:vAlign w:val="center"/>
          </w:tcPr>
          <w:p>
            <w:pPr>
              <w:keepNext/>
              <w:spacing w:after="0"/>
            </w:pPr>
            <w:r>
              <w:rPr>
                <w:rFonts w:ascii="Calibri" w:hAnsi="Calibri"/>
                <w:b/>
                <w:i w:val="0"/>
                <w:color w:val="222222"/>
                <w:sz w:val="20"/>
              </w:rPr>
              <w:t>active electrode</w:t>
            </w:r>
          </w:p>
        </w:tc>
        <w:tc>
          <w:tcPr>
            <w:tcW w:type="dxa" w:w="2437"/>
            <w:shd w:val="clear" w:color="auto" w:fill="FFFFFF"/>
            <w:vAlign w:val="center"/>
          </w:tcPr>
          <w:p>
            <w:pPr>
              <w:keepNext/>
              <w:spacing w:after="0"/>
            </w:pPr>
            <w:r>
              <w:rPr>
                <w:rFonts w:ascii="Calibri" w:hAnsi="Calibri"/>
                <w:b w:val="0"/>
                <w:i w:val="0"/>
                <w:color w:val="222222"/>
                <w:sz w:val="20"/>
              </w:rPr>
              <w:t>more than 10 spikes/min</w:t>
            </w:r>
          </w:p>
        </w:tc>
        <w:tc>
          <w:tcPr>
            <w:tcW w:type="dxa" w:w="2632"/>
            <w:shd w:val="clear" w:color="auto" w:fill="FFFFFF"/>
            <w:vAlign w:val="center"/>
          </w:tcPr>
          <w:p>
            <w:pPr>
              <w:keepNext/>
              <w:spacing w:after="0"/>
            </w:pPr>
            <w:r>
              <w:rPr>
                <w:rFonts w:ascii="Calibri" w:hAnsi="Calibri"/>
                <w:b w:val="0"/>
                <w:i w:val="0"/>
                <w:color w:val="222222"/>
                <w:sz w:val="20"/>
              </w:rPr>
              <w:t>at least 5 spikes/min</w:t>
            </w:r>
          </w:p>
        </w:tc>
        <w:tc>
          <w:tcPr>
            <w:tcW w:type="dxa" w:w="1691"/>
            <w:shd w:val="clear" w:color="auto" w:fill="FFFFFF"/>
            <w:vAlign w:val="center"/>
          </w:tcPr>
          <w:p>
            <w:pPr>
              <w:keepNext/>
              <w:spacing w:after="0"/>
            </w:pPr>
            <w:r>
              <w:rPr>
                <w:rFonts w:ascii="Calibri" w:hAnsi="Calibri"/>
                <w:b w:val="0"/>
                <w:i w:val="0"/>
                <w:color w:val="222222"/>
                <w:sz w:val="20"/>
              </w:rPr>
              <w:t>S1</w:t>
            </w:r>
          </w:p>
        </w:tc>
      </w:tr>
      <w:tr>
        <w:trPr>
          <w:cantSplit/>
        </w:trPr>
        <w:tc>
          <w:tcPr>
            <w:tcW w:type="dxa" w:w="1736"/>
            <w:shd w:val="clear" w:color="auto" w:fill="F7F9FB"/>
            <w:vAlign w:val="center"/>
          </w:tcPr>
          <w:p>
            <w:pPr>
              <w:keepNext/>
              <w:spacing w:after="0"/>
            </w:pPr>
            <w:r>
              <w:rPr>
                <w:rFonts w:ascii="Calibri" w:hAnsi="Calibri"/>
                <w:b/>
                <w:i w:val="0"/>
                <w:color w:val="222222"/>
                <w:sz w:val="20"/>
              </w:rPr>
              <w:t>noisy electrodes</w:t>
            </w:r>
          </w:p>
        </w:tc>
        <w:tc>
          <w:tcPr>
            <w:tcW w:type="dxa" w:w="2437"/>
            <w:shd w:val="clear" w:color="auto" w:fill="F7F9FB"/>
            <w:vAlign w:val="center"/>
          </w:tcPr>
          <w:p>
            <w:pPr>
              <w:keepNext/>
              <w:spacing w:after="0"/>
            </w:pPr>
            <w:r>
              <w:rPr>
                <w:rFonts w:ascii="Calibri" w:hAnsi="Calibri"/>
                <w:b w:val="0"/>
                <w:i w:val="0"/>
                <w:color w:val="222222"/>
                <w:sz w:val="20"/>
              </w:rPr>
              <w:t>discarded</w:t>
            </w:r>
          </w:p>
        </w:tc>
        <w:tc>
          <w:tcPr>
            <w:tcW w:type="dxa" w:w="2632"/>
            <w:shd w:val="clear" w:color="auto" w:fill="F7F9FB"/>
            <w:vAlign w:val="center"/>
          </w:tcPr>
          <w:p>
            <w:pPr>
              <w:keepNext/>
              <w:spacing w:after="0"/>
            </w:pPr>
            <w:r>
              <w:rPr>
                <w:rFonts w:ascii="Calibri" w:hAnsi="Calibri"/>
                <w:b w:val="0"/>
                <w:i w:val="0"/>
                <w:color w:val="222222"/>
                <w:sz w:val="20"/>
              </w:rPr>
              <w:t>flagged, kept</w:t>
            </w:r>
          </w:p>
        </w:tc>
        <w:tc>
          <w:tcPr>
            <w:tcW w:type="dxa" w:w="1691"/>
            <w:shd w:val="clear" w:color="auto" w:fill="F7F9FB"/>
            <w:vAlign w:val="center"/>
          </w:tcPr>
          <w:p>
            <w:pPr>
              <w:keepNext/>
              <w:spacing w:after="0"/>
            </w:pPr>
            <w:r>
              <w:rPr>
                <w:rFonts w:ascii="Calibri" w:hAnsi="Calibri"/>
                <w:b w:val="0"/>
                <w:i w:val="0"/>
                <w:color w:val="222222"/>
                <w:sz w:val="20"/>
              </w:rPr>
              <w:t>S2</w:t>
            </w:r>
          </w:p>
        </w:tc>
      </w:tr>
      <w:tr>
        <w:trPr>
          <w:cantSplit/>
        </w:trPr>
        <w:tc>
          <w:tcPr>
            <w:tcW w:type="dxa" w:w="1736"/>
            <w:shd w:val="clear" w:color="auto" w:fill="FFFFFF"/>
            <w:vAlign w:val="center"/>
          </w:tcPr>
          <w:p>
            <w:pPr>
              <w:keepNext/>
              <w:spacing w:after="0"/>
            </w:pPr>
            <w:r>
              <w:rPr>
                <w:rFonts w:ascii="Calibri" w:hAnsi="Calibri"/>
                <w:b/>
                <w:i w:val="0"/>
                <w:color w:val="222222"/>
                <w:sz w:val="20"/>
              </w:rPr>
              <w:t>burst rate divided by</w:t>
            </w:r>
          </w:p>
        </w:tc>
        <w:tc>
          <w:tcPr>
            <w:tcW w:type="dxa" w:w="2437"/>
            <w:shd w:val="clear" w:color="auto" w:fill="FFFFFF"/>
            <w:vAlign w:val="center"/>
          </w:tcPr>
          <w:p>
            <w:pPr>
              <w:keepNext/>
              <w:spacing w:after="0"/>
            </w:pPr>
            <w:r>
              <w:rPr>
                <w:rFonts w:ascii="Calibri" w:hAnsi="Calibri"/>
                <w:b w:val="0"/>
                <w:i w:val="0"/>
                <w:color w:val="222222"/>
                <w:sz w:val="20"/>
              </w:rPr>
              <w:t>electrodes that burst</w:t>
            </w:r>
          </w:p>
        </w:tc>
        <w:tc>
          <w:tcPr>
            <w:tcW w:type="dxa" w:w="2632"/>
            <w:shd w:val="clear" w:color="auto" w:fill="FFFFFF"/>
            <w:vAlign w:val="center"/>
          </w:tcPr>
          <w:p>
            <w:pPr>
              <w:keepNext/>
              <w:spacing w:after="0"/>
            </w:pPr>
            <w:r>
              <w:rPr>
                <w:rFonts w:ascii="Calibri" w:hAnsi="Calibri"/>
                <w:b w:val="0"/>
                <w:i w:val="0"/>
                <w:color w:val="222222"/>
                <w:sz w:val="20"/>
              </w:rPr>
              <w:t>every active electrode</w:t>
            </w:r>
          </w:p>
        </w:tc>
        <w:tc>
          <w:tcPr>
            <w:tcW w:type="dxa" w:w="1691"/>
            <w:shd w:val="clear" w:color="auto" w:fill="FFFFFF"/>
            <w:vAlign w:val="center"/>
          </w:tcPr>
          <w:p>
            <w:pPr>
              <w:keepNext/>
              <w:spacing w:after="0"/>
            </w:pPr>
            <w:r>
              <w:rPr>
                <w:rFonts w:ascii="Calibri" w:hAnsi="Calibri"/>
                <w:b w:val="0"/>
                <w:i w:val="0"/>
                <w:color w:val="222222"/>
                <w:sz w:val="20"/>
              </w:rPr>
              <w:t>S3</w:t>
            </w:r>
          </w:p>
        </w:tc>
      </w:tr>
      <w:tr>
        <w:trPr>
          <w:cantSplit/>
        </w:trPr>
        <w:tc>
          <w:tcPr>
            <w:tcW w:type="dxa" w:w="1736"/>
            <w:shd w:val="clear" w:color="auto" w:fill="F7F9FB"/>
            <w:vAlign w:val="center"/>
          </w:tcPr>
          <w:p>
            <w:pPr>
              <w:keepNext/>
              <w:spacing w:after="0"/>
            </w:pPr>
            <w:r>
              <w:rPr>
                <w:rFonts w:ascii="Calibri" w:hAnsi="Calibri"/>
                <w:b/>
                <w:i w:val="0"/>
                <w:color w:val="222222"/>
                <w:sz w:val="20"/>
              </w:rPr>
              <w:t>burst detector</w:t>
            </w:r>
          </w:p>
        </w:tc>
        <w:tc>
          <w:tcPr>
            <w:tcW w:type="dxa" w:w="2437"/>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632"/>
            <w:shd w:val="clear" w:color="auto" w:fill="F7F9FB"/>
            <w:vAlign w:val="center"/>
          </w:tcPr>
          <w:p>
            <w:pPr>
              <w:keepNext/>
              <w:spacing w:after="0"/>
            </w:pPr>
            <w:r>
              <w:rPr>
                <w:rFonts w:ascii="Calibri" w:hAnsi="Calibri"/>
                <w:b w:val="0"/>
                <w:i w:val="0"/>
                <w:color w:val="222222"/>
                <w:sz w:val="20"/>
              </w:rPr>
              <w:t>fixed: ISI ≤ 100 ms</w:t>
            </w:r>
          </w:p>
        </w:tc>
        <w:tc>
          <w:tcPr>
            <w:tcW w:type="dxa" w:w="1691"/>
            <w:shd w:val="clear" w:color="auto" w:fill="F7F9FB"/>
            <w:vAlign w:val="center"/>
          </w:tcPr>
          <w:p>
            <w:pPr>
              <w:keepNext/>
              <w:spacing w:after="0"/>
            </w:pPr>
            <w:r>
              <w:rPr>
                <w:rFonts w:ascii="Calibri" w:hAnsi="Calibri"/>
                <w:b w:val="0"/>
                <w:i w:val="0"/>
                <w:color w:val="222222"/>
                <w:sz w:val="20"/>
              </w:rPr>
              <w:t>S4, registered (below)</w:t>
            </w:r>
          </w:p>
        </w:tc>
      </w:tr>
      <w:tr>
        <w:trPr>
          <w:cantSplit/>
        </w:trPr>
        <w:tc>
          <w:tcPr>
            <w:tcW w:type="dxa" w:w="1736"/>
            <w:shd w:val="clear" w:color="auto" w:fill="FFFFFF"/>
            <w:vAlign w:val="center"/>
          </w:tcPr>
          <w:p>
            <w:pPr>
              <w:keepNext/>
              <w:spacing w:after="0"/>
            </w:pPr>
            <w:r>
              <w:rPr>
                <w:rFonts w:ascii="Calibri" w:hAnsi="Calibri"/>
                <w:b/>
                <w:i w:val="0"/>
                <w:color w:val="222222"/>
                <w:sz w:val="20"/>
              </w:rPr>
              <w:t>minimum spikes per burst</w:t>
            </w:r>
          </w:p>
        </w:tc>
        <w:tc>
          <w:tcPr>
            <w:tcW w:type="dxa" w:w="2437"/>
            <w:shd w:val="clear" w:color="auto" w:fill="FFFFFF"/>
            <w:vAlign w:val="center"/>
          </w:tcPr>
          <w:p>
            <w:pPr>
              <w:keepNext/>
              <w:spacing w:after="0"/>
              <w:jc w:val="center"/>
            </w:pPr>
            <w:r>
              <w:rPr>
                <w:rFonts w:ascii="Calibri" w:hAnsi="Calibri"/>
                <w:b w:val="0"/>
                <w:i w:val="0"/>
                <w:color w:val="222222"/>
                <w:sz w:val="20"/>
              </w:rPr>
              <w:t>5</w:t>
            </w:r>
          </w:p>
        </w:tc>
        <w:tc>
          <w:tcPr>
            <w:tcW w:type="dxa" w:w="2632"/>
            <w:shd w:val="clear" w:color="auto" w:fill="FFFFFF"/>
            <w:vAlign w:val="center"/>
          </w:tcPr>
          <w:p>
            <w:pPr>
              <w:keepNext/>
              <w:spacing w:after="0"/>
              <w:jc w:val="center"/>
            </w:pPr>
            <w:r>
              <w:rPr>
                <w:rFonts w:ascii="Calibri" w:hAnsi="Calibri"/>
                <w:b w:val="0"/>
                <w:i w:val="0"/>
                <w:color w:val="222222"/>
                <w:sz w:val="20"/>
              </w:rPr>
              <w:t>5</w:t>
            </w:r>
          </w:p>
        </w:tc>
        <w:tc>
          <w:tcPr>
            <w:tcW w:type="dxa" w:w="1691"/>
            <w:shd w:val="clear" w:color="auto" w:fill="FFFFFF"/>
            <w:vAlign w:val="center"/>
          </w:tcPr>
          <w:p>
            <w:pPr>
              <w:keepNext/>
              <w:spacing w:after="0"/>
            </w:pPr>
            <w:r>
              <w:rPr>
                <w:rFonts w:ascii="Calibri" w:hAnsi="Calibri"/>
                <w:b w:val="0"/>
                <w:i w:val="0"/>
                <w:color w:val="222222"/>
                <w:sz w:val="20"/>
              </w:rPr>
              <w:t>same</w:t>
            </w:r>
          </w:p>
        </w:tc>
      </w:tr>
      <w:tr>
        <w:trPr>
          <w:cantSplit/>
        </w:trPr>
        <w:tc>
          <w:tcPr>
            <w:tcW w:type="dxa" w:w="1736"/>
            <w:shd w:val="clear" w:color="auto" w:fill="F7F9FB"/>
            <w:vAlign w:val="center"/>
          </w:tcPr>
          <w:p>
            <w:pPr>
              <w:keepNext w:val="0"/>
              <w:spacing w:after="0"/>
            </w:pPr>
            <w:r>
              <w:rPr>
                <w:rFonts w:ascii="Calibri" w:hAnsi="Calibri"/>
                <w:b/>
                <w:i w:val="0"/>
                <w:color w:val="222222"/>
                <w:sz w:val="20"/>
              </w:rPr>
              <w:t>STTC window</w:t>
            </w:r>
          </w:p>
        </w:tc>
        <w:tc>
          <w:tcPr>
            <w:tcW w:type="dxa" w:w="2437"/>
            <w:shd w:val="clear" w:color="auto" w:fill="F7F9FB"/>
            <w:vAlign w:val="center"/>
          </w:tcPr>
          <w:p>
            <w:pPr>
              <w:keepNext w:val="0"/>
              <w:spacing w:after="0"/>
            </w:pPr>
            <w:r>
              <w:rPr>
                <w:rFonts w:ascii="Calibri" w:hAnsi="Calibri"/>
                <w:b w:val="0"/>
                <w:i w:val="0"/>
                <w:color w:val="222222"/>
                <w:sz w:val="20"/>
              </w:rPr>
              <w:t>50 ms</w:t>
            </w:r>
          </w:p>
        </w:tc>
        <w:tc>
          <w:tcPr>
            <w:tcW w:type="dxa" w:w="2632"/>
            <w:shd w:val="clear" w:color="auto" w:fill="F7F9FB"/>
            <w:vAlign w:val="center"/>
          </w:tcPr>
          <w:p>
            <w:pPr>
              <w:keepNext w:val="0"/>
              <w:spacing w:after="0"/>
            </w:pPr>
            <w:r>
              <w:rPr>
                <w:rFonts w:ascii="Calibri" w:hAnsi="Calibri"/>
                <w:b w:val="0"/>
                <w:i w:val="0"/>
                <w:color w:val="222222"/>
                <w:sz w:val="20"/>
              </w:rPr>
              <w:t>50 ms</w:t>
            </w:r>
          </w:p>
        </w:tc>
        <w:tc>
          <w:tcPr>
            <w:tcW w:type="dxa" w:w="1691"/>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The ladder leaves the rest to the burst detector, which it does not change: burst duration stays at a pooled ratio of 0.8208 and spikes per burst at 0.9433 at S3. Whether the detector accounts for that remainder was then tested, as registered (below).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keepNext/>
        <w:spacing w:after="120"/>
      </w:pPr>
      <w:r>
        <w:rPr>
          <w:rFonts w:ascii="Calibri" w:hAnsi="Calibri"/>
          <w:b/>
          <w:i w:val="0"/>
          <w:color w:val="156082"/>
          <w:sz w:val="21"/>
        </w:rPr>
        <w:t>The detector, tested (registered).</w:t>
      </w:r>
      <w:r>
        <w:rPr>
          <w:rFonts w:ascii="Calibri" w:hAnsi="Calibri"/>
          <w:b w:val="0"/>
          <w:i w:val="0"/>
          <w:color w:val="222222"/>
          <w:sz w:val="21"/>
        </w:rPr>
        <w:t xml:space="preserve"> We then implemented the depositors' adaptive detector, logISI (Pasquale et al. 2010, with their minimum of five spikes and their merging of bursts that lie closer than the merge interval), as an option of the same extractor, off by default (</w:t>
      </w:r>
      <w:r>
        <w:rPr>
          <w:rFonts w:ascii="Consolas" w:hAnsi="Consolas"/>
          <w:b w:val="0"/>
          <w:i w:val="0"/>
          <w:color w:val="222222"/>
          <w:sz w:val="19"/>
        </w:rPr>
        <w:t>FeatureParams.burst_detector</w:t>
      </w:r>
      <w:r>
        <w:rPr>
          <w:rFonts w:ascii="Calibri" w:hAnsi="Calibri"/>
          <w:b w:val="0"/>
          <w:i w:val="0"/>
          <w:color w:val="222222"/>
          <w:sz w:val="21"/>
        </w:rPr>
        <w:t xml:space="preserve">), and registered four predictions before running it on any Kapucu recording (decision D34, </w:t>
      </w:r>
      <w:r>
        <w:rPr>
          <w:rFonts w:ascii="Consolas" w:hAnsi="Consolas"/>
          <w:b w:val="0"/>
          <w:i w:val="0"/>
          <w:color w:val="222222"/>
          <w:sz w:val="19"/>
        </w:rPr>
        <w:t>preregistration/extractor_logisi.json</w:t>
      </w:r>
      <w:r>
        <w:rPr>
          <w:rFonts w:ascii="Calibri" w:hAnsi="Calibri"/>
          <w:b w:val="0"/>
          <w:i w:val="0"/>
          <w:color w:val="222222"/>
          <w:sz w:val="21"/>
        </w:rPr>
        <w:t>; its implementation section, committed before the run, gives each choice of binning, smoothing, peaks, cutoff, extension, fallback and merging with its source). Each electrode gets its own ISI threshold from the valley of its log-ISI histogram; an electrode with no valid threshold falls back to the fixed rule. S4 is S3 with logISI, so the electrodes and the denominator stay the depositors'.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15"/>
        <w:gridCol w:w="1886"/>
        <w:gridCol w:w="1843"/>
        <w:gridCol w:w="3252"/>
      </w:tblGrid>
      <w:tr>
        <w:trPr>
          <w:cantSplit/>
          <w:tblHeader/>
        </w:trPr>
        <w:tc>
          <w:tcPr>
            <w:tcW w:type="dxa" w:w="1515"/>
            <w:shd w:val="clear" w:color="auto" w:fill="1F4E79"/>
            <w:vAlign w:val="center"/>
          </w:tcPr>
          <w:p>
            <w:pPr>
              <w:keepNext/>
              <w:spacing w:after="0"/>
            </w:pPr>
            <w:r>
              <w:rPr>
                <w:rFonts w:ascii="Calibri" w:hAnsi="Calibri"/>
                <w:b/>
                <w:i w:val="0"/>
                <w:color w:val="FFFFFF"/>
                <w:sz w:val="20"/>
              </w:rPr>
              <w:t>prediction</w:t>
            </w:r>
          </w:p>
        </w:tc>
        <w:tc>
          <w:tcPr>
            <w:tcW w:type="dxa" w:w="1886"/>
            <w:shd w:val="clear" w:color="auto" w:fill="1F4E79"/>
            <w:vAlign w:val="center"/>
          </w:tcPr>
          <w:p>
            <w:pPr>
              <w:keepNext/>
              <w:spacing w:after="0"/>
            </w:pPr>
            <w:r>
              <w:rPr>
                <w:rFonts w:ascii="Calibri" w:hAnsi="Calibri"/>
                <w:b/>
                <w:i w:val="0"/>
                <w:color w:val="FFFFFF"/>
                <w:sz w:val="20"/>
              </w:rPr>
              <w:t>registered test</w:t>
            </w:r>
          </w:p>
        </w:tc>
        <w:tc>
          <w:tcPr>
            <w:tcW w:type="dxa" w:w="1843"/>
            <w:shd w:val="clear" w:color="auto" w:fill="1F4E79"/>
            <w:vAlign w:val="center"/>
          </w:tcPr>
          <w:p>
            <w:pPr>
              <w:keepNext/>
              <w:spacing w:after="0"/>
            </w:pPr>
            <w:r>
              <w:rPr>
                <w:rFonts w:ascii="Calibri" w:hAnsi="Calibri"/>
                <w:b/>
                <w:i w:val="0"/>
                <w:color w:val="FFFFFF"/>
                <w:sz w:val="20"/>
              </w:rPr>
              <w:t>S4</w:t>
            </w:r>
          </w:p>
        </w:tc>
        <w:tc>
          <w:tcPr>
            <w:tcW w:type="dxa" w:w="3252"/>
            <w:shd w:val="clear" w:color="auto" w:fill="1F4E79"/>
            <w:vAlign w:val="center"/>
          </w:tcPr>
          <w:p>
            <w:pPr>
              <w:keepNext/>
              <w:spacing w:after="0"/>
            </w:pPr>
            <w:r>
              <w:rPr>
                <w:rFonts w:ascii="Calibri" w:hAnsi="Calibri"/>
                <w:b/>
                <w:i w:val="0"/>
                <w:color w:val="FFFFFF"/>
                <w:sz w:val="20"/>
              </w:rPr>
              <w:t>outcome</w:t>
            </w:r>
          </w:p>
        </w:tc>
      </w:tr>
      <w:tr>
        <w:trPr>
          <w:cantSplit/>
        </w:trPr>
        <w:tc>
          <w:tcPr>
            <w:tcW w:type="dxa" w:w="1515"/>
            <w:shd w:val="clear" w:color="auto" w:fill="FFFFFF"/>
            <w:vAlign w:val="center"/>
          </w:tcPr>
          <w:p>
            <w:pPr>
              <w:keepNext/>
              <w:spacing w:after="0"/>
            </w:pPr>
            <w:r>
              <w:rPr>
                <w:rFonts w:ascii="Calibri" w:hAnsi="Calibri"/>
                <w:b/>
                <w:i w:val="0"/>
                <w:color w:val="222222"/>
                <w:sz w:val="20"/>
              </w:rPr>
              <w:t>L1, burst duration closes</w:t>
            </w:r>
          </w:p>
        </w:tc>
        <w:tc>
          <w:tcPr>
            <w:tcW w:type="dxa" w:w="1886"/>
            <w:shd w:val="clear" w:color="auto" w:fill="FFFFFF"/>
            <w:vAlign w:val="center"/>
          </w:tcPr>
          <w:p>
            <w:pPr>
              <w:keepNext/>
              <w:spacing w:after="0"/>
            </w:pPr>
            <w:r>
              <w:rPr>
                <w:rFonts w:ascii="Calibri" w:hAnsi="Calibri"/>
                <w:b w:val="0"/>
                <w:i w:val="0"/>
                <w:color w:val="222222"/>
                <w:sz w:val="20"/>
              </w:rPr>
              <w:t>pooled ratio 0.9 to 1.1, rho at least 0.9</w:t>
            </w:r>
          </w:p>
        </w:tc>
        <w:tc>
          <w:tcPr>
            <w:tcW w:type="dxa" w:w="1843"/>
            <w:shd w:val="clear" w:color="auto" w:fill="FFFFFF"/>
            <w:vAlign w:val="center"/>
          </w:tcPr>
          <w:p>
            <w:pPr>
              <w:keepNext/>
              <w:spacing w:after="0"/>
            </w:pPr>
            <w:r>
              <w:rPr>
                <w:rFonts w:ascii="Calibri" w:hAnsi="Calibri"/>
                <w:b w:val="0"/>
                <w:i w:val="0"/>
                <w:color w:val="222222"/>
                <w:sz w:val="20"/>
              </w:rPr>
              <w:t>ratio 0.9611, rho 0.8347</w:t>
            </w:r>
          </w:p>
        </w:tc>
        <w:tc>
          <w:tcPr>
            <w:tcW w:type="dxa" w:w="3252"/>
            <w:shd w:val="clear" w:color="auto" w:fill="FFFFFF"/>
            <w:vAlign w:val="center"/>
          </w:tcPr>
          <w:p>
            <w:pPr>
              <w:keepNext/>
              <w:spacing w:after="0"/>
            </w:pPr>
            <w:r>
              <w:rPr>
                <w:rFonts w:ascii="Consolas" w:hAnsi="Consolas"/>
                <w:b w:val="0"/>
                <w:i w:val="0"/>
                <w:color w:val="222222"/>
                <w:sz w:val="18"/>
              </w:rPr>
              <w:t>fail</w:t>
            </w:r>
          </w:p>
        </w:tc>
      </w:tr>
      <w:tr>
        <w:trPr>
          <w:cantSplit/>
        </w:trPr>
        <w:tc>
          <w:tcPr>
            <w:tcW w:type="dxa" w:w="1515"/>
            <w:shd w:val="clear" w:color="auto" w:fill="F7F9FB"/>
            <w:vAlign w:val="center"/>
          </w:tcPr>
          <w:p>
            <w:pPr>
              <w:keepNext/>
              <w:spacing w:after="0"/>
            </w:pPr>
            <w:r>
              <w:rPr>
                <w:rFonts w:ascii="Calibri" w:hAnsi="Calibri"/>
                <w:b/>
                <w:i w:val="0"/>
                <w:color w:val="222222"/>
                <w:sz w:val="20"/>
              </w:rPr>
              <w:t>L2, spikes per burst closes</w:t>
            </w:r>
          </w:p>
        </w:tc>
        <w:tc>
          <w:tcPr>
            <w:tcW w:type="dxa" w:w="1886"/>
            <w:shd w:val="clear" w:color="auto" w:fill="F7F9FB"/>
            <w:vAlign w:val="center"/>
          </w:tcPr>
          <w:p>
            <w:pPr>
              <w:keepNext/>
              <w:spacing w:after="0"/>
            </w:pPr>
            <w:r>
              <w:rPr>
                <w:rFonts w:ascii="Calibri" w:hAnsi="Calibri"/>
                <w:b w:val="0"/>
                <w:i w:val="0"/>
                <w:color w:val="222222"/>
                <w:sz w:val="20"/>
              </w:rPr>
              <w:t>pooled ratio 0.95 to 1.05, rho at least 0.95</w:t>
            </w:r>
          </w:p>
        </w:tc>
        <w:tc>
          <w:tcPr>
            <w:tcW w:type="dxa" w:w="1843"/>
            <w:shd w:val="clear" w:color="auto" w:fill="F7F9FB"/>
            <w:vAlign w:val="center"/>
          </w:tcPr>
          <w:p>
            <w:pPr>
              <w:keepNext/>
              <w:spacing w:after="0"/>
            </w:pPr>
            <w:r>
              <w:rPr>
                <w:rFonts w:ascii="Calibri" w:hAnsi="Calibri"/>
                <w:b w:val="0"/>
                <w:i w:val="0"/>
                <w:color w:val="222222"/>
                <w:sz w:val="20"/>
              </w:rPr>
              <w:t>ratio 0.9986, rho 0.9467</w:t>
            </w:r>
          </w:p>
        </w:tc>
        <w:tc>
          <w:tcPr>
            <w:tcW w:type="dxa" w:w="3252"/>
            <w:shd w:val="clear" w:color="auto" w:fill="F7F9FB"/>
            <w:vAlign w:val="center"/>
          </w:tcPr>
          <w:p>
            <w:pPr>
              <w:keepNext/>
              <w:spacing w:after="0"/>
            </w:pPr>
            <w:r>
              <w:rPr>
                <w:rFonts w:ascii="Consolas" w:hAnsi="Consolas"/>
                <w:b w:val="0"/>
                <w:i w:val="0"/>
                <w:color w:val="222222"/>
                <w:sz w:val="18"/>
              </w:rPr>
              <w:t>fail</w:t>
            </w:r>
          </w:p>
        </w:tc>
      </w:tr>
      <w:tr>
        <w:trPr>
          <w:cantSplit/>
        </w:trPr>
        <w:tc>
          <w:tcPr>
            <w:tcW w:type="dxa" w:w="1515"/>
            <w:shd w:val="clear" w:color="auto" w:fill="FFFFFF"/>
            <w:vAlign w:val="center"/>
          </w:tcPr>
          <w:p>
            <w:pPr>
              <w:keepNext/>
              <w:spacing w:after="0"/>
            </w:pPr>
            <w:r>
              <w:rPr>
                <w:rFonts w:ascii="Calibri" w:hAnsi="Calibri"/>
                <w:b/>
                <w:i w:val="0"/>
                <w:color w:val="222222"/>
                <w:sz w:val="20"/>
              </w:rPr>
              <w:t>L3, hPSC burst rate closes</w:t>
            </w:r>
          </w:p>
        </w:tc>
        <w:tc>
          <w:tcPr>
            <w:tcW w:type="dxa" w:w="1886"/>
            <w:shd w:val="clear" w:color="auto" w:fill="FFFFFF"/>
            <w:vAlign w:val="center"/>
          </w:tcPr>
          <w:p>
            <w:pPr>
              <w:keepNext/>
              <w:spacing w:after="0"/>
            </w:pPr>
            <w:r>
              <w:rPr>
                <w:rFonts w:ascii="Calibri" w:hAnsi="Calibri"/>
                <w:b w:val="0"/>
                <w:i w:val="0"/>
                <w:color w:val="222222"/>
                <w:sz w:val="20"/>
              </w:rPr>
              <w:t>ratio 0.95 to 1.05 on both hPSC plates</w:t>
            </w:r>
          </w:p>
        </w:tc>
        <w:tc>
          <w:tcPr>
            <w:tcW w:type="dxa" w:w="1843"/>
            <w:shd w:val="clear" w:color="auto" w:fill="FFFFFF"/>
            <w:vAlign w:val="center"/>
          </w:tcPr>
          <w:p>
            <w:pPr>
              <w:keepNext/>
              <w:spacing w:after="0"/>
            </w:pPr>
            <w:r>
              <w:rPr>
                <w:rFonts w:ascii="Calibri" w:hAnsi="Calibri"/>
                <w:b w:val="0"/>
                <w:i w:val="0"/>
                <w:color w:val="222222"/>
                <w:sz w:val="20"/>
              </w:rPr>
              <w:t>1.0847 (hPSC_MEA1), 1.1438 (hPSC_MEA2)</w:t>
            </w:r>
          </w:p>
        </w:tc>
        <w:tc>
          <w:tcPr>
            <w:tcW w:type="dxa" w:w="3252"/>
            <w:shd w:val="clear" w:color="auto" w:fill="FFFFFF"/>
            <w:vAlign w:val="center"/>
          </w:tcPr>
          <w:p>
            <w:pPr>
              <w:keepNext/>
              <w:spacing w:after="0"/>
            </w:pPr>
            <w:r>
              <w:rPr>
                <w:rFonts w:ascii="Consolas" w:hAnsi="Consolas"/>
                <w:b w:val="0"/>
                <w:i w:val="0"/>
                <w:color w:val="222222"/>
                <w:sz w:val="18"/>
              </w:rPr>
              <w:t>uninterpretable</w:t>
            </w:r>
            <w:r>
              <w:rPr>
                <w:rFonts w:ascii="Calibri" w:hAnsi="Calibri"/>
                <w:b w:val="0"/>
                <w:i w:val="0"/>
                <w:color w:val="222222"/>
                <w:sz w:val="20"/>
              </w:rPr>
              <w:t>: the fallback covers a share of 0.515 of the hPSC active electrodes, more than half</w:t>
            </w:r>
          </w:p>
        </w:tc>
      </w:tr>
      <w:tr>
        <w:trPr>
          <w:cantSplit/>
        </w:trPr>
        <w:tc>
          <w:tcPr>
            <w:tcW w:type="dxa" w:w="1515"/>
            <w:shd w:val="clear" w:color="auto" w:fill="F7F9FB"/>
            <w:vAlign w:val="center"/>
          </w:tcPr>
          <w:p>
            <w:pPr>
              <w:keepNext w:val="0"/>
              <w:spacing w:after="0"/>
            </w:pPr>
            <w:r>
              <w:rPr>
                <w:rFonts w:ascii="Calibri" w:hAnsi="Calibri"/>
                <w:b/>
                <w:i w:val="0"/>
                <w:color w:val="222222"/>
                <w:sz w:val="20"/>
              </w:rPr>
              <w:t>L4, rat not worse</w:t>
            </w:r>
          </w:p>
        </w:tc>
        <w:tc>
          <w:tcPr>
            <w:tcW w:type="dxa" w:w="1886"/>
            <w:shd w:val="clear" w:color="auto" w:fill="F7F9FB"/>
            <w:vAlign w:val="center"/>
          </w:tcPr>
          <w:p>
            <w:pPr>
              <w:keepNext w:val="0"/>
              <w:spacing w:after="0"/>
            </w:pPr>
            <w:r>
              <w:rPr>
                <w:rFonts w:ascii="Calibri" w:hAnsi="Calibri"/>
                <w:b w:val="0"/>
                <w:i w:val="0"/>
                <w:color w:val="222222"/>
                <w:sz w:val="20"/>
              </w:rPr>
              <w:t>Rat_MEA1 burst rate 0.95 to 1.05, burst duration 0.9 to 1.1</w:t>
            </w:r>
          </w:p>
        </w:tc>
        <w:tc>
          <w:tcPr>
            <w:tcW w:type="dxa" w:w="1843"/>
            <w:shd w:val="clear" w:color="auto" w:fill="F7F9FB"/>
            <w:vAlign w:val="center"/>
          </w:tcPr>
          <w:p>
            <w:pPr>
              <w:keepNext w:val="0"/>
              <w:spacing w:after="0"/>
            </w:pPr>
            <w:r>
              <w:rPr>
                <w:rFonts w:ascii="Calibri" w:hAnsi="Calibri"/>
                <w:b w:val="0"/>
                <w:i w:val="0"/>
                <w:color w:val="222222"/>
                <w:sz w:val="20"/>
              </w:rPr>
              <w:t>0.9816 and 0.9825</w:t>
            </w:r>
          </w:p>
        </w:tc>
        <w:tc>
          <w:tcPr>
            <w:tcW w:type="dxa" w:w="3252"/>
            <w:shd w:val="clear" w:color="auto" w:fill="F7F9FB"/>
            <w:vAlign w:val="center"/>
          </w:tcPr>
          <w:p>
            <w:pPr>
              <w:keepNext w:val="0"/>
              <w:spacing w:after="0"/>
            </w:pPr>
            <w:r>
              <w:rPr>
                <w:rFonts w:ascii="Consolas" w:hAnsi="Consolas"/>
                <w:b w:val="0"/>
                <w:i w:val="0"/>
                <w:color w:val="222222"/>
                <w:sz w:val="18"/>
              </w:rPr>
              <w:t>pass</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97"/>
        <w:gridCol w:w="1600"/>
        <w:gridCol w:w="1600"/>
        <w:gridCol w:w="1500"/>
        <w:gridCol w:w="1300"/>
      </w:tblGrid>
      <w:tr>
        <w:trPr>
          <w:cantSplit/>
          <w:tblHeader/>
        </w:trPr>
        <w:tc>
          <w:tcPr>
            <w:tcW w:type="dxa" w:w="2497"/>
            <w:shd w:val="clear" w:color="auto" w:fill="1F4E79"/>
            <w:vAlign w:val="center"/>
          </w:tcPr>
          <w:p>
            <w:pPr>
              <w:keepNext/>
              <w:spacing w:after="0"/>
            </w:pPr>
            <w:r>
              <w:rPr>
                <w:rFonts w:ascii="Calibri" w:hAnsi="Calibri"/>
                <w:b/>
                <w:i w:val="0"/>
                <w:color w:val="FFFFFF"/>
                <w:sz w:val="20"/>
              </w:rPr>
              <w:t>median ratio ours/theirs, S3 → S4</w:t>
            </w:r>
          </w:p>
        </w:tc>
        <w:tc>
          <w:tcPr>
            <w:tcW w:type="dxa" w:w="1600"/>
            <w:shd w:val="clear" w:color="auto" w:fill="1F4E79"/>
            <w:vAlign w:val="center"/>
          </w:tcPr>
          <w:p>
            <w:pPr>
              <w:keepNext/>
              <w:spacing w:after="0"/>
            </w:pPr>
            <w:r>
              <w:rPr>
                <w:rFonts w:ascii="Calibri" w:hAnsi="Calibri"/>
                <w:b/>
                <w:i w:val="0"/>
                <w:color w:val="FFFFFF"/>
                <w:sz w:val="20"/>
              </w:rPr>
              <w:t>hPSC_MEA1</w:t>
            </w:r>
          </w:p>
        </w:tc>
        <w:tc>
          <w:tcPr>
            <w:tcW w:type="dxa" w:w="1600"/>
            <w:shd w:val="clear" w:color="auto" w:fill="1F4E79"/>
            <w:vAlign w:val="center"/>
          </w:tcPr>
          <w:p>
            <w:pPr>
              <w:keepNext/>
              <w:spacing w:after="0"/>
            </w:pPr>
            <w:r>
              <w:rPr>
                <w:rFonts w:ascii="Calibri" w:hAnsi="Calibri"/>
                <w:b/>
                <w:i w:val="0"/>
                <w:color w:val="FFFFFF"/>
                <w:sz w:val="20"/>
              </w:rPr>
              <w:t>hPSC_MEA2</w:t>
            </w:r>
          </w:p>
        </w:tc>
        <w:tc>
          <w:tcPr>
            <w:tcW w:type="dxa" w:w="1500"/>
            <w:shd w:val="clear" w:color="auto" w:fill="1F4E79"/>
            <w:vAlign w:val="center"/>
          </w:tcPr>
          <w:p>
            <w:pPr>
              <w:keepNext/>
              <w:spacing w:after="0"/>
            </w:pPr>
            <w:r>
              <w:rPr>
                <w:rFonts w:ascii="Calibri" w:hAnsi="Calibri"/>
                <w:b/>
                <w:i w:val="0"/>
                <w:color w:val="FFFFFF"/>
                <w:sz w:val="20"/>
              </w:rPr>
              <w:t>Rat_MEA1</w:t>
            </w:r>
          </w:p>
        </w:tc>
        <w:tc>
          <w:tcPr>
            <w:tcW w:type="dxa" w:w="1300"/>
            <w:shd w:val="clear" w:color="auto" w:fill="1F4E79"/>
            <w:vAlign w:val="center"/>
          </w:tcPr>
          <w:p>
            <w:pPr>
              <w:keepNext/>
              <w:spacing w:after="0"/>
            </w:pPr>
            <w:r>
              <w:rPr>
                <w:rFonts w:ascii="Calibri" w:hAnsi="Calibri"/>
                <w:b/>
                <w:i w:val="0"/>
                <w:color w:val="FFFFFF"/>
                <w:sz w:val="20"/>
              </w:rPr>
              <w:t>pooled</w:t>
            </w:r>
          </w:p>
        </w:tc>
      </w:tr>
      <w:tr>
        <w:trPr>
          <w:cantSplit/>
        </w:trPr>
        <w:tc>
          <w:tcPr>
            <w:tcW w:type="dxa" w:w="2497"/>
            <w:shd w:val="clear" w:color="auto" w:fill="FFFFFF"/>
            <w:vAlign w:val="center"/>
          </w:tcPr>
          <w:p>
            <w:pPr>
              <w:keepNext/>
              <w:spacing w:after="0"/>
            </w:pPr>
            <w:r>
              <w:rPr>
                <w:rFonts w:ascii="Calibri" w:hAnsi="Calibri"/>
                <w:b/>
                <w:i w:val="0"/>
                <w:color w:val="222222"/>
                <w:sz w:val="20"/>
              </w:rPr>
              <w:t>burst duration</w:t>
            </w:r>
          </w:p>
        </w:tc>
        <w:tc>
          <w:tcPr>
            <w:tcW w:type="dxa" w:w="1600"/>
            <w:shd w:val="clear" w:color="auto" w:fill="FFFFFF"/>
            <w:vAlign w:val="center"/>
          </w:tcPr>
          <w:p>
            <w:pPr>
              <w:keepNext/>
              <w:spacing w:after="0"/>
            </w:pPr>
            <w:r>
              <w:rPr>
                <w:rFonts w:ascii="Calibri" w:hAnsi="Calibri"/>
                <w:b w:val="0"/>
                <w:i w:val="0"/>
                <w:color w:val="222222"/>
                <w:sz w:val="20"/>
              </w:rPr>
              <w:t>0.9275 → 0.9686</w:t>
            </w:r>
          </w:p>
        </w:tc>
        <w:tc>
          <w:tcPr>
            <w:tcW w:type="dxa" w:w="1600"/>
            <w:shd w:val="clear" w:color="auto" w:fill="FFFFFF"/>
            <w:vAlign w:val="center"/>
          </w:tcPr>
          <w:p>
            <w:pPr>
              <w:keepNext/>
              <w:spacing w:after="0"/>
            </w:pPr>
            <w:r>
              <w:rPr>
                <w:rFonts w:ascii="Calibri" w:hAnsi="Calibri"/>
                <w:b w:val="0"/>
                <w:i w:val="0"/>
                <w:color w:val="222222"/>
                <w:sz w:val="20"/>
              </w:rPr>
              <w:t>0.8804 → 0.9191</w:t>
            </w:r>
          </w:p>
        </w:tc>
        <w:tc>
          <w:tcPr>
            <w:tcW w:type="dxa" w:w="1500"/>
            <w:shd w:val="clear" w:color="auto" w:fill="FFFFFF"/>
            <w:vAlign w:val="center"/>
          </w:tcPr>
          <w:p>
            <w:pPr>
              <w:keepNext/>
              <w:spacing w:after="0"/>
            </w:pPr>
            <w:r>
              <w:rPr>
                <w:rFonts w:ascii="Calibri" w:hAnsi="Calibri"/>
                <w:b w:val="0"/>
                <w:i w:val="0"/>
                <w:color w:val="222222"/>
                <w:sz w:val="20"/>
              </w:rPr>
              <w:t>0.7705 → 0.9825</w:t>
            </w:r>
          </w:p>
        </w:tc>
        <w:tc>
          <w:tcPr>
            <w:tcW w:type="dxa" w:w="1300"/>
            <w:shd w:val="clear" w:color="auto" w:fill="FFFFFF"/>
            <w:vAlign w:val="center"/>
          </w:tcPr>
          <w:p>
            <w:pPr>
              <w:keepNext/>
              <w:spacing w:after="0"/>
            </w:pPr>
            <w:r>
              <w:rPr>
                <w:rFonts w:ascii="Calibri" w:hAnsi="Calibri"/>
                <w:b w:val="0"/>
                <w:i w:val="0"/>
                <w:color w:val="222222"/>
                <w:sz w:val="20"/>
              </w:rPr>
              <w:t>0.8208 → 0.9611</w:t>
            </w:r>
          </w:p>
        </w:tc>
      </w:tr>
      <w:tr>
        <w:trPr>
          <w:cantSplit/>
        </w:trPr>
        <w:tc>
          <w:tcPr>
            <w:tcW w:type="dxa" w:w="2497"/>
            <w:shd w:val="clear" w:color="auto" w:fill="F7F9FB"/>
            <w:vAlign w:val="center"/>
          </w:tcPr>
          <w:p>
            <w:pPr>
              <w:keepNext/>
              <w:spacing w:after="0"/>
            </w:pPr>
            <w:r>
              <w:rPr>
                <w:rFonts w:ascii="Calibri" w:hAnsi="Calibri"/>
                <w:b/>
                <w:i w:val="0"/>
                <w:color w:val="222222"/>
                <w:sz w:val="20"/>
              </w:rPr>
              <w:t>spikes per burst</w:t>
            </w:r>
          </w:p>
        </w:tc>
        <w:tc>
          <w:tcPr>
            <w:tcW w:type="dxa" w:w="1600"/>
            <w:shd w:val="clear" w:color="auto" w:fill="F7F9FB"/>
            <w:vAlign w:val="center"/>
          </w:tcPr>
          <w:p>
            <w:pPr>
              <w:keepNext/>
              <w:spacing w:after="0"/>
            </w:pPr>
            <w:r>
              <w:rPr>
                <w:rFonts w:ascii="Calibri" w:hAnsi="Calibri"/>
                <w:b w:val="0"/>
                <w:i w:val="0"/>
                <w:color w:val="222222"/>
                <w:sz w:val="20"/>
              </w:rPr>
              <w:t>0.9523 → 1.0005</w:t>
            </w:r>
          </w:p>
        </w:tc>
        <w:tc>
          <w:tcPr>
            <w:tcW w:type="dxa" w:w="1600"/>
            <w:shd w:val="clear" w:color="auto" w:fill="F7F9FB"/>
            <w:vAlign w:val="center"/>
          </w:tcPr>
          <w:p>
            <w:pPr>
              <w:keepNext/>
              <w:spacing w:after="0"/>
            </w:pPr>
            <w:r>
              <w:rPr>
                <w:rFonts w:ascii="Calibri" w:hAnsi="Calibri"/>
                <w:b w:val="0"/>
                <w:i w:val="0"/>
                <w:color w:val="222222"/>
                <w:sz w:val="20"/>
              </w:rPr>
              <w:t>0.9466 → 0.9851</w:t>
            </w:r>
          </w:p>
        </w:tc>
        <w:tc>
          <w:tcPr>
            <w:tcW w:type="dxa" w:w="1500"/>
            <w:shd w:val="clear" w:color="auto" w:fill="F7F9FB"/>
            <w:vAlign w:val="center"/>
          </w:tcPr>
          <w:p>
            <w:pPr>
              <w:keepNext/>
              <w:spacing w:after="0"/>
            </w:pPr>
            <w:r>
              <w:rPr>
                <w:rFonts w:ascii="Calibri" w:hAnsi="Calibri"/>
                <w:b w:val="0"/>
                <w:i w:val="0"/>
                <w:color w:val="222222"/>
                <w:sz w:val="20"/>
              </w:rPr>
              <w:t>0.9378 → 1.0041</w:t>
            </w:r>
          </w:p>
        </w:tc>
        <w:tc>
          <w:tcPr>
            <w:tcW w:type="dxa" w:w="1300"/>
            <w:shd w:val="clear" w:color="auto" w:fill="F7F9FB"/>
            <w:vAlign w:val="center"/>
          </w:tcPr>
          <w:p>
            <w:pPr>
              <w:keepNext/>
              <w:spacing w:after="0"/>
            </w:pPr>
            <w:r>
              <w:rPr>
                <w:rFonts w:ascii="Calibri" w:hAnsi="Calibri"/>
                <w:b w:val="0"/>
                <w:i w:val="0"/>
                <w:color w:val="222222"/>
                <w:sz w:val="20"/>
              </w:rPr>
              <w:t>0.9433 → 0.9986</w:t>
            </w:r>
          </w:p>
        </w:tc>
      </w:tr>
      <w:tr>
        <w:trPr>
          <w:cantSplit/>
        </w:trPr>
        <w:tc>
          <w:tcPr>
            <w:tcW w:type="dxa" w:w="2497"/>
            <w:shd w:val="clear" w:color="auto" w:fill="FFFFFF"/>
            <w:vAlign w:val="center"/>
          </w:tcPr>
          <w:p>
            <w:pPr>
              <w:keepNext w:val="0"/>
              <w:spacing w:after="0"/>
            </w:pPr>
            <w:r>
              <w:rPr>
                <w:rFonts w:ascii="Calibri" w:hAnsi="Calibri"/>
                <w:b/>
                <w:i w:val="0"/>
                <w:color w:val="222222"/>
                <w:sz w:val="20"/>
              </w:rPr>
              <w:t>burst rate</w:t>
            </w:r>
          </w:p>
        </w:tc>
        <w:tc>
          <w:tcPr>
            <w:tcW w:type="dxa" w:w="1600"/>
            <w:shd w:val="clear" w:color="auto" w:fill="FFFFFF"/>
            <w:vAlign w:val="center"/>
          </w:tcPr>
          <w:p>
            <w:pPr>
              <w:keepNext w:val="0"/>
              <w:spacing w:after="0"/>
            </w:pPr>
            <w:r>
              <w:rPr>
                <w:rFonts w:ascii="Calibri" w:hAnsi="Calibri"/>
                <w:b w:val="0"/>
                <w:i w:val="0"/>
                <w:color w:val="222222"/>
                <w:sz w:val="20"/>
              </w:rPr>
              <w:t>0.8579 → 1.0847</w:t>
            </w:r>
          </w:p>
        </w:tc>
        <w:tc>
          <w:tcPr>
            <w:tcW w:type="dxa" w:w="1600"/>
            <w:shd w:val="clear" w:color="auto" w:fill="FFFFFF"/>
            <w:vAlign w:val="center"/>
          </w:tcPr>
          <w:p>
            <w:pPr>
              <w:keepNext w:val="0"/>
              <w:spacing w:after="0"/>
            </w:pPr>
            <w:r>
              <w:rPr>
                <w:rFonts w:ascii="Calibri" w:hAnsi="Calibri"/>
                <w:b w:val="0"/>
                <w:i w:val="0"/>
                <w:color w:val="222222"/>
                <w:sz w:val="20"/>
              </w:rPr>
              <w:t>0.8973 → 1.1438</w:t>
            </w:r>
          </w:p>
        </w:tc>
        <w:tc>
          <w:tcPr>
            <w:tcW w:type="dxa" w:w="1500"/>
            <w:shd w:val="clear" w:color="auto" w:fill="FFFFFF"/>
            <w:vAlign w:val="center"/>
          </w:tcPr>
          <w:p>
            <w:pPr>
              <w:keepNext w:val="0"/>
              <w:spacing w:after="0"/>
            </w:pPr>
            <w:r>
              <w:rPr>
                <w:rFonts w:ascii="Calibri" w:hAnsi="Calibri"/>
                <w:b w:val="0"/>
                <w:i w:val="0"/>
                <w:color w:val="222222"/>
                <w:sz w:val="20"/>
              </w:rPr>
              <w:t>1.04 → 0.9816</w:t>
            </w:r>
          </w:p>
        </w:tc>
        <w:tc>
          <w:tcPr>
            <w:tcW w:type="dxa" w:w="1300"/>
            <w:shd w:val="clear" w:color="auto" w:fill="FFFFFF"/>
            <w:vAlign w:val="center"/>
          </w:tcPr>
          <w:p>
            <w:pPr>
              <w:keepNext w:val="0"/>
              <w:spacing w:after="0"/>
            </w:pPr>
            <w:r>
              <w:rPr>
                <w:rFonts w:ascii="Calibri" w:hAnsi="Calibri"/>
                <w:b w:val="0"/>
                <w:i w:val="0"/>
                <w:color w:val="222222"/>
                <w:sz w:val="20"/>
              </w:rPr>
              <w:t>0.944 → 1.0488</w:t>
            </w:r>
          </w:p>
        </w:tc>
      </w:tr>
    </w:tbl>
    <w:p>
      <w:pPr>
        <w:spacing w:after="80"/>
      </w:pPr>
    </w:p>
    <w:p>
      <w:pPr>
        <w:keepNext/>
        <w:spacing w:before="120" w:after="40"/>
        <w:jc w:val="center"/>
      </w:pPr>
      <w:r>
        <w:drawing>
          <wp:inline xmlns:a="http://schemas.openxmlformats.org/drawingml/2006/main" xmlns:pic="http://schemas.openxmlformats.org/drawingml/2006/picture">
            <wp:extent cx="5394960" cy="2129589"/>
            <wp:docPr id="4" name="Picture 4"/>
            <wp:cNvGraphicFramePr>
              <a:graphicFrameLocks noChangeAspect="1"/>
            </wp:cNvGraphicFramePr>
            <a:graphic>
              <a:graphicData uri="http://schemas.openxmlformats.org/drawingml/2006/picture">
                <pic:pic>
                  <pic:nvPicPr>
                    <pic:cNvPr id="0" name="extractor_logisi_real.png"/>
                    <pic:cNvPicPr/>
                  </pic:nvPicPr>
                  <pic:blipFill>
                    <a:blip r:embed="rId16"/>
                    <a:stretch>
                      <a:fillRect/>
                    </a:stretch>
                  </pic:blipFill>
                  <pic:spPr>
                    <a:xfrm>
                      <a:off x="0" y="0"/>
                      <a:ext cx="5394960" cy="212958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Burst duration, spikes per burst and burst rate, median ratio ours/theirs per plate and pooled, for our definitions (S0), the depositors' stated settings (S3) and S3 with the logISI detector (S4, registered); REAL recordings.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As we implemented it, the detector puts burst duration and spikes per burst on the depositors' scale but does not make the two implementations order the recordings the same way: rank agreement moves only from 0.8167 to 0.8347 for burst duration and from 0.9443 to 0.9467 for spikes per burst. On the human plates it overshoots the burst rate instead of closing it; on the rat plate it closes most of the burst-duration gap and leaves the burst rate in agreement. So the registered answer is no: the detector does not explain the rest of the difference, or our implementation of it differs from theirs, and these data cannot tell the two apart. The attribution stays open. Two diagnostics point at the implementation as much as at the detector. On the hPSC plates about half of the active electrode-recordings found no valid threshold (a share of 0.4982 on hPSC_MEA1 and 0.5321 on hPSC_MEA2, against 0.2313 on the rat plate), most often because their histogram has no valley after its first peak. And of those that did, a share of 0.2786 (hPSC_MEA1) and 0.2133 (hPSC_MEA2) set it below a millisecond: a peak of near-coincident spike pairs is taken as the intraburst peak, and that electrode then has almost no bursts. On the rat plate the median threshold is 281.84 ms, above the cutoff for a share of 0.8985 of its electrodes, so there logISI extends bursts at their edges, which is what lengthens them. Post hoc, and labelled so in the output: from S3 to S4 the hPSC burst rate changes by more than a tenth in a share of 0.8273 and 0.7632 of recordings, the rat burst duration in 0.8723; and two hPSC recordings lose every burst under S4 (318 pairs against 320). Whether the depositors' implementation treats near-coincident spikes the same way we cannot say: their analysis scripts are shared with the deposit (G-Node GIN) and were not read for this test, and reading them is the next step if the attribution matters.</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trims bursts whose spikes loosen towards their edges; with logISI, burst duration moved most on the rat plate, where the per-electrode thresholds sit above the cutoff (above). A reader pooling our features with meaRtools output should convert, or recompute, rather than mix them.</w:t>
      </w:r>
    </w:p>
    <w:p>
      <w:pPr>
        <w:keepNext/>
        <w:spacing w:before="240" w:after="60"/>
      </w:pPr>
      <w:r>
        <w:rPr>
          <w:rFonts w:ascii="Calibri" w:hAnsi="Calibri"/>
          <w:b/>
          <w:i w:val="0"/>
          <w:color w:val="1F4E79"/>
          <w:sz w:val="23"/>
        </w:rPr>
        <w:t>Named definition sets</w:t>
      </w:r>
    </w:p>
    <w:p>
      <w:pPr>
        <w:spacing w:after="120"/>
      </w:pPr>
      <w:r>
        <w:rPr>
          <w:rFonts w:ascii="Calibri" w:hAnsi="Calibri"/>
          <w:b w:val="0"/>
          <w:i w:val="0"/>
          <w:color w:val="222222"/>
          <w:sz w:val="21"/>
        </w:rPr>
        <w:t xml:space="preserve">Decision D33 kept one fixed definition per feature and left a second option open: store each record's features under named definition sets, so that a reader can set our number beside another laboratory's. That is now built (decision D37) without changing a record. A registry in </w:t>
      </w:r>
      <w:r>
        <w:rPr>
          <w:rFonts w:ascii="Consolas" w:hAnsi="Consolas"/>
          <w:b w:val="0"/>
          <w:i w:val="0"/>
          <w:color w:val="222222"/>
          <w:sz w:val="19"/>
        </w:rPr>
        <w:t>features/definitions.py</w:t>
      </w:r>
      <w:r>
        <w:rPr>
          <w:rFonts w:ascii="Calibri" w:hAnsi="Calibri"/>
          <w:b w:val="0"/>
          <w:i w:val="0"/>
          <w:color w:val="222222"/>
          <w:sz w:val="21"/>
        </w:rPr>
        <w:t xml:space="preserve"> names three sets, each a bundle of options </w:t>
      </w:r>
      <w:r>
        <w:rPr>
          <w:rFonts w:ascii="Consolas" w:hAnsi="Consolas"/>
          <w:b w:val="0"/>
          <w:i w:val="0"/>
          <w:color w:val="222222"/>
          <w:sz w:val="19"/>
        </w:rPr>
        <w:t>features/mea.py</w:t>
      </w:r>
      <w:r>
        <w:rPr>
          <w:rFonts w:ascii="Calibri" w:hAnsi="Calibri"/>
          <w:b w:val="0"/>
          <w:i w:val="0"/>
          <w:color w:val="222222"/>
          <w:sz w:val="21"/>
        </w:rPr>
        <w:t xml:space="preserve"> already has plus whether a deposit's noisy electrodes are dropped; none is a second extractor. </w:t>
      </w:r>
      <w:r>
        <w:rPr>
          <w:rFonts w:ascii="Consolas" w:hAnsi="Consolas"/>
          <w:b w:val="0"/>
          <w:i w:val="0"/>
          <w:color w:val="222222"/>
          <w:sz w:val="19"/>
        </w:rPr>
        <w:t>neuromps</w:t>
      </w:r>
      <w:r>
        <w:rPr>
          <w:rFonts w:ascii="Calibri" w:hAnsi="Calibri"/>
          <w:b w:val="0"/>
          <w:i w:val="0"/>
          <w:color w:val="222222"/>
          <w:sz w:val="21"/>
        </w:rPr>
        <w:t xml:space="preserve"> (status </w:t>
      </w:r>
      <w:r>
        <w:rPr>
          <w:rFonts w:ascii="Consolas" w:hAnsi="Consolas"/>
          <w:b w:val="0"/>
          <w:i w:val="0"/>
          <w:color w:val="222222"/>
          <w:sz w:val="19"/>
        </w:rPr>
        <w:t>reference</w:t>
      </w:r>
      <w:r>
        <w:rPr>
          <w:rFonts w:ascii="Calibri" w:hAnsi="Calibri"/>
          <w:b w:val="0"/>
          <w:i w:val="0"/>
          <w:color w:val="222222"/>
          <w:sz w:val="21"/>
        </w:rPr>
        <w:t xml:space="preserve">) is the defaults every record and the twin use. </w:t>
      </w:r>
      <w:r>
        <w:rPr>
          <w:rFonts w:ascii="Consolas" w:hAnsi="Consolas"/>
          <w:b w:val="0"/>
          <w:i w:val="0"/>
          <w:color w:val="222222"/>
          <w:sz w:val="19"/>
        </w:rPr>
        <w:t>kapucu2022</w:t>
      </w:r>
      <w:r>
        <w:rPr>
          <w:rFonts w:ascii="Calibri" w:hAnsi="Calibri"/>
          <w:b w:val="0"/>
          <w:i w:val="0"/>
          <w:color w:val="222222"/>
          <w:sz w:val="21"/>
        </w:rPr>
        <w:t xml:space="preserve"> (</w:t>
      </w:r>
      <w:r>
        <w:rPr>
          <w:rFonts w:ascii="Consolas" w:hAnsi="Consolas"/>
          <w:b w:val="0"/>
          <w:i w:val="0"/>
          <w:color w:val="222222"/>
          <w:sz w:val="19"/>
        </w:rPr>
        <w:t>validated</w:t>
      </w:r>
      <w:r>
        <w:rPr>
          <w:rFonts w:ascii="Calibri" w:hAnsi="Calibri"/>
          <w:b w:val="0"/>
          <w:i w:val="0"/>
          <w:color w:val="222222"/>
          <w:sz w:val="21"/>
        </w:rPr>
        <w:t xml:space="preserve">) is the ladder's S3: the depositors' activity threshold, noisy-electrode lists and burst-rate denominator, with our fixed burst rule; its evidence is the ladder above. </w:t>
      </w:r>
      <w:r>
        <w:rPr>
          <w:rFonts w:ascii="Consolas" w:hAnsi="Consolas"/>
          <w:b w:val="0"/>
          <w:i w:val="0"/>
          <w:color w:val="222222"/>
          <w:sz w:val="19"/>
        </w:rPr>
        <w:t>kapucu2022_logisi</w:t>
      </w:r>
      <w:r>
        <w:rPr>
          <w:rFonts w:ascii="Calibri" w:hAnsi="Calibri"/>
          <w:b w:val="0"/>
          <w:i w:val="0"/>
          <w:color w:val="222222"/>
          <w:sz w:val="21"/>
        </w:rPr>
        <w:t xml:space="preserve"> (</w:t>
      </w:r>
      <w:r>
        <w:rPr>
          <w:rFonts w:ascii="Consolas" w:hAnsi="Consolas"/>
          <w:b w:val="0"/>
          <w:i w:val="0"/>
          <w:color w:val="222222"/>
          <w:sz w:val="19"/>
        </w:rPr>
        <w:t>experimental</w:t>
      </w:r>
      <w:r>
        <w:rPr>
          <w:rFonts w:ascii="Calibri" w:hAnsi="Calibri"/>
          <w:b w:val="0"/>
          <w:i w:val="0"/>
          <w:color w:val="222222"/>
          <w:sz w:val="21"/>
        </w:rPr>
        <w:t xml:space="preserve">) is S4, whose registered test passed one of four predictions with the attribution open; it is shown and used for no claim. A sidecar beside the asset, </w:t>
      </w:r>
      <w:r>
        <w:rPr>
          <w:rFonts w:ascii="Consolas" w:hAnsi="Consolas"/>
          <w:b w:val="0"/>
          <w:i w:val="0"/>
          <w:color w:val="222222"/>
          <w:sz w:val="19"/>
        </w:rPr>
        <w:t>data/processed/features_by_definition.parquet</w:t>
      </w:r>
      <w:r>
        <w:rPr>
          <w:rFonts w:ascii="Calibri" w:hAnsi="Calibri"/>
          <w:b w:val="0"/>
          <w:i w:val="0"/>
          <w:color w:val="222222"/>
          <w:sz w:val="21"/>
        </w:rPr>
        <w:t xml:space="preserve">, holds all 1,512 spike-time records under every set, re-read with the ETL modules' own loaders. Two checks run with it. Its </w:t>
      </w:r>
      <w:r>
        <w:rPr>
          <w:rFonts w:ascii="Consolas" w:hAnsi="Consolas"/>
          <w:b w:val="0"/>
          <w:i w:val="0"/>
          <w:color w:val="222222"/>
          <w:sz w:val="19"/>
        </w:rPr>
        <w:t>neuromps</w:t>
      </w:r>
      <w:r>
        <w:rPr>
          <w:rFonts w:ascii="Calibri" w:hAnsi="Calibri"/>
          <w:b w:val="0"/>
          <w:i w:val="0"/>
          <w:color w:val="222222"/>
          <w:sz w:val="21"/>
        </w:rPr>
        <w:t xml:space="preserve"> rows equal the asset's own features in all 13,608 values, with 0 differing. And on the developmental plates the </w:t>
      </w:r>
      <w:r>
        <w:rPr>
          <w:rFonts w:ascii="Consolas" w:hAnsi="Consolas"/>
          <w:b w:val="0"/>
          <w:i w:val="0"/>
          <w:color w:val="222222"/>
          <w:sz w:val="19"/>
        </w:rPr>
        <w:t>kapucu2022</w:t>
      </w:r>
      <w:r>
        <w:rPr>
          <w:rFonts w:ascii="Calibri" w:hAnsi="Calibri"/>
          <w:b w:val="0"/>
          <w:i w:val="0"/>
          <w:color w:val="222222"/>
          <w:sz w:val="21"/>
        </w:rPr>
        <w:t xml:space="preserve"> set's ratios against the depositors' tables equal the ladder's S3 numbers in 28 of 28 comparisons.</w:t>
      </w:r>
    </w:p>
    <w:p>
      <w:pPr>
        <w:keepNext/>
        <w:spacing w:after="120"/>
      </w:pPr>
      <w:r>
        <w:rPr>
          <w:rFonts w:ascii="Calibri" w:hAnsi="Calibri"/>
          <w:b/>
          <w:i w:val="0"/>
          <w:color w:val="156082"/>
          <w:sz w:val="21"/>
        </w:rPr>
        <w:t>Where a translation holds.</w:t>
      </w:r>
      <w:r>
        <w:rPr>
          <w:rFonts w:ascii="Calibri" w:hAnsi="Calibri"/>
          <w:b w:val="0"/>
          <w:i w:val="0"/>
          <w:color w:val="222222"/>
          <w:sz w:val="21"/>
        </w:rPr>
        <w:t xml:space="preserve"> On the 336 developmental-plate recordings, the same recording's value under </w:t>
      </w:r>
      <w:r>
        <w:rPr>
          <w:rFonts w:ascii="Consolas" w:hAnsi="Consolas"/>
          <w:b w:val="0"/>
          <w:i w:val="0"/>
          <w:color w:val="222222"/>
          <w:sz w:val="19"/>
        </w:rPr>
        <w:t>kapucu2022</w:t>
      </w:r>
      <w:r>
        <w:rPr>
          <w:rFonts w:ascii="Calibri" w:hAnsi="Calibri"/>
          <w:b w:val="0"/>
          <w:i w:val="0"/>
          <w:color w:val="222222"/>
          <w:sz w:val="21"/>
        </w:rPr>
        <w:t xml:space="preserve"> divided by its value under ours, with the agreement study's thresholds: same number when the ratio is within 0.05 of one and the rank agreement reaches 0.95; scale factor when the ranks agree and the ratio does not; no conversion when the ranks do not agree. The last column is how far </w:t>
      </w:r>
      <w:r>
        <w:rPr>
          <w:rFonts w:ascii="Consolas" w:hAnsi="Consolas"/>
          <w:b w:val="0"/>
          <w:i w:val="0"/>
          <w:color w:val="222222"/>
          <w:sz w:val="19"/>
        </w:rPr>
        <w:t>kapucu2022</w:t>
      </w:r>
      <w:r>
        <w:rPr>
          <w:rFonts w:ascii="Calibri" w:hAnsi="Calibri"/>
          <w:b w:val="0"/>
          <w:i w:val="0"/>
          <w:color w:val="222222"/>
          <w:sz w:val="21"/>
        </w:rPr>
        <w:t xml:space="preserve"> itself sits from the depositors' published values.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769"/>
        <w:gridCol w:w="1534"/>
        <w:gridCol w:w="1165"/>
        <w:gridCol w:w="1498"/>
        <w:gridCol w:w="1531"/>
      </w:tblGrid>
      <w:tr>
        <w:trPr>
          <w:cantSplit/>
          <w:tblHeader/>
        </w:trPr>
        <w:tc>
          <w:tcPr>
            <w:tcW w:type="dxa" w:w="2769"/>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 xml:space="preserve">ratio, </w:t>
            </w:r>
            <w:r>
              <w:rPr>
                <w:rFonts w:ascii="Consolas" w:hAnsi="Consolas"/>
                <w:b/>
                <w:i w:val="0"/>
                <w:color w:val="FFFFFF"/>
                <w:sz w:val="18"/>
              </w:rPr>
              <w:t>kapucu2022</w:t>
            </w:r>
            <w:r>
              <w:rPr>
                <w:rFonts w:ascii="Calibri" w:hAnsi="Calibri"/>
                <w:b/>
                <w:i w:val="0"/>
                <w:color w:val="FFFFFF"/>
                <w:sz w:val="20"/>
              </w:rPr>
              <w:t xml:space="preserve"> / ours</w:t>
            </w:r>
          </w:p>
        </w:tc>
        <w:tc>
          <w:tcPr>
            <w:tcW w:type="dxa" w:w="1165"/>
            <w:shd w:val="clear" w:color="auto" w:fill="1F4E79"/>
            <w:vAlign w:val="center"/>
          </w:tcPr>
          <w:p>
            <w:pPr>
              <w:keepNext/>
              <w:spacing w:after="0"/>
              <w:jc w:val="center"/>
            </w:pPr>
            <w:r>
              <w:rPr>
                <w:rFonts w:ascii="Calibri" w:hAnsi="Calibri"/>
                <w:b/>
                <w:i w:val="0"/>
                <w:color w:val="FFFFFF"/>
                <w:sz w:val="20"/>
              </w:rPr>
              <w:t>rank agreement (ρ)</w:t>
            </w:r>
          </w:p>
        </w:tc>
        <w:tc>
          <w:tcPr>
            <w:tcW w:type="dxa" w:w="1498"/>
            <w:shd w:val="clear" w:color="auto" w:fill="1F4E79"/>
            <w:vAlign w:val="center"/>
          </w:tcPr>
          <w:p>
            <w:pPr>
              <w:keepNext/>
              <w:spacing w:after="0"/>
            </w:pPr>
            <w:r>
              <w:rPr>
                <w:rFonts w:ascii="Calibri" w:hAnsi="Calibri"/>
                <w:b/>
                <w:i w:val="0"/>
                <w:color w:val="FFFFFF"/>
                <w:sz w:val="20"/>
              </w:rPr>
              <w:t>verdict</w:t>
            </w:r>
          </w:p>
        </w:tc>
        <w:tc>
          <w:tcPr>
            <w:tcW w:type="dxa" w:w="1531"/>
            <w:shd w:val="clear" w:color="auto" w:fill="1F4E79"/>
            <w:vAlign w:val="center"/>
          </w:tcPr>
          <w:p>
            <w:pPr>
              <w:keepNext/>
              <w:spacing w:after="0"/>
              <w:jc w:val="center"/>
            </w:pPr>
            <w:r>
              <w:rPr>
                <w:rFonts w:ascii="Consolas" w:hAnsi="Consolas"/>
                <w:b/>
                <w:i w:val="0"/>
                <w:color w:val="FFFFFF"/>
                <w:sz w:val="18"/>
              </w:rPr>
              <w:t>kapucu2022</w:t>
            </w:r>
            <w:r>
              <w:rPr>
                <w:rFonts w:ascii="Calibri" w:hAnsi="Calibri"/>
                <w:b/>
                <w:i w:val="0"/>
                <w:color w:val="FFFFFF"/>
                <w:sz w:val="20"/>
              </w:rPr>
              <w:t xml:space="preserve"> / depositors</w:t>
            </w:r>
          </w:p>
        </w:tc>
      </w:tr>
      <w:tr>
        <w:trPr>
          <w:cantSplit/>
        </w:trPr>
        <w:tc>
          <w:tcPr>
            <w:tcW w:type="dxa" w:w="2769"/>
            <w:shd w:val="clear" w:color="auto" w:fill="FFFFFF"/>
            <w:vAlign w:val="center"/>
          </w:tcPr>
          <w:p>
            <w:pPr>
              <w:keepNext/>
              <w:spacing w:after="0"/>
            </w:pPr>
            <w:r>
              <w:rPr>
                <w:rFonts w:ascii="Consolas" w:hAnsi="Consolas"/>
                <w:b/>
                <w:i w:val="0"/>
                <w:color w:val="222222"/>
                <w:sz w:val="18"/>
              </w:rPr>
              <w:t>pct_spikes_in_bursts</w:t>
            </w:r>
          </w:p>
        </w:tc>
        <w:tc>
          <w:tcPr>
            <w:tcW w:type="dxa" w:w="1534"/>
            <w:shd w:val="clear" w:color="auto" w:fill="FFFFFF"/>
            <w:vAlign w:val="center"/>
          </w:tcPr>
          <w:p>
            <w:pPr>
              <w:keepNext/>
              <w:spacing w:after="0"/>
              <w:jc w:val="center"/>
            </w:pPr>
            <w:r>
              <w:rPr>
                <w:rFonts w:ascii="Calibri" w:hAnsi="Calibri"/>
                <w:b w:val="0"/>
                <w:i w:val="0"/>
                <w:color w:val="222222"/>
                <w:sz w:val="20"/>
              </w:rPr>
              <w:t>1.0132</w:t>
            </w:r>
          </w:p>
        </w:tc>
        <w:tc>
          <w:tcPr>
            <w:tcW w:type="dxa" w:w="1165"/>
            <w:shd w:val="clear" w:color="auto" w:fill="FFFFFF"/>
            <w:vAlign w:val="center"/>
          </w:tcPr>
          <w:p>
            <w:pPr>
              <w:keepNext/>
              <w:spacing w:after="0"/>
              <w:jc w:val="center"/>
            </w:pPr>
            <w:r>
              <w:rPr>
                <w:rFonts w:ascii="Calibri" w:hAnsi="Calibri"/>
                <w:b w:val="0"/>
                <w:i w:val="0"/>
                <w:color w:val="222222"/>
                <w:sz w:val="20"/>
              </w:rPr>
              <w:t>0.9808</w:t>
            </w:r>
          </w:p>
        </w:tc>
        <w:tc>
          <w:tcPr>
            <w:tcW w:type="dxa" w:w="1498"/>
            <w:shd w:val="clear" w:color="auto" w:fill="FFFFFF"/>
            <w:vAlign w:val="center"/>
          </w:tcPr>
          <w:p>
            <w:pPr>
              <w:keepNext/>
              <w:spacing w:after="0"/>
            </w:pPr>
            <w:r>
              <w:rPr>
                <w:rFonts w:ascii="Consolas" w:hAnsi="Consolas"/>
                <w:b w:val="0"/>
                <w:i w:val="0"/>
                <w:color w:val="222222"/>
                <w:sz w:val="18"/>
              </w:rPr>
              <w:t>same number</w:t>
            </w:r>
          </w:p>
        </w:tc>
        <w:tc>
          <w:tcPr>
            <w:tcW w:type="dxa" w:w="1531"/>
            <w:shd w:val="clear" w:color="auto" w:fill="FFFFFF"/>
            <w:vAlign w:val="center"/>
          </w:tcPr>
          <w:p>
            <w:pPr>
              <w:keepNext/>
              <w:spacing w:after="0"/>
              <w:jc w:val="center"/>
            </w:pPr>
            <w:r>
              <w:rPr>
                <w:rFonts w:ascii="Calibri" w:hAnsi="Calibri"/>
                <w:b w:val="0"/>
                <w:i w:val="0"/>
                <w:color w:val="222222"/>
                <w:sz w:val="20"/>
              </w:rPr>
              <w:t>1.0007</w:t>
            </w:r>
          </w:p>
        </w:tc>
      </w:tr>
      <w:tr>
        <w:trPr>
          <w:cantSplit/>
        </w:trPr>
        <w:tc>
          <w:tcPr>
            <w:tcW w:type="dxa" w:w="2769"/>
            <w:shd w:val="clear" w:color="auto" w:fill="F7F9FB"/>
            <w:vAlign w:val="center"/>
          </w:tcPr>
          <w:p>
            <w:pPr>
              <w:keepNext/>
              <w:spacing w:after="0"/>
            </w:pPr>
            <w:r>
              <w:rPr>
                <w:rFonts w:ascii="Consolas" w:hAnsi="Consolas"/>
                <w:b/>
                <w:i w:val="0"/>
                <w:color w:val="222222"/>
                <w:sz w:val="18"/>
              </w:rPr>
              <w:t>spikes_per_burst</w:t>
            </w:r>
          </w:p>
        </w:tc>
        <w:tc>
          <w:tcPr>
            <w:tcW w:type="dxa" w:w="1534"/>
            <w:shd w:val="clear" w:color="auto" w:fill="F7F9FB"/>
            <w:vAlign w:val="center"/>
          </w:tcPr>
          <w:p>
            <w:pPr>
              <w:keepNext/>
              <w:spacing w:after="0"/>
              <w:jc w:val="center"/>
            </w:pPr>
            <w:r>
              <w:rPr>
                <w:rFonts w:ascii="Calibri" w:hAnsi="Calibri"/>
                <w:b w:val="0"/>
                <w:i w:val="0"/>
                <w:color w:val="222222"/>
                <w:sz w:val="20"/>
              </w:rPr>
              <w:t>1.0</w:t>
            </w:r>
          </w:p>
        </w:tc>
        <w:tc>
          <w:tcPr>
            <w:tcW w:type="dxa" w:w="1165"/>
            <w:shd w:val="clear" w:color="auto" w:fill="F7F9FB"/>
            <w:vAlign w:val="center"/>
          </w:tcPr>
          <w:p>
            <w:pPr>
              <w:keepNext/>
              <w:spacing w:after="0"/>
              <w:jc w:val="center"/>
            </w:pPr>
            <w:r>
              <w:rPr>
                <w:rFonts w:ascii="Calibri" w:hAnsi="Calibri"/>
                <w:b w:val="0"/>
                <w:i w:val="0"/>
                <w:color w:val="222222"/>
                <w:sz w:val="20"/>
              </w:rPr>
              <w:t>0.9766</w:t>
            </w:r>
          </w:p>
        </w:tc>
        <w:tc>
          <w:tcPr>
            <w:tcW w:type="dxa" w:w="1498"/>
            <w:shd w:val="clear" w:color="auto" w:fill="F7F9FB"/>
            <w:vAlign w:val="center"/>
          </w:tcPr>
          <w:p>
            <w:pPr>
              <w:keepNext/>
              <w:spacing w:after="0"/>
            </w:pPr>
            <w:r>
              <w:rPr>
                <w:rFonts w:ascii="Consolas" w:hAnsi="Consolas"/>
                <w:b w:val="0"/>
                <w:i w:val="0"/>
                <w:color w:val="222222"/>
                <w:sz w:val="18"/>
              </w:rPr>
              <w:t>same number</w:t>
            </w:r>
          </w:p>
        </w:tc>
        <w:tc>
          <w:tcPr>
            <w:tcW w:type="dxa" w:w="1531"/>
            <w:shd w:val="clear" w:color="auto" w:fill="F7F9FB"/>
            <w:vAlign w:val="center"/>
          </w:tcPr>
          <w:p>
            <w:pPr>
              <w:keepNext/>
              <w:spacing w:after="0"/>
              <w:jc w:val="center"/>
            </w:pPr>
            <w:r>
              <w:rPr>
                <w:rFonts w:ascii="Calibri" w:hAnsi="Calibri"/>
                <w:b w:val="0"/>
                <w:i w:val="0"/>
                <w:color w:val="222222"/>
                <w:sz w:val="20"/>
              </w:rPr>
              <w:t>0.9433</w:t>
            </w:r>
          </w:p>
        </w:tc>
      </w:tr>
      <w:tr>
        <w:trPr>
          <w:cantSplit/>
        </w:trPr>
        <w:tc>
          <w:tcPr>
            <w:tcW w:type="dxa" w:w="2769"/>
            <w:shd w:val="clear" w:color="auto" w:fill="FFFFFF"/>
            <w:vAlign w:val="center"/>
          </w:tcPr>
          <w:p>
            <w:pPr>
              <w:keepNext/>
              <w:spacing w:after="0"/>
            </w:pPr>
            <w:r>
              <w:rPr>
                <w:rFonts w:ascii="Consolas" w:hAnsi="Consolas"/>
                <w:b/>
                <w:i w:val="0"/>
                <w:color w:val="222222"/>
                <w:sz w:val="18"/>
              </w:rPr>
              <w:t>burst_duration_s</w:t>
            </w:r>
          </w:p>
        </w:tc>
        <w:tc>
          <w:tcPr>
            <w:tcW w:type="dxa" w:w="1534"/>
            <w:shd w:val="clear" w:color="auto" w:fill="FFFFFF"/>
            <w:vAlign w:val="center"/>
          </w:tcPr>
          <w:p>
            <w:pPr>
              <w:keepNext/>
              <w:spacing w:after="0"/>
              <w:jc w:val="center"/>
            </w:pPr>
            <w:r>
              <w:rPr>
                <w:rFonts w:ascii="Calibri" w:hAnsi="Calibri"/>
                <w:b w:val="0"/>
                <w:i w:val="0"/>
                <w:color w:val="222222"/>
                <w:sz w:val="20"/>
              </w:rPr>
              <w:t>1.0</w:t>
            </w:r>
          </w:p>
        </w:tc>
        <w:tc>
          <w:tcPr>
            <w:tcW w:type="dxa" w:w="1165"/>
            <w:shd w:val="clear" w:color="auto" w:fill="FFFFFF"/>
            <w:vAlign w:val="center"/>
          </w:tcPr>
          <w:p>
            <w:pPr>
              <w:keepNext/>
              <w:spacing w:after="0"/>
              <w:jc w:val="center"/>
            </w:pPr>
            <w:r>
              <w:rPr>
                <w:rFonts w:ascii="Calibri" w:hAnsi="Calibri"/>
                <w:b w:val="0"/>
                <w:i w:val="0"/>
                <w:color w:val="222222"/>
                <w:sz w:val="20"/>
              </w:rPr>
              <w:t>0.9829</w:t>
            </w:r>
          </w:p>
        </w:tc>
        <w:tc>
          <w:tcPr>
            <w:tcW w:type="dxa" w:w="1498"/>
            <w:shd w:val="clear" w:color="auto" w:fill="FFFFFF"/>
            <w:vAlign w:val="center"/>
          </w:tcPr>
          <w:p>
            <w:pPr>
              <w:keepNext/>
              <w:spacing w:after="0"/>
            </w:pPr>
            <w:r>
              <w:rPr>
                <w:rFonts w:ascii="Consolas" w:hAnsi="Consolas"/>
                <w:b w:val="0"/>
                <w:i w:val="0"/>
                <w:color w:val="222222"/>
                <w:sz w:val="18"/>
              </w:rPr>
              <w:t>same number</w:t>
            </w:r>
          </w:p>
        </w:tc>
        <w:tc>
          <w:tcPr>
            <w:tcW w:type="dxa" w:w="1531"/>
            <w:shd w:val="clear" w:color="auto" w:fill="FFFFFF"/>
            <w:vAlign w:val="center"/>
          </w:tcPr>
          <w:p>
            <w:pPr>
              <w:keepNext/>
              <w:spacing w:after="0"/>
              <w:jc w:val="center"/>
            </w:pPr>
            <w:r>
              <w:rPr>
                <w:rFonts w:ascii="Calibri" w:hAnsi="Calibri"/>
                <w:b w:val="0"/>
                <w:i w:val="0"/>
                <w:color w:val="222222"/>
                <w:sz w:val="20"/>
              </w:rPr>
              <w:t>0.8208</w:t>
            </w:r>
          </w:p>
        </w:tc>
      </w:tr>
      <w:tr>
        <w:trPr>
          <w:cantSplit/>
        </w:trPr>
        <w:tc>
          <w:tcPr>
            <w:tcW w:type="dxa" w:w="2769"/>
            <w:shd w:val="clear" w:color="auto" w:fill="F7F9FB"/>
            <w:vAlign w:val="center"/>
          </w:tcPr>
          <w:p>
            <w:pPr>
              <w:keepNext/>
              <w:spacing w:after="0"/>
            </w:pPr>
            <w:r>
              <w:rPr>
                <w:rFonts w:ascii="Consolas" w:hAnsi="Consolas"/>
                <w:b/>
                <w:i w:val="0"/>
                <w:color w:val="222222"/>
                <w:sz w:val="18"/>
              </w:rPr>
              <w:t>active_electrodes</w:t>
            </w:r>
          </w:p>
        </w:tc>
        <w:tc>
          <w:tcPr>
            <w:tcW w:type="dxa" w:w="1534"/>
            <w:shd w:val="clear" w:color="auto" w:fill="F7F9FB"/>
            <w:vAlign w:val="center"/>
          </w:tcPr>
          <w:p>
            <w:pPr>
              <w:keepNext/>
              <w:spacing w:after="0"/>
              <w:jc w:val="center"/>
            </w:pPr>
            <w:r>
              <w:rPr>
                <w:rFonts w:ascii="Calibri" w:hAnsi="Calibri"/>
                <w:b w:val="0"/>
                <w:i w:val="0"/>
                <w:color w:val="222222"/>
                <w:sz w:val="20"/>
              </w:rPr>
              <w:t>0.734</w:t>
            </w:r>
          </w:p>
        </w:tc>
        <w:tc>
          <w:tcPr>
            <w:tcW w:type="dxa" w:w="1165"/>
            <w:shd w:val="clear" w:color="auto" w:fill="F7F9FB"/>
            <w:vAlign w:val="center"/>
          </w:tcPr>
          <w:p>
            <w:pPr>
              <w:keepNext/>
              <w:spacing w:after="0"/>
              <w:jc w:val="center"/>
            </w:pPr>
            <w:r>
              <w:rPr>
                <w:rFonts w:ascii="Calibri" w:hAnsi="Calibri"/>
                <w:b w:val="0"/>
                <w:i w:val="0"/>
                <w:color w:val="222222"/>
                <w:sz w:val="20"/>
              </w:rPr>
              <w:t>0.9763</w:t>
            </w:r>
          </w:p>
        </w:tc>
        <w:tc>
          <w:tcPr>
            <w:tcW w:type="dxa" w:w="1498"/>
            <w:shd w:val="clear" w:color="auto" w:fill="F7F9FB"/>
            <w:vAlign w:val="center"/>
          </w:tcPr>
          <w:p>
            <w:pPr>
              <w:keepNext/>
              <w:spacing w:after="0"/>
            </w:pPr>
            <w:r>
              <w:rPr>
                <w:rFonts w:ascii="Consolas" w:hAnsi="Consolas"/>
                <w:b w:val="0"/>
                <w:i w:val="0"/>
                <w:color w:val="222222"/>
                <w:sz w:val="18"/>
              </w:rPr>
              <w:t>scale factor</w:t>
            </w:r>
          </w:p>
        </w:tc>
        <w:tc>
          <w:tcPr>
            <w:tcW w:type="dxa" w:w="1531"/>
            <w:shd w:val="clear" w:color="auto" w:fill="F7F9FB"/>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FFFFF"/>
            <w:vAlign w:val="center"/>
          </w:tcPr>
          <w:p>
            <w:pPr>
              <w:keepNext/>
              <w:spacing w:after="0"/>
            </w:pPr>
            <w:r>
              <w:rPr>
                <w:rFonts w:ascii="Consolas" w:hAnsi="Consolas"/>
                <w:b/>
                <w:i w:val="0"/>
                <w:color w:val="222222"/>
                <w:sz w:val="18"/>
              </w:rPr>
              <w:t>mfr_hz</w:t>
            </w:r>
          </w:p>
        </w:tc>
        <w:tc>
          <w:tcPr>
            <w:tcW w:type="dxa" w:w="1534"/>
            <w:shd w:val="clear" w:color="auto" w:fill="FFFFFF"/>
            <w:vAlign w:val="center"/>
          </w:tcPr>
          <w:p>
            <w:pPr>
              <w:keepNext/>
              <w:spacing w:after="0"/>
              <w:jc w:val="center"/>
            </w:pPr>
            <w:r>
              <w:rPr>
                <w:rFonts w:ascii="Calibri" w:hAnsi="Calibri"/>
                <w:b w:val="0"/>
                <w:i w:val="0"/>
                <w:color w:val="222222"/>
                <w:sz w:val="20"/>
              </w:rPr>
              <w:t>1.3264</w:t>
            </w:r>
          </w:p>
        </w:tc>
        <w:tc>
          <w:tcPr>
            <w:tcW w:type="dxa" w:w="1165"/>
            <w:shd w:val="clear" w:color="auto" w:fill="FFFFFF"/>
            <w:vAlign w:val="center"/>
          </w:tcPr>
          <w:p>
            <w:pPr>
              <w:keepNext/>
              <w:spacing w:after="0"/>
              <w:jc w:val="center"/>
            </w:pPr>
            <w:r>
              <w:rPr>
                <w:rFonts w:ascii="Calibri" w:hAnsi="Calibri"/>
                <w:b w:val="0"/>
                <w:i w:val="0"/>
                <w:color w:val="222222"/>
                <w:sz w:val="20"/>
              </w:rPr>
              <w:t>0.9831</w:t>
            </w:r>
          </w:p>
        </w:tc>
        <w:tc>
          <w:tcPr>
            <w:tcW w:type="dxa" w:w="1498"/>
            <w:shd w:val="clear" w:color="auto" w:fill="FFFFFF"/>
            <w:vAlign w:val="center"/>
          </w:tcPr>
          <w:p>
            <w:pPr>
              <w:keepNext/>
              <w:spacing w:after="0"/>
            </w:pPr>
            <w:r>
              <w:rPr>
                <w:rFonts w:ascii="Consolas" w:hAnsi="Consolas"/>
                <w:b w:val="0"/>
                <w:i w:val="0"/>
                <w:color w:val="222222"/>
                <w:sz w:val="18"/>
              </w:rPr>
              <w:t>scale factor</w:t>
            </w:r>
          </w:p>
        </w:tc>
        <w:tc>
          <w:tcPr>
            <w:tcW w:type="dxa" w:w="1531"/>
            <w:shd w:val="clear" w:color="auto" w:fill="FFFFFF"/>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7F9FB"/>
            <w:vAlign w:val="center"/>
          </w:tcPr>
          <w:p>
            <w:pPr>
              <w:keepNext/>
              <w:spacing w:after="0"/>
            </w:pPr>
            <w:r>
              <w:rPr>
                <w:rFonts w:ascii="Consolas" w:hAnsi="Consolas"/>
                <w:b/>
                <w:i w:val="0"/>
                <w:color w:val="222222"/>
                <w:sz w:val="18"/>
              </w:rPr>
              <w:t>synchrony_index</w:t>
            </w:r>
          </w:p>
        </w:tc>
        <w:tc>
          <w:tcPr>
            <w:tcW w:type="dxa" w:w="1534"/>
            <w:shd w:val="clear" w:color="auto" w:fill="F7F9FB"/>
            <w:vAlign w:val="center"/>
          </w:tcPr>
          <w:p>
            <w:pPr>
              <w:keepNext/>
              <w:spacing w:after="0"/>
              <w:jc w:val="center"/>
            </w:pPr>
            <w:r>
              <w:rPr>
                <w:rFonts w:ascii="Calibri" w:hAnsi="Calibri"/>
                <w:b w:val="0"/>
                <w:i w:val="0"/>
                <w:color w:val="222222"/>
                <w:sz w:val="20"/>
              </w:rPr>
              <w:t>1.315</w:t>
            </w:r>
          </w:p>
        </w:tc>
        <w:tc>
          <w:tcPr>
            <w:tcW w:type="dxa" w:w="1165"/>
            <w:shd w:val="clear" w:color="auto" w:fill="F7F9FB"/>
            <w:vAlign w:val="center"/>
          </w:tcPr>
          <w:p>
            <w:pPr>
              <w:keepNext/>
              <w:spacing w:after="0"/>
              <w:jc w:val="center"/>
            </w:pPr>
            <w:r>
              <w:rPr>
                <w:rFonts w:ascii="Calibri" w:hAnsi="Calibri"/>
                <w:b w:val="0"/>
                <w:i w:val="0"/>
                <w:color w:val="222222"/>
                <w:sz w:val="20"/>
              </w:rPr>
              <w:t>0.9839</w:t>
            </w:r>
          </w:p>
        </w:tc>
        <w:tc>
          <w:tcPr>
            <w:tcW w:type="dxa" w:w="1498"/>
            <w:shd w:val="clear" w:color="auto" w:fill="F7F9FB"/>
            <w:vAlign w:val="center"/>
          </w:tcPr>
          <w:p>
            <w:pPr>
              <w:keepNext/>
              <w:spacing w:after="0"/>
            </w:pPr>
            <w:r>
              <w:rPr>
                <w:rFonts w:ascii="Consolas" w:hAnsi="Consolas"/>
                <w:b w:val="0"/>
                <w:i w:val="0"/>
                <w:color w:val="222222"/>
                <w:sz w:val="18"/>
              </w:rPr>
              <w:t>scale factor</w:t>
            </w:r>
          </w:p>
        </w:tc>
        <w:tc>
          <w:tcPr>
            <w:tcW w:type="dxa" w:w="1531"/>
            <w:shd w:val="clear" w:color="auto" w:fill="F7F9FB"/>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FFFFF"/>
            <w:vAlign w:val="center"/>
          </w:tcPr>
          <w:p>
            <w:pPr>
              <w:keepNext w:val="0"/>
              <w:spacing w:after="0"/>
            </w:pPr>
            <w:r>
              <w:rPr>
                <w:rFonts w:ascii="Consolas" w:hAnsi="Consolas"/>
                <w:b/>
                <w:i w:val="0"/>
                <w:color w:val="222222"/>
                <w:sz w:val="18"/>
              </w:rPr>
              <w:t>burst_rate_per_min</w:t>
            </w:r>
          </w:p>
        </w:tc>
        <w:tc>
          <w:tcPr>
            <w:tcW w:type="dxa" w:w="1534"/>
            <w:shd w:val="clear" w:color="auto" w:fill="FFFFFF"/>
            <w:vAlign w:val="center"/>
          </w:tcPr>
          <w:p>
            <w:pPr>
              <w:keepNext w:val="0"/>
              <w:spacing w:after="0"/>
              <w:jc w:val="center"/>
            </w:pPr>
            <w:r>
              <w:rPr>
                <w:rFonts w:ascii="Calibri" w:hAnsi="Calibri"/>
                <w:b w:val="0"/>
                <w:i w:val="0"/>
                <w:color w:val="222222"/>
                <w:sz w:val="20"/>
              </w:rPr>
              <w:t>2.0584</w:t>
            </w:r>
          </w:p>
        </w:tc>
        <w:tc>
          <w:tcPr>
            <w:tcW w:type="dxa" w:w="1165"/>
            <w:shd w:val="clear" w:color="auto" w:fill="FFFFFF"/>
            <w:vAlign w:val="center"/>
          </w:tcPr>
          <w:p>
            <w:pPr>
              <w:keepNext w:val="0"/>
              <w:spacing w:after="0"/>
              <w:jc w:val="center"/>
            </w:pPr>
            <w:r>
              <w:rPr>
                <w:rFonts w:ascii="Calibri" w:hAnsi="Calibri"/>
                <w:b w:val="0"/>
                <w:i w:val="0"/>
                <w:color w:val="222222"/>
                <w:sz w:val="20"/>
              </w:rPr>
              <w:t>0.9299</w:t>
            </w:r>
          </w:p>
        </w:tc>
        <w:tc>
          <w:tcPr>
            <w:tcW w:type="dxa" w:w="1498"/>
            <w:shd w:val="clear" w:color="auto" w:fill="FFFFFF"/>
            <w:vAlign w:val="center"/>
          </w:tcPr>
          <w:p>
            <w:pPr>
              <w:keepNext w:val="0"/>
              <w:spacing w:after="0"/>
            </w:pPr>
            <w:r>
              <w:rPr>
                <w:rFonts w:ascii="Consolas" w:hAnsi="Consolas"/>
                <w:b w:val="0"/>
                <w:i w:val="0"/>
                <w:color w:val="222222"/>
                <w:sz w:val="18"/>
              </w:rPr>
              <w:t>no conversion</w:t>
            </w:r>
          </w:p>
        </w:tc>
        <w:tc>
          <w:tcPr>
            <w:tcW w:type="dxa" w:w="1531"/>
            <w:shd w:val="clear" w:color="auto" w:fill="FFFFFF"/>
            <w:vAlign w:val="center"/>
          </w:tcPr>
          <w:p>
            <w:pPr>
              <w:keepNext w:val="0"/>
              <w:spacing w:after="0"/>
              <w:jc w:val="center"/>
            </w:pPr>
            <w:r>
              <w:rPr>
                <w:rFonts w:ascii="Calibri" w:hAnsi="Calibri"/>
                <w:b w:val="0"/>
                <w:i w:val="0"/>
                <w:color w:val="222222"/>
                <w:sz w:val="20"/>
              </w:rPr>
              <w:t>0.944</w:t>
            </w:r>
          </w:p>
        </w:tc>
      </w:tr>
    </w:tbl>
    <w:p>
      <w:pPr>
        <w:spacing w:after="80"/>
      </w:pPr>
    </w:p>
    <w:p>
      <w:pPr>
        <w:spacing w:after="120"/>
      </w:pPr>
      <w:r>
        <w:rPr>
          <w:rFonts w:ascii="Calibri" w:hAnsi="Calibri"/>
          <w:b w:val="0"/>
          <w:i w:val="0"/>
          <w:color w:val="222222"/>
          <w:sz w:val="21"/>
        </w:rPr>
        <w:t xml:space="preserve">The full table, with the share of recordings within a tenth and the </w:t>
      </w:r>
      <w:r>
        <w:rPr>
          <w:rFonts w:ascii="Consolas" w:hAnsi="Consolas"/>
          <w:b w:val="0"/>
          <w:i w:val="0"/>
          <w:color w:val="222222"/>
          <w:sz w:val="19"/>
        </w:rPr>
        <w:t>kapucu2022_logisi</w:t>
      </w:r>
      <w:r>
        <w:rPr>
          <w:rFonts w:ascii="Calibri" w:hAnsi="Calibri"/>
          <w:b w:val="0"/>
          <w:i w:val="0"/>
          <w:color w:val="222222"/>
          <w:sz w:val="21"/>
        </w:rPr>
        <w:t xml:space="preserve"> pair, is </w:t>
      </w:r>
      <w:r>
        <w:rPr>
          <w:rFonts w:ascii="Consolas" w:hAnsi="Consolas"/>
          <w:b w:val="0"/>
          <w:i w:val="0"/>
          <w:color w:val="222222"/>
          <w:sz w:val="19"/>
        </w:rPr>
        <w:t>outputs/tables/feature_definitions.md</w:t>
      </w:r>
      <w:r>
        <w:rPr>
          <w:rFonts w:ascii="Calibri" w:hAnsi="Calibri"/>
          <w:b w:val="0"/>
          <w:i w:val="0"/>
          <w:color w:val="222222"/>
          <w:sz w:val="21"/>
        </w:rPr>
        <w:t>. Three features carry over unchanged, three by a factor, and burst rate not at all: the denominator change moves each recording by its own share of bursting electrodes, so the ranks shift (ρ 0.9299).</w:t>
      </w:r>
    </w:p>
    <w:p>
      <w:pPr>
        <w:spacing w:after="120"/>
      </w:pPr>
      <w:r>
        <w:rPr>
          <w:rFonts w:ascii="Calibri" w:hAnsi="Calibri"/>
          <w:b/>
          <w:i w:val="0"/>
          <w:color w:val="156082"/>
          <w:sz w:val="21"/>
        </w:rPr>
        <w:t>The limits.</w:t>
      </w:r>
      <w:r>
        <w:rPr>
          <w:rFonts w:ascii="Calibri" w:hAnsi="Calibri"/>
          <w:b w:val="0"/>
          <w:i w:val="0"/>
          <w:color w:val="222222"/>
          <w:sz w:val="21"/>
        </w:rPr>
        <w:t xml:space="preserve"> A translation is checked only where a depositor's own output exists, which today means these three plates; it is not a conversion for other laboratories or cultures. Even here a pooled factor is a property of the recordings, not of the two definitions: per plate the firing-rate ratio is 1.1017 on the rat plate and 1.3902 on hPSC_MEA1, and the active-electrode ratio 0.9008 against 0.6958 (hPSC_MEA2), because the stricter activity threshold drops more of the human electrodes. A same-number verdict between two of our sets says nothing about the depositors: burst duration is unchanged between </w:t>
      </w:r>
      <w:r>
        <w:rPr>
          <w:rFonts w:ascii="Consolas" w:hAnsi="Consolas"/>
          <w:b w:val="0"/>
          <w:i w:val="0"/>
          <w:color w:val="222222"/>
          <w:sz w:val="19"/>
        </w:rPr>
        <w:t>neuromps</w:t>
      </w:r>
      <w:r>
        <w:rPr>
          <w:rFonts w:ascii="Calibri" w:hAnsi="Calibri"/>
          <w:b w:val="0"/>
          <w:i w:val="0"/>
          <w:color w:val="222222"/>
          <w:sz w:val="21"/>
        </w:rPr>
        <w:t xml:space="preserve"> and </w:t>
      </w:r>
      <w:r>
        <w:rPr>
          <w:rFonts w:ascii="Consolas" w:hAnsi="Consolas"/>
          <w:b w:val="0"/>
          <w:i w:val="0"/>
          <w:color w:val="222222"/>
          <w:sz w:val="19"/>
        </w:rPr>
        <w:t>kapucu2022</w:t>
      </w:r>
      <w:r>
        <w:rPr>
          <w:rFonts w:ascii="Calibri" w:hAnsi="Calibri"/>
          <w:b w:val="0"/>
          <w:i w:val="0"/>
          <w:color w:val="222222"/>
          <w:sz w:val="21"/>
        </w:rPr>
        <w:t>, and both sit at 0.8208 of the depositors' value. Under the experimental set, burst duration has no conversion either (</w:t>
      </w:r>
      <w:r>
        <w:rPr>
          <w:rFonts w:ascii="Consolas" w:hAnsi="Consolas"/>
          <w:b w:val="0"/>
          <w:i w:val="0"/>
          <w:color w:val="222222"/>
          <w:sz w:val="19"/>
        </w:rPr>
        <w:t>no conversion</w:t>
      </w:r>
      <w:r>
        <w:rPr>
          <w:rFonts w:ascii="Calibri" w:hAnsi="Calibri"/>
          <w:b w:val="0"/>
          <w:i w:val="0"/>
          <w:color w:val="222222"/>
          <w:sz w:val="21"/>
        </w:rPr>
        <w:t>), and no result in this report uses that set. The sidecar is for reading our records beside a named definition; where spike times exist, recomputing under a named set is better than converting.</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5" name="Picture 5"/>
            <wp:cNvGraphicFramePr>
              <a:graphicFrameLocks noChangeAspect="1"/>
            </wp:cNvGraphicFramePr>
            <a:graphic>
              <a:graphicData uri="http://schemas.openxmlformats.org/drawingml/2006/picture">
                <pic:pic>
                  <pic:nvPicPr>
                    <pic:cNvPr id="0" name="mechanism_classifier_real.png"/>
                    <pic:cNvPicPr/>
                  </pic:nvPicPr>
                  <pic:blipFill>
                    <a:blip r:embed="rId17"/>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6" name="Picture 6"/>
            <wp:cNvGraphicFramePr>
              <a:graphicFrameLocks noChangeAspect="1"/>
            </wp:cNvGraphicFramePr>
            <a:graphic>
              <a:graphicData uri="http://schemas.openxmlformats.org/drawingml/2006/picture">
                <pic:pic>
                  <pic:nvPicPr>
                    <pic:cNvPr id="0" name="mechanism_confusion.png"/>
                    <pic:cNvPicPr/>
                  </pic:nvPicPr>
                  <pic:blipFill>
                    <a:blip r:embed="rId18"/>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7" name="Picture 7"/>
            <wp:cNvGraphicFramePr>
              <a:graphicFrameLocks noChangeAspect="1"/>
            </wp:cNvGraphicFramePr>
            <a:graphic>
              <a:graphicData uri="http://schemas.openxmlformats.org/drawingml/2006/picture">
                <pic:pic>
                  <pic:nvPicPr>
                    <pic:cNvPr id="0" name="species_shift.png"/>
                    <pic:cNvPicPr/>
                  </pic:nvPicPr>
                  <pic:blipFill>
                    <a:blip r:embed="rId19"/>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8" name="Picture 8"/>
            <wp:cNvGraphicFramePr>
              <a:graphicFrameLocks noChangeAspect="1"/>
            </wp:cNvGraphicFramePr>
            <a:graphic>
              <a:graphicData uri="http://schemas.openxmlformats.org/drawingml/2006/picture">
                <pic:pic>
                  <pic:nvPicPr>
                    <pic:cNvPr id="0" name="baseline_species_comparison.png"/>
                    <pic:cNvPicPr/>
                  </pic:nvPicPr>
                  <pic:blipFill>
                    <a:blip r:embed="rId20"/>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9" name="Picture 9"/>
            <wp:cNvGraphicFramePr>
              <a:graphicFrameLocks noChangeAspect="1"/>
            </wp:cNvGraphicFramePr>
            <a:graphic>
              <a:graphicData uri="http://schemas.openxmlformats.org/drawingml/2006/picture">
                <pic:pic>
                  <pic:nvPicPr>
                    <pic:cNvPr id="0" name="platform_contrast_gabaa_antagonist.png"/>
                    <pic:cNvPicPr/>
                  </pic:nvPicPr>
                  <pic:blipFill>
                    <a:blip r:embed="rId21"/>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10" name="Picture 10"/>
            <wp:cNvGraphicFramePr>
              <a:graphicFrameLocks noChangeAspect="1"/>
            </wp:cNvGraphicFramePr>
            <a:graphic>
              <a:graphicData uri="http://schemas.openxmlformats.org/drawingml/2006/picture">
                <pic:pic>
                  <pic:nvPicPr>
                    <pic:cNvPr id="0" name="twin_architecture_simulated.png"/>
                    <pic:cNvPicPr/>
                  </pic:nvPicPr>
                  <pic:blipFill>
                    <a:blip r:embed="rId22"/>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1" name="Picture 11"/>
            <wp:cNvGraphicFramePr>
              <a:graphicFrameLocks noChangeAspect="1"/>
            </wp:cNvGraphicFramePr>
            <a:graphic>
              <a:graphicData uri="http://schemas.openxmlformats.org/drawingml/2006/picture">
                <pic:pic>
                  <pic:nvPicPr>
                    <pic:cNvPr id="0" name="hd12_calibration_simulated.png"/>
                    <pic:cNvPicPr/>
                  </pic:nvPicPr>
                  <pic:blipFill>
                    <a:blip r:embed="rId23"/>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2" name="Picture 12"/>
            <wp:cNvGraphicFramePr>
              <a:graphicFrameLocks noChangeAspect="1"/>
            </wp:cNvGraphicFramePr>
            <a:graphic>
              <a:graphicData uri="http://schemas.openxmlformats.org/drawingml/2006/picture">
                <pic:pic>
                  <pic:nvPicPr>
                    <pic:cNvPr id="0" name="hd13_drug_knob_validation_simulated.png"/>
                    <pic:cNvPicPr/>
                  </pic:nvPicPr>
                  <pic:blipFill>
                    <a:blip r:embed="rId24"/>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3" name="Picture 13"/>
            <wp:cNvGraphicFramePr>
              <a:graphicFrameLocks noChangeAspect="1"/>
            </wp:cNvGraphicFramePr>
            <a:graphic>
              <a:graphicData uri="http://schemas.openxmlformats.org/drawingml/2006/picture">
                <pic:pic>
                  <pic:nvPicPr>
                    <pic:cNvPr id="0" name="compartment_lag_by_device_type.png"/>
                    <pic:cNvPicPr/>
                  </pic:nvPicPr>
                  <pic:blipFill>
                    <a:blip r:embed="rId25"/>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4" name="Picture 14"/>
            <wp:cNvGraphicFramePr>
              <a:graphicFrameLocks noChangeAspect="1"/>
            </wp:cNvGraphicFramePr>
            <a:graphic>
              <a:graphicData uri="http://schemas.openxmlformats.org/drawingml/2006/picture">
                <pic:pic>
                  <pic:nvPicPr>
                    <pic:cNvPr id="0" name="axonal_flow_vs_chamber.png"/>
                    <pic:cNvPicPr/>
                  </pic:nvPicPr>
                  <pic:blipFill>
                    <a:blip r:embed="rId26"/>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5" name="Picture 15"/>
            <wp:cNvGraphicFramePr>
              <a:graphicFrameLocks noChangeAspect="1"/>
            </wp:cNvGraphicFramePr>
            <a:graphic>
              <a:graphicData uri="http://schemas.openxmlformats.org/drawingml/2006/picture">
                <pic:pic>
                  <pic:nvPicPr>
                    <pic:cNvPr id="0" name="inference_network_simulated.png"/>
                    <pic:cNvPicPr/>
                  </pic:nvPicPr>
                  <pic:blipFill>
                    <a:blip r:embed="rId27"/>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keepNext/>
        <w:spacing w:after="120"/>
      </w:pPr>
      <w:r>
        <w:rPr>
          <w:rFonts w:ascii="Calibri" w:hAnsi="Calibri"/>
          <w:b/>
          <w:i w:val="0"/>
          <w:color w:val="156082"/>
          <w:sz w:val="21"/>
        </w:rPr>
        <w:t>A registered follow-up: is the gap the prior's range or the model? (decision D38).</w:t>
      </w:r>
      <w:r>
        <w:rPr>
          <w:rFonts w:ascii="Calibri" w:hAnsi="Calibri"/>
          <w:b w:val="0"/>
          <w:i w:val="0"/>
          <w:color w:val="222222"/>
          <w:sz w:val="21"/>
        </w:rPr>
        <w:t xml:space="preserve"> The check above leaves a question open: are the real recordings far from the simulations because the prior box is too narrow, or because the twin cannot produce them at all? Before registering, we looked at where the gap comes from (a diagnostic on the first-round pool, declared as seen in </w:t>
      </w:r>
      <w:r>
        <w:rPr>
          <w:rFonts w:ascii="Consolas" w:hAnsi="Consolas"/>
          <w:b w:val="0"/>
          <w:i w:val="0"/>
          <w:color w:val="222222"/>
          <w:sz w:val="19"/>
        </w:rPr>
        <w:t>preregistration/twin_prior_reach.json</w:t>
      </w:r>
      <w:r>
        <w:rPr>
          <w:rFonts w:ascii="Calibri" w:hAnsi="Calibri"/>
          <w:b w:val="0"/>
          <w:i w:val="0"/>
          <w:color w:val="222222"/>
          <w:sz w:val="21"/>
        </w:rPr>
        <w:t xml:space="preserve">). On one fixed scale, the first-round pool's own, the median real recording lies 2.43 units from its nearest simulation, against 0.409 between neighbouring simulations. Four summaries carry most of that distance: the firing-rate ratio of the two chambers (a share of 0.338; for 19.5% of real chips it lies outside every simulated value, mostly with the first chamber the faster), the coupling lag (0.181) and the two active-electrode counts (0.164 and 0.113). Shown the real recordings, the first-round posterior pushes against two edges of its box: for 72% of recordings most of its raw mass lies above the </w:t>
      </w:r>
      <w:r>
        <w:rPr>
          <w:rFonts w:ascii="Consolas" w:hAnsi="Consolas"/>
          <w:b w:val="0"/>
          <w:i w:val="0"/>
          <w:color w:val="222222"/>
          <w:sz w:val="19"/>
        </w:rPr>
        <w:t>threshold_scale</w:t>
      </w:r>
      <w:r>
        <w:rPr>
          <w:rFonts w:ascii="Calibri" w:hAnsi="Calibri"/>
          <w:b w:val="0"/>
          <w:i w:val="0"/>
          <w:color w:val="222222"/>
          <w:sz w:val="21"/>
        </w:rPr>
        <w:t xml:space="preserve"> bound, and for 27% below the </w:t>
      </w:r>
      <w:r>
        <w:rPr>
          <w:rFonts w:ascii="Consolas" w:hAnsi="Consolas"/>
          <w:b w:val="0"/>
          <w:i w:val="0"/>
          <w:color w:val="222222"/>
          <w:sz w:val="19"/>
        </w:rPr>
        <w:t>log10_forward_ratio</w:t>
      </w:r>
      <w:r>
        <w:rPr>
          <w:rFonts w:ascii="Calibri" w:hAnsi="Calibri"/>
          <w:b w:val="0"/>
          <w:i w:val="0"/>
          <w:color w:val="222222"/>
          <w:sz w:val="21"/>
        </w:rPr>
        <w:t xml:space="preserve"> bound;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xml:space="preserve"> stay inside. So we registered a wider box only where the recordings push: the pathway ratio re-centred to run either way (1/20 to 20), the upper bounds of </w:t>
      </w:r>
      <w:r>
        <w:rPr>
          <w:rFonts w:ascii="Consolas" w:hAnsi="Consolas"/>
          <w:b w:val="0"/>
          <w:i w:val="0"/>
          <w:color w:val="222222"/>
          <w:sz w:val="19"/>
        </w:rPr>
        <w:t>threshold_scale</w:t>
      </w:r>
      <w:r>
        <w:rPr>
          <w:rFonts w:ascii="Calibri" w:hAnsi="Calibri"/>
          <w:b w:val="0"/>
          <w:i w:val="0"/>
          <w:color w:val="222222"/>
          <w:sz w:val="21"/>
        </w:rPr>
        <w:t xml:space="preserve"> (1.15 to 1.35) and </w:t>
      </w:r>
      <w:r>
        <w:rPr>
          <w:rFonts w:ascii="Consolas" w:hAnsi="Consolas"/>
          <w:b w:val="0"/>
          <w:i w:val="0"/>
          <w:color w:val="222222"/>
          <w:sz w:val="19"/>
        </w:rPr>
        <w:t>ampa_scale</w:t>
      </w:r>
      <w:r>
        <w:rPr>
          <w:rFonts w:ascii="Calibri" w:hAnsi="Calibri"/>
          <w:b w:val="0"/>
          <w:i w:val="0"/>
          <w:color w:val="222222"/>
          <w:sz w:val="21"/>
        </w:rPr>
        <w:t xml:space="preserve"> (1.4 to 1.8) raised, the other two unchanged. We simulated 3,000 runs from it with fresh seeds, all before the registered cut-off, and scored three predictions on the first-round scale, with both pools at the same size: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5867"/>
        <w:gridCol w:w="1525"/>
        <w:gridCol w:w="1104"/>
      </w:tblGrid>
      <w:tr>
        <w:trPr>
          <w:cantSplit/>
          <w:tblHeader/>
        </w:trPr>
        <w:tc>
          <w:tcPr>
            <w:tcW w:type="dxa" w:w="5867"/>
            <w:shd w:val="clear" w:color="auto" w:fill="1F4E79"/>
            <w:vAlign w:val="center"/>
          </w:tcPr>
          <w:p>
            <w:pPr>
              <w:keepNext/>
              <w:spacing w:after="0"/>
            </w:pPr>
            <w:r>
              <w:rPr>
                <w:rFonts w:ascii="Calibri" w:hAnsi="Calibri"/>
                <w:b/>
                <w:i w:val="0"/>
                <w:color w:val="FFFFFF"/>
                <w:sz w:val="20"/>
              </w:rPr>
              <w:t>registered prediction</w:t>
            </w:r>
          </w:p>
        </w:tc>
        <w:tc>
          <w:tcPr>
            <w:tcW w:type="dxa" w:w="1525"/>
            <w:shd w:val="clear" w:color="auto" w:fill="1F4E79"/>
            <w:vAlign w:val="center"/>
          </w:tcPr>
          <w:p>
            <w:pPr>
              <w:keepNext/>
              <w:spacing w:after="0"/>
            </w:pPr>
            <w:r>
              <w:rPr>
                <w:rFonts w:ascii="Calibri" w:hAnsi="Calibri"/>
                <w:b/>
                <w:i w:val="0"/>
                <w:color w:val="FFFFFF"/>
                <w:sz w:val="20"/>
              </w:rPr>
              <w:t>value</w:t>
            </w:r>
          </w:p>
        </w:tc>
        <w:tc>
          <w:tcPr>
            <w:tcW w:type="dxa" w:w="1104"/>
            <w:shd w:val="clear" w:color="auto" w:fill="1F4E79"/>
            <w:vAlign w:val="center"/>
          </w:tcPr>
          <w:p>
            <w:pPr>
              <w:keepNext/>
              <w:spacing w:after="0"/>
            </w:pPr>
            <w:r>
              <w:rPr>
                <w:rFonts w:ascii="Calibri" w:hAnsi="Calibri"/>
                <w:b/>
                <w:i w:val="0"/>
                <w:color w:val="FFFFFF"/>
                <w:sz w:val="20"/>
              </w:rPr>
              <w:t>outcome</w:t>
            </w:r>
          </w:p>
        </w:tc>
      </w:tr>
      <w:tr>
        <w:trPr>
          <w:cantSplit/>
        </w:trPr>
        <w:tc>
          <w:tcPr>
            <w:tcW w:type="dxa" w:w="5867"/>
            <w:shd w:val="clear" w:color="auto" w:fill="FFFFFF"/>
            <w:vAlign w:val="center"/>
          </w:tcPr>
          <w:p>
            <w:pPr>
              <w:keepNext/>
              <w:spacing w:after="0"/>
            </w:pPr>
            <w:r>
              <w:rPr>
                <w:rFonts w:ascii="Calibri" w:hAnsi="Calibri"/>
                <w:b/>
                <w:i w:val="0"/>
                <w:color w:val="222222"/>
                <w:sz w:val="20"/>
              </w:rPr>
              <w:t>R1 reach: median real-to-nearest distance at most halves</w:t>
            </w:r>
          </w:p>
        </w:tc>
        <w:tc>
          <w:tcPr>
            <w:tcW w:type="dxa" w:w="1525"/>
            <w:shd w:val="clear" w:color="auto" w:fill="FFFFFF"/>
            <w:vAlign w:val="center"/>
          </w:tcPr>
          <w:p>
            <w:pPr>
              <w:keepNext/>
              <w:spacing w:after="0"/>
            </w:pPr>
            <w:r>
              <w:rPr>
                <w:rFonts w:ascii="Calibri" w:hAnsi="Calibri"/>
                <w:b w:val="0"/>
                <w:i w:val="0"/>
                <w:color w:val="222222"/>
                <w:sz w:val="20"/>
              </w:rPr>
              <w:t>2.43 to 2.211, ratio 0.91</w:t>
            </w:r>
          </w:p>
        </w:tc>
        <w:tc>
          <w:tcPr>
            <w:tcW w:type="dxa" w:w="1104"/>
            <w:shd w:val="clear" w:color="auto" w:fill="FFFFFF"/>
            <w:vAlign w:val="center"/>
          </w:tcPr>
          <w:p>
            <w:pPr>
              <w:keepNext/>
              <w:spacing w:after="0"/>
            </w:pPr>
            <w:r>
              <w:rPr>
                <w:rFonts w:ascii="Calibri" w:hAnsi="Calibri"/>
                <w:b w:val="0"/>
                <w:i w:val="0"/>
                <w:color w:val="222222"/>
                <w:sz w:val="20"/>
              </w:rPr>
              <w:t>fail</w:t>
            </w:r>
          </w:p>
        </w:tc>
      </w:tr>
      <w:tr>
        <w:trPr>
          <w:cantSplit/>
        </w:trPr>
        <w:tc>
          <w:tcPr>
            <w:tcW w:type="dxa" w:w="5867"/>
            <w:shd w:val="clear" w:color="auto" w:fill="F7F9FB"/>
            <w:vAlign w:val="center"/>
          </w:tcPr>
          <w:p>
            <w:pPr>
              <w:keepNext/>
              <w:spacing w:after="0"/>
            </w:pPr>
            <w:r>
              <w:rPr>
                <w:rFonts w:ascii="Calibri" w:hAnsi="Calibri"/>
                <w:b/>
                <w:i w:val="0"/>
                <w:color w:val="222222"/>
                <w:sz w:val="20"/>
              </w:rPr>
              <w:t>R2 the old region keeps a near neighbour for at least half of the first-round held-out runs</w:t>
            </w:r>
          </w:p>
        </w:tc>
        <w:tc>
          <w:tcPr>
            <w:tcW w:type="dxa" w:w="1525"/>
            <w:shd w:val="clear" w:color="auto" w:fill="F7F9FB"/>
            <w:vAlign w:val="center"/>
          </w:tcPr>
          <w:p>
            <w:pPr>
              <w:keepNext/>
              <w:spacing w:after="0"/>
              <w:jc w:val="center"/>
            </w:pPr>
            <w:r>
              <w:rPr>
                <w:rFonts w:ascii="Calibri" w:hAnsi="Calibri"/>
                <w:b w:val="0"/>
                <w:i w:val="0"/>
                <w:color w:val="222222"/>
                <w:sz w:val="20"/>
              </w:rPr>
              <w:t>0.8233</w:t>
            </w:r>
          </w:p>
        </w:tc>
        <w:tc>
          <w:tcPr>
            <w:tcW w:type="dxa" w:w="1104"/>
            <w:shd w:val="clear" w:color="auto" w:fill="F7F9FB"/>
            <w:vAlign w:val="center"/>
          </w:tcPr>
          <w:p>
            <w:pPr>
              <w:keepNext/>
              <w:spacing w:after="0"/>
            </w:pPr>
            <w:r>
              <w:rPr>
                <w:rFonts w:ascii="Calibri" w:hAnsi="Calibri"/>
                <w:b w:val="0"/>
                <w:i w:val="0"/>
                <w:color w:val="222222"/>
                <w:sz w:val="20"/>
              </w:rPr>
              <w:t>pass</w:t>
            </w:r>
          </w:p>
        </w:tc>
      </w:tr>
      <w:tr>
        <w:trPr>
          <w:cantSplit/>
        </w:trPr>
        <w:tc>
          <w:tcPr>
            <w:tcW w:type="dxa" w:w="5867"/>
            <w:shd w:val="clear" w:color="auto" w:fill="FFFFFF"/>
            <w:vAlign w:val="center"/>
          </w:tcPr>
          <w:p>
            <w:pPr>
              <w:keepNext w:val="0"/>
              <w:spacing w:after="0"/>
            </w:pPr>
            <w:r>
              <w:rPr>
                <w:rFonts w:ascii="Calibri" w:hAnsi="Calibri"/>
                <w:b/>
                <w:i w:val="0"/>
                <w:color w:val="222222"/>
                <w:sz w:val="20"/>
              </w:rPr>
              <w:t xml:space="preserve">R3 one flow on the new pool is calibrated for </w:t>
            </w:r>
            <w:r>
              <w:rPr>
                <w:rFonts w:ascii="Consolas" w:hAnsi="Consolas"/>
                <w:b/>
                <w:i w:val="0"/>
                <w:color w:val="222222"/>
                <w:sz w:val="18"/>
              </w:rPr>
              <w:t>threshold_scale</w:t>
            </w:r>
            <w:r>
              <w:rPr>
                <w:rFonts w:ascii="Calibri" w:hAnsi="Calibri"/>
                <w:b/>
                <w:i w:val="0"/>
                <w:color w:val="222222"/>
                <w:sz w:val="20"/>
              </w:rPr>
              <w:t xml:space="preserve"> on the 200 held-out runs nearest the real recordings (KS p ≥ 0.05)</w:t>
            </w:r>
          </w:p>
        </w:tc>
        <w:tc>
          <w:tcPr>
            <w:tcW w:type="dxa" w:w="1525"/>
            <w:shd w:val="clear" w:color="auto" w:fill="FFFFFF"/>
            <w:vAlign w:val="center"/>
          </w:tcPr>
          <w:p>
            <w:pPr>
              <w:keepNext w:val="0"/>
              <w:spacing w:after="0"/>
              <w:jc w:val="center"/>
            </w:pPr>
            <w:r>
              <w:rPr>
                <w:rFonts w:ascii="Calibri" w:hAnsi="Calibri"/>
                <w:b w:val="0"/>
                <w:i w:val="0"/>
                <w:color w:val="222222"/>
                <w:sz w:val="20"/>
              </w:rPr>
              <w:t>0.2682</w:t>
            </w:r>
          </w:p>
        </w:tc>
        <w:tc>
          <w:tcPr>
            <w:tcW w:type="dxa" w:w="1104"/>
            <w:shd w:val="clear" w:color="auto" w:fill="FFFFFF"/>
            <w:vAlign w:val="center"/>
          </w:tcPr>
          <w:p>
            <w:pPr>
              <w:keepNext w:val="0"/>
              <w:spacing w:after="0"/>
            </w:pPr>
            <w:r>
              <w:rPr>
                <w:rFonts w:ascii="Calibri" w:hAnsi="Calibri"/>
                <w:b w:val="0"/>
                <w:i w:val="0"/>
                <w:color w:val="222222"/>
                <w:sz w:val="20"/>
              </w:rPr>
              <w:t>pass</w:t>
            </w:r>
          </w:p>
        </w:tc>
      </w:tr>
    </w:tbl>
    <w:p>
      <w:pPr>
        <w:spacing w:after="80"/>
      </w:pPr>
    </w:p>
    <w:p>
      <w:pPr>
        <w:spacing w:after="120"/>
      </w:pPr>
      <w:r>
        <w:rPr>
          <w:rFonts w:ascii="Calibri" w:hAnsi="Calibri"/>
          <w:b w:val="0"/>
          <w:i w:val="0"/>
          <w:color w:val="222222"/>
          <w:sz w:val="21"/>
        </w:rPr>
        <w:t>The registered reading of an R1 failure is misspecification within the widened box. Widening helps the far tail (the 90th percentile falls from 5.864 to 4.069), but the typical recording barely moves, and no real recording, in either pool, comes within the distance at which simulations neighbour each other (a share of 0.0 of recordings for the first-round pool and 0.0 for the widened one). What is left is carried by the same summaries as before: the chamber rate ratio (0.2998), the coupling lag (0.1829) and the electrode counts. The new box produces rate ratios on both sides, yet 15% of real recordings still lie above its 99th percentile, which is what one expects if the real asymmetry comes from something the twin does not have (a chamber-specific excitability or cell density, a conduction delay, uneven electrode coverage) rather than from the pathway's direction. The verdict does not depend on the scale: on the new pool's own scale the ratio is 0.876, on the pooled scale 0.856. The first-round cache, whose summary-code hash moved when two off-by-default extractor options were added, still reproduces exactly (6 of 6 re-simulated rows identical), so the two pools come from the same simulator.</w:t>
      </w:r>
    </w:p>
    <w:p>
      <w:pPr>
        <w:keepNext/>
        <w:spacing w:after="120"/>
      </w:pPr>
      <w:r>
        <w:rPr>
          <w:rFonts w:ascii="Calibri" w:hAnsi="Calibri"/>
          <w:b w:val="0"/>
          <w:i w:val="0"/>
          <w:color w:val="222222"/>
          <w:sz w:val="21"/>
        </w:rPr>
        <w:t xml:space="preserve">R3 passes, but it is narrow. On the same 200 near-real runs the new flow fails </w:t>
      </w:r>
      <w:r>
        <w:rPr>
          <w:rFonts w:ascii="Consolas" w:hAnsi="Consolas"/>
          <w:b w:val="0"/>
          <w:i w:val="0"/>
          <w:color w:val="222222"/>
          <w:sz w:val="19"/>
        </w:rPr>
        <w:t>gabaa_scale</w:t>
      </w:r>
      <w:r>
        <w:rPr>
          <w:rFonts w:ascii="Calibri" w:hAnsi="Calibri"/>
          <w:b w:val="0"/>
          <w:i w:val="0"/>
          <w:color w:val="222222"/>
          <w:sz w:val="21"/>
        </w:rPr>
        <w:t xml:space="preserve"> (p = 0.0007) and </w:t>
      </w:r>
      <w:r>
        <w:rPr>
          <w:rFonts w:ascii="Consolas" w:hAnsi="Consolas"/>
          <w:b w:val="0"/>
          <w:i w:val="0"/>
          <w:color w:val="222222"/>
          <w:sz w:val="19"/>
        </w:rPr>
        <w:t>inter_in_degree</w:t>
      </w:r>
      <w:r>
        <w:rPr>
          <w:rFonts w:ascii="Calibri" w:hAnsi="Calibri"/>
          <w:b w:val="0"/>
          <w:i w:val="0"/>
          <w:color w:val="222222"/>
          <w:sz w:val="21"/>
        </w:rPr>
        <w:t xml:space="preserve"> (p = 0.0146), and on all 600 held-out runs </w:t>
      </w:r>
      <w:r>
        <w:rPr>
          <w:rFonts w:ascii="Consolas" w:hAnsi="Consolas"/>
          <w:b w:val="0"/>
          <w:i w:val="0"/>
          <w:color w:val="222222"/>
          <w:sz w:val="19"/>
        </w:rPr>
        <w:t>threshold_scale</w:t>
      </w:r>
      <w:r>
        <w:rPr>
          <w:rFonts w:ascii="Calibri" w:hAnsi="Calibri"/>
          <w:b w:val="0"/>
          <w:i w:val="0"/>
          <w:color w:val="222222"/>
          <w:sz w:val="21"/>
        </w:rPr>
        <w:t xml:space="preserve"> only just passes (p = 0.0511; reported, not tested). And "near" still means about two units away. The wider box does make the inverse model extrapolate less on real recordings: a median 0.468 of its raw draws fall inside its box, against 0.035 for the first-round flow inside its own. But 30% of recordings still put most of their mass above the new </w:t>
      </w:r>
      <w:r>
        <w:rPr>
          <w:rFonts w:ascii="Consolas" w:hAnsi="Consolas"/>
          <w:b w:val="0"/>
          <w:i w:val="0"/>
          <w:color w:val="222222"/>
          <w:sz w:val="19"/>
        </w:rPr>
        <w:t>ampa_scale</w:t>
      </w:r>
      <w:r>
        <w:rPr>
          <w:rFonts w:ascii="Calibri" w:hAnsi="Calibri"/>
          <w:b w:val="0"/>
          <w:i w:val="0"/>
          <w:color w:val="222222"/>
          <w:sz w:val="21"/>
        </w:rPr>
        <w:t xml:space="preserve"> bound, so a still wider box is not ruled out for that knob (reported, not tested). What this means for use: the twin's inverse model is not to be read on absolute real recordings, under either prior; the </w:t>
      </w:r>
      <w:r>
        <w:rPr>
          <w:rFonts w:ascii="Consolas" w:hAnsi="Consolas"/>
          <w:b w:val="0"/>
          <w:i w:val="0"/>
          <w:color w:val="222222"/>
          <w:sz w:val="19"/>
        </w:rPr>
        <w:t>threshold_scale</w:t>
      </w:r>
      <w:r>
        <w:rPr>
          <w:rFonts w:ascii="Calibri" w:hAnsi="Calibri"/>
          <w:b w:val="0"/>
          <w:i w:val="0"/>
          <w:color w:val="222222"/>
          <w:sz w:val="21"/>
        </w:rPr>
        <w:t xml:space="preserve"> calibration D31 adopted holds near them but describes simulations that are themselves far from the data. The next step is a change to the model, not to its prior: a parameter for chamber-specific excitability and for the coupling delay. The full record is </w:t>
      </w:r>
      <w:r>
        <w:rPr>
          <w:rFonts w:ascii="Consolas" w:hAnsi="Consolas"/>
          <w:b w:val="0"/>
          <w:i w:val="0"/>
          <w:color w:val="222222"/>
          <w:sz w:val="19"/>
        </w:rPr>
        <w:t>twin_prior_reach</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xml:space="preserve"> and </w:t>
      </w:r>
      <w:r>
        <w:rPr>
          <w:rFonts w:ascii="Consolas" w:hAnsi="Consolas"/>
          <w:b w:val="0"/>
          <w:i w:val="0"/>
          <w:color w:val="222222"/>
          <w:sz w:val="19"/>
        </w:rPr>
        <w:t>outputs/twin/prior_reach_SIMULATED.json</w:t>
      </w:r>
      <w:r>
        <w:rPr>
          <w:rFonts w:ascii="Calibri" w:hAnsi="Calibri"/>
          <w:b w:val="0"/>
          <w:i w:val="0"/>
          <w:color w:val="222222"/>
          <w:sz w:val="21"/>
        </w:rPr>
        <w:t>.</w:t>
      </w:r>
    </w:p>
    <w:p>
      <w:pPr>
        <w:keepNext/>
        <w:spacing w:before="120" w:after="40"/>
        <w:jc w:val="center"/>
      </w:pPr>
      <w:r>
        <w:drawing>
          <wp:inline xmlns:a="http://schemas.openxmlformats.org/drawingml/2006/main" xmlns:pic="http://schemas.openxmlformats.org/drawingml/2006/picture">
            <wp:extent cx="5394960" cy="4954831"/>
            <wp:docPr id="16" name="Picture 16"/>
            <wp:cNvGraphicFramePr>
              <a:graphicFrameLocks noChangeAspect="1"/>
            </wp:cNvGraphicFramePr>
            <a:graphic>
              <a:graphicData uri="http://schemas.openxmlformats.org/drawingml/2006/picture">
                <pic:pic>
                  <pic:nvPicPr>
                    <pic:cNvPr id="0" name="prior_reach_simulated.png"/>
                    <pic:cNvPicPr/>
                  </pic:nvPicPr>
                  <pic:blipFill>
                    <a:blip r:embed="rId28"/>
                    <a:stretch>
                      <a:fillRect/>
                    </a:stretch>
                  </pic:blipFill>
                  <pic:spPr>
                    <a:xfrm>
                      <a:off x="0" y="0"/>
                      <a:ext cx="5394960" cy="4954831"/>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SIMULATED twin pools under the first-round prior and the widened D38 prior, against the 113 REAL two-chamber recordings, on the first-round scale. Top: each summary's distribution. Bottom left: distance from each real recording to its nearest simulation, both pools at 3,000 runs, beside the distance between neighbouring simulations. Bottom right: which summaries carry that distance.</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
        <w:gridCol w:w="2075"/>
        <w:gridCol w:w="2914"/>
        <w:gridCol w:w="3202"/>
      </w:tblGrid>
      <w:tr>
        <w:trPr>
          <w:cantSplit/>
          <w:tblHeader/>
        </w:trPr>
        <w:tc>
          <w:tcPr>
            <w:tcW w:type="dxa" w:w="305"/>
            <w:shd w:val="clear" w:color="auto" w:fill="1F4E79"/>
            <w:vAlign w:val="center"/>
          </w:tcPr>
          <w:p>
            <w:pPr>
              <w:keepNext/>
              <w:spacing w:after="0"/>
              <w:jc w:val="center"/>
            </w:pPr>
            <w:r>
              <w:rPr>
                <w:rFonts w:ascii="Calibri" w:hAnsi="Calibri"/>
                <w:b/>
                <w:i w:val="0"/>
                <w:color w:val="FFFFFF"/>
                <w:sz w:val="20"/>
              </w:rPr>
              <w:t>#</w:t>
            </w:r>
          </w:p>
        </w:tc>
        <w:tc>
          <w:tcPr>
            <w:tcW w:type="dxa" w:w="2075"/>
            <w:shd w:val="clear" w:color="auto" w:fill="1F4E79"/>
            <w:vAlign w:val="center"/>
          </w:tcPr>
          <w:p>
            <w:pPr>
              <w:keepNext/>
              <w:spacing w:after="0"/>
            </w:pPr>
            <w:r>
              <w:rPr>
                <w:rFonts w:ascii="Calibri" w:hAnsi="Calibri"/>
                <w:b/>
                <w:i w:val="0"/>
                <w:color w:val="FFFFFF"/>
                <w:sz w:val="20"/>
              </w:rPr>
              <w:t>finding</w:t>
            </w:r>
          </w:p>
        </w:tc>
        <w:tc>
          <w:tcPr>
            <w:tcW w:type="dxa" w:w="2914"/>
            <w:shd w:val="clear" w:color="auto" w:fill="1F4E79"/>
            <w:vAlign w:val="center"/>
          </w:tcPr>
          <w:p>
            <w:pPr>
              <w:keepNext/>
              <w:spacing w:after="0"/>
            </w:pPr>
            <w:r>
              <w:rPr>
                <w:rFonts w:ascii="Calibri" w:hAnsi="Calibri"/>
                <w:b/>
                <w:i w:val="0"/>
                <w:color w:val="FFFFFF"/>
                <w:sz w:val="20"/>
              </w:rPr>
              <w:t>evidence</w:t>
            </w:r>
          </w:p>
        </w:tc>
        <w:tc>
          <w:tcPr>
            <w:tcW w:type="dxa" w:w="320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1</w:t>
            </w:r>
          </w:p>
        </w:tc>
        <w:tc>
          <w:tcPr>
            <w:tcW w:type="dxa" w:w="207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914"/>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0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2</w:t>
            </w:r>
          </w:p>
        </w:tc>
        <w:tc>
          <w:tcPr>
            <w:tcW w:type="dxa" w:w="2075"/>
            <w:shd w:val="clear" w:color="auto" w:fill="F7F9FB"/>
            <w:vAlign w:val="center"/>
          </w:tcPr>
          <w:p>
            <w:pPr>
              <w:keepNext/>
              <w:spacing w:after="0"/>
            </w:pPr>
            <w:r>
              <w:rPr>
                <w:rFonts w:ascii="Calibri" w:hAnsi="Calibri"/>
                <w:b w:val="0"/>
                <w:i w:val="0"/>
                <w:color w:val="222222"/>
                <w:sz w:val="20"/>
              </w:rPr>
              <w:t>chamber readouts miss direction</w:t>
            </w:r>
          </w:p>
        </w:tc>
        <w:tc>
          <w:tcPr>
            <w:tcW w:type="dxa" w:w="2914"/>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0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3</w:t>
            </w:r>
          </w:p>
        </w:tc>
        <w:tc>
          <w:tcPr>
            <w:tcW w:type="dxa" w:w="2075"/>
            <w:shd w:val="clear" w:color="auto" w:fill="FFFFFF"/>
            <w:vAlign w:val="center"/>
          </w:tcPr>
          <w:p>
            <w:pPr>
              <w:keepNext/>
              <w:spacing w:after="0"/>
            </w:pPr>
            <w:r>
              <w:rPr>
                <w:rFonts w:ascii="Calibri" w:hAnsi="Calibri"/>
                <w:b w:val="0"/>
                <w:i w:val="0"/>
                <w:color w:val="222222"/>
                <w:sz w:val="20"/>
              </w:rPr>
              <w:t>no cross-laboratory transfer</w:t>
            </w:r>
          </w:p>
        </w:tc>
        <w:tc>
          <w:tcPr>
            <w:tcW w:type="dxa" w:w="2914"/>
            <w:shd w:val="clear" w:color="auto" w:fill="FFFFFF"/>
            <w:vAlign w:val="center"/>
          </w:tcPr>
          <w:p>
            <w:pPr>
              <w:keepNext/>
              <w:spacing w:after="0"/>
            </w:pPr>
            <w:r>
              <w:rPr>
                <w:rFonts w:ascii="Calibri" w:hAnsi="Calibri"/>
                <w:b w:val="0"/>
                <w:i w:val="0"/>
                <w:color w:val="222222"/>
                <w:sz w:val="20"/>
              </w:rPr>
              <w:t>0.3482 against 0.3333 chance</w:t>
            </w:r>
          </w:p>
        </w:tc>
        <w:tc>
          <w:tcPr>
            <w:tcW w:type="dxa" w:w="320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4</w:t>
            </w:r>
          </w:p>
        </w:tc>
        <w:tc>
          <w:tcPr>
            <w:tcW w:type="dxa" w:w="2075"/>
            <w:shd w:val="clear" w:color="auto" w:fill="F7F9FB"/>
            <w:vAlign w:val="center"/>
          </w:tcPr>
          <w:p>
            <w:pPr>
              <w:keepNext/>
              <w:spacing w:after="0"/>
            </w:pPr>
            <w:r>
              <w:rPr>
                <w:rFonts w:ascii="Calibri" w:hAnsi="Calibri"/>
                <w:b w:val="0"/>
                <w:i w:val="0"/>
                <w:color w:val="222222"/>
                <w:sz w:val="20"/>
              </w:rPr>
              <w:t>domain adaptation backfires</w:t>
            </w:r>
          </w:p>
        </w:tc>
        <w:tc>
          <w:tcPr>
            <w:tcW w:type="dxa" w:w="2914"/>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0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5</w:t>
            </w:r>
          </w:p>
        </w:tc>
        <w:tc>
          <w:tcPr>
            <w:tcW w:type="dxa" w:w="2075"/>
            <w:shd w:val="clear" w:color="auto" w:fill="FFFFFF"/>
            <w:vAlign w:val="center"/>
          </w:tcPr>
          <w:p>
            <w:pPr>
              <w:keepNext/>
              <w:spacing w:after="0"/>
            </w:pPr>
            <w:r>
              <w:rPr>
                <w:rFonts w:ascii="Calibri" w:hAnsi="Calibri"/>
                <w:b w:val="0"/>
                <w:i w:val="0"/>
                <w:color w:val="222222"/>
                <w:sz w:val="20"/>
              </w:rPr>
              <w:t>synchrony was an artifact</w:t>
            </w:r>
          </w:p>
        </w:tc>
        <w:tc>
          <w:tcPr>
            <w:tcW w:type="dxa" w:w="2914"/>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0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6</w:t>
            </w:r>
          </w:p>
        </w:tc>
        <w:tc>
          <w:tcPr>
            <w:tcW w:type="dxa" w:w="2075"/>
            <w:shd w:val="clear" w:color="auto" w:fill="F7F9FB"/>
            <w:vAlign w:val="center"/>
          </w:tcPr>
          <w:p>
            <w:pPr>
              <w:keepNext/>
              <w:spacing w:after="0"/>
            </w:pPr>
            <w:r>
              <w:rPr>
                <w:rFonts w:ascii="Calibri" w:hAnsi="Calibri"/>
                <w:b w:val="0"/>
                <w:i w:val="0"/>
                <w:color w:val="222222"/>
                <w:sz w:val="20"/>
              </w:rPr>
              <w:t>posterior over-confidence</w:t>
            </w:r>
          </w:p>
        </w:tc>
        <w:tc>
          <w:tcPr>
            <w:tcW w:type="dxa" w:w="2914"/>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202"/>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7</w:t>
            </w:r>
          </w:p>
        </w:tc>
        <w:tc>
          <w:tcPr>
            <w:tcW w:type="dxa" w:w="2075"/>
            <w:shd w:val="clear" w:color="auto" w:fill="FFFFFF"/>
            <w:vAlign w:val="center"/>
          </w:tcPr>
          <w:p>
            <w:pPr>
              <w:keepNext/>
              <w:spacing w:after="0"/>
            </w:pPr>
            <w:r>
              <w:rPr>
                <w:rFonts w:ascii="Calibri" w:hAnsi="Calibri"/>
                <w:b w:val="0"/>
                <w:i w:val="0"/>
                <w:color w:val="222222"/>
                <w:sz w:val="20"/>
              </w:rPr>
              <w:t>baseline read as drug effect</w:t>
            </w:r>
          </w:p>
        </w:tc>
        <w:tc>
          <w:tcPr>
            <w:tcW w:type="dxa" w:w="2914"/>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0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8</w:t>
            </w:r>
          </w:p>
        </w:tc>
        <w:tc>
          <w:tcPr>
            <w:tcW w:type="dxa" w:w="2075"/>
            <w:shd w:val="clear" w:color="auto" w:fill="F7F9FB"/>
            <w:vAlign w:val="center"/>
          </w:tcPr>
          <w:p>
            <w:pPr>
              <w:keepNext/>
              <w:spacing w:after="0"/>
            </w:pPr>
            <w:r>
              <w:rPr>
                <w:rFonts w:ascii="Calibri" w:hAnsi="Calibri"/>
                <w:b w:val="0"/>
                <w:i w:val="0"/>
                <w:color w:val="222222"/>
                <w:sz w:val="20"/>
              </w:rPr>
              <w:t>support rejection</w:t>
            </w:r>
          </w:p>
        </w:tc>
        <w:tc>
          <w:tcPr>
            <w:tcW w:type="dxa" w:w="2914"/>
            <w:shd w:val="clear" w:color="auto" w:fill="F7F9FB"/>
            <w:vAlign w:val="center"/>
          </w:tcPr>
          <w:p>
            <w:pPr>
              <w:keepNext/>
              <w:spacing w:after="0"/>
            </w:pPr>
            <w:r>
              <w:rPr>
                <w:rFonts w:ascii="Calibri" w:hAnsi="Calibri"/>
                <w:b w:val="0"/>
                <w:i w:val="0"/>
                <w:color w:val="222222"/>
                <w:sz w:val="20"/>
              </w:rPr>
              <w:t>the calibrated twin cannot sample 9 of 113 real recordings; since round 1, a prior widened where the posterior pointed leaves the real recordings almost as far from every simulation (median distance ratio 0.91, registered, §16): the twin does not produce them, so this is misspecification, not the prior's range</w:t>
            </w:r>
          </w:p>
        </w:tc>
        <w:tc>
          <w:tcPr>
            <w:tcW w:type="dxa" w:w="320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 do not read absolute real recordings through the inverse model under either prior; change the model (chamber-specific excitability, coupling delay) before widening the prior further</w:t>
            </w:r>
          </w:p>
        </w:tc>
      </w:tr>
      <w:tr>
        <w:trPr>
          <w:cantSplit/>
        </w:trPr>
        <w:tc>
          <w:tcPr>
            <w:tcW w:type="dxa" w:w="305"/>
            <w:shd w:val="clear" w:color="auto" w:fill="FFFFFF"/>
            <w:vAlign w:val="center"/>
          </w:tcPr>
          <w:p>
            <w:pPr>
              <w:keepNext w:val="0"/>
              <w:spacing w:after="0"/>
              <w:jc w:val="center"/>
            </w:pPr>
            <w:r>
              <w:rPr>
                <w:rFonts w:ascii="Calibri" w:hAnsi="Calibri"/>
                <w:b/>
                <w:i w:val="0"/>
                <w:color w:val="222222"/>
                <w:sz w:val="20"/>
              </w:rPr>
              <w:t>9</w:t>
            </w:r>
          </w:p>
        </w:tc>
        <w:tc>
          <w:tcPr>
            <w:tcW w:type="dxa" w:w="207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914"/>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0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7" name="Picture 17"/>
            <wp:cNvGraphicFramePr>
              <a:graphicFrameLocks noChangeAspect="1"/>
            </wp:cNvGraphicFramePr>
            <a:graphic>
              <a:graphicData uri="http://schemas.openxmlformats.org/drawingml/2006/picture">
                <pic:pic>
                  <pic:nvPicPr>
                    <pic:cNvPr id="0" name="depression_under_block_simulated.png"/>
                    <pic:cNvPicPr/>
                  </pic:nvPicPr>
                  <pic:blipFill>
                    <a:blip r:embed="rId29"/>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48 studies made 239 registered predictions, of which 108 passed, 91 failed and 39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47 registrations, 43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8" name="Picture 18"/>
            <wp:cNvGraphicFramePr>
              <a:graphicFrameLocks noChangeAspect="1"/>
            </wp:cNvGraphicFramePr>
            <a:graphic>
              <a:graphicData uri="http://schemas.openxmlformats.org/drawingml/2006/picture">
                <pic:pic>
                  <pic:nvPicPr>
                    <pic:cNvPr id="0" name="fly_chip_to_animal_dose_SIMULATED.png"/>
                    <pic:cNvPicPr/>
                  </pic:nvPicPr>
                  <pic:blipFill>
                    <a:blip r:embed="rId30"/>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9" name="Picture 19"/>
            <wp:cNvGraphicFramePr>
              <a:graphicFrameLocks noChangeAspect="1"/>
            </wp:cNvGraphicFramePr>
            <a:graphic>
              <a:graphicData uri="http://schemas.openxmlformats.org/drawingml/2006/picture">
                <pic:pic>
                  <pic:nvPicPr>
                    <pic:cNvPr id="0" name="fly_sentinel_ladder_SIMULATED.png"/>
                    <pic:cNvPicPr/>
                  </pic:nvPicPr>
                  <pic:blipFill>
                    <a:blip r:embed="rId31"/>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20" name="Picture 20"/>
            <wp:cNvGraphicFramePr>
              <a:graphicFrameLocks noChangeAspect="1"/>
            </wp:cNvGraphicFramePr>
            <a:graphic>
              <a:graphicData uri="http://schemas.openxmlformats.org/drawingml/2006/picture">
                <pic:pic>
                  <pic:nvPicPr>
                    <pic:cNvPr id="0" name="fly_output_tract_SIMULATED.png"/>
                    <pic:cNvPicPr/>
                  </pic:nvPicPr>
                  <pic:blipFill>
                    <a:blip r:embed="rId32"/>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21" name="Picture 21"/>
            <wp:cNvGraphicFramePr>
              <a:graphicFrameLocks noChangeAspect="1"/>
            </wp:cNvGraphicFramePr>
            <a:graphic>
              <a:graphicData uri="http://schemas.openxmlformats.org/drawingml/2006/picture">
                <pic:pic>
                  <pic:nvPicPr>
                    <pic:cNvPr id="0" name="fly_direction_SIMULATED.png"/>
                    <pic:cNvPicPr/>
                  </pic:nvPicPr>
                  <pic:blipFill>
                    <a:blip r:embed="rId33"/>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2" name="Picture 22"/>
            <wp:cNvGraphicFramePr>
              <a:graphicFrameLocks noChangeAspect="1"/>
            </wp:cNvGraphicFramePr>
            <a:graphic>
              <a:graphicData uri="http://schemas.openxmlformats.org/drawingml/2006/picture">
                <pic:pic>
                  <pic:nvPicPr>
                    <pic:cNvPr id="0" name="fly_motor_onsets_SIMULATED.png"/>
                    <pic:cNvPicPr/>
                  </pic:nvPicPr>
                  <pic:blipFill>
                    <a:blip r:embed="rId34"/>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3" name="Picture 23"/>
            <wp:cNvGraphicFramePr>
              <a:graphicFrameLocks noChangeAspect="1"/>
            </wp:cNvGraphicFramePr>
            <a:graphic>
              <a:graphicData uri="http://schemas.openxmlformats.org/drawingml/2006/picture">
                <pic:pic>
                  <pic:nvPicPr>
                    <pic:cNvPr id="0" name="fly_motor_tie_break_SIMULATED.png"/>
                    <pic:cNvPicPr/>
                  </pic:nvPicPr>
                  <pic:blipFill>
                    <a:blip r:embed="rId35"/>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4" name="Picture 24"/>
            <wp:cNvGraphicFramePr>
              <a:graphicFrameLocks noChangeAspect="1"/>
            </wp:cNvGraphicFramePr>
            <a:graphic>
              <a:graphicData uri="http://schemas.openxmlformats.org/drawingml/2006/picture">
                <pic:pic>
                  <pic:nvPicPr>
                    <pic:cNvPr id="0" name="toxcast_noise_floors_real.png"/>
                    <pic:cNvPicPr/>
                  </pic:nvPicPr>
                  <pic:blipFill>
                    <a:blip r:embed="rId36"/>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5" name="Picture 25"/>
            <wp:cNvGraphicFramePr>
              <a:graphicFrameLocks noChangeAspect="1"/>
            </wp:cNvGraphicFramePr>
            <a:graphic>
              <a:graphicData uri="http://schemas.openxmlformats.org/drawingml/2006/picture">
                <pic:pic>
                  <pic:nvPicPr>
                    <pic:cNvPr id="0" name="twin_toxcast_positive_controls.png"/>
                    <pic:cNvPicPr/>
                  </pic:nvPicPr>
                  <pic:blipFill>
                    <a:blip r:embed="rId37"/>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6" name="Picture 26"/>
            <wp:cNvGraphicFramePr>
              <a:graphicFrameLocks noChangeAspect="1"/>
            </wp:cNvGraphicFramePr>
            <a:graphic>
              <a:graphicData uri="http://schemas.openxmlformats.org/drawingml/2006/picture">
                <pic:pic>
                  <pic:nvPicPr>
                    <pic:cNvPr id="0" name="twin_toxcast_dose_response.png"/>
                    <pic:cNvPicPr/>
                  </pic:nvPicPr>
                  <pic:blipFill>
                    <a:blip r:embed="rId38"/>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7" name="Picture 27"/>
            <wp:cNvGraphicFramePr>
              <a:graphicFrameLocks noChangeAspect="1"/>
            </wp:cNvGraphicFramePr>
            <a:graphic>
              <a:graphicData uri="http://schemas.openxmlformats.org/drawingml/2006/picture">
                <pic:pic>
                  <pic:nvPicPr>
                    <pic:cNvPr id="0" name="hpsc_split_half_real.png"/>
                    <pic:cNvPicPr/>
                  </pic:nvPicPr>
                  <pic:blipFill>
                    <a:blip r:embed="rId39"/>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8" name="Picture 28"/>
            <wp:cNvGraphicFramePr>
              <a:graphicFrameLocks noChangeAspect="1"/>
            </wp:cNvGraphicFramePr>
            <a:graphic>
              <a:graphicData uri="http://schemas.openxmlformats.org/drawingml/2006/picture">
                <pic:pic>
                  <pic:nvPicPr>
                    <pic:cNvPr id="0" name="hpsc_settling_real.png"/>
                    <pic:cNvPicPr/>
                  </pic:nvPicPr>
                  <pic:blipFill>
                    <a:blip r:embed="rId40"/>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keepNext/>
        <w:spacing w:before="240" w:after="60"/>
      </w:pPr>
      <w:r>
        <w:rPr>
          <w:rFonts w:ascii="Calibri" w:hAnsi="Calibri"/>
          <w:b/>
          <w:i w:val="0"/>
          <w:color w:val="1F4E79"/>
          <w:sz w:val="23"/>
        </w:rPr>
        <w:t>Registered replication: does early network bursting predict how a human well settles?</w:t>
      </w:r>
    </w:p>
    <w:p>
      <w:pPr>
        <w:spacing w:after="120"/>
      </w:pPr>
      <w:r>
        <w:rPr>
          <w:rFonts w:ascii="Calibri" w:hAnsi="Calibri"/>
          <w:b/>
          <w:i w:val="0"/>
          <w:color w:val="156082"/>
          <w:sz w:val="21"/>
        </w:rPr>
        <w:t>The post hoc observation.</w:t>
      </w:r>
      <w:r>
        <w:rPr>
          <w:rFonts w:ascii="Calibri" w:hAnsi="Calibri"/>
          <w:b w:val="0"/>
          <w:i w:val="0"/>
          <w:color w:val="222222"/>
          <w:sz w:val="21"/>
        </w:rPr>
        <w:t xml:space="preserve"> Looking again at the follow-up's human wells, after its results were in, we saw two settling behaviours: some wells keep falling after the first five minutes, others recover. Across the 24 human wells, the network-burst rate in the first 5-minute window (nb0, from the same extractor) tracked the later trend (late_b, the slope of the log2 firing rate over the last five of the six windows): Spearman rho −0.73 (well-bootstrap interval −0.90 to −0.42); first-window synchrony less so (−0.49), and first-window firing rate not at all (−0.02). In the 38 rat wells none of the three did (0.17, 0.12, −0.04). These numbers are recomputed by the module and labelled post hoc there; they come from one plate per species at one age, found by looking, so they are a hypothesis, not a result.</w:t>
      </w:r>
    </w:p>
    <w:p>
      <w:pPr>
        <w:keepNext/>
        <w:spacing w:after="120"/>
      </w:pPr>
      <w:r>
        <w:rPr>
          <w:rFonts w:ascii="Calibri" w:hAnsi="Calibri"/>
          <w:b/>
          <w:i w:val="0"/>
          <w:color w:val="156082"/>
          <w:sz w:val="21"/>
        </w:rPr>
        <w:t>The registered test.</w:t>
      </w:r>
      <w:r>
        <w:rPr>
          <w:rFonts w:ascii="Calibri" w:hAnsi="Calibri"/>
          <w:b w:val="0"/>
          <w:i w:val="0"/>
          <w:color w:val="222222"/>
          <w:sz w:val="21"/>
        </w:rPr>
        <w:t xml:space="preserve"> Before any windowed feature was computed on the lab's 12-well developmental plates, we registered a replication on them (decision D36, </w:t>
      </w:r>
      <w:r>
        <w:rPr>
          <w:rFonts w:ascii="Consolas" w:hAnsi="Consolas"/>
          <w:b w:val="0"/>
          <w:i w:val="0"/>
          <w:color w:val="222222"/>
          <w:sz w:val="19"/>
        </w:rPr>
        <w:t>preregistration/hpsc_network_state.json</w:t>
      </w:r>
      <w:r>
        <w:rPr>
          <w:rFonts w:ascii="Calibri" w:hAnsi="Calibri"/>
          <w:b w:val="0"/>
          <w:i w:val="0"/>
          <w:color w:val="222222"/>
          <w:sz w:val="21"/>
        </w:rPr>
        <w:t>; code and tests committed before the real-data run). The pool is D32's replication pool exactly: its usable untreated recordings, 144 human recordings from 12 wells (DIV28 to 66) and 58 rat recordings from 12 wells (DIV21 to 35). Each 10-minute recording is cut into six equal windows; nb0, sync0 and mfr0 are the extractor's features on the first window alone, and late_b is the slope over the last five windows of the follow-up's fixed-electrode log2 rate. The statistic is Spearman rho pooled across ages within a species, with a 95% interval from resampling whole wells. Every recording was scored; nb0 was zero (no network burst in the first 100 seconds) in 44% of human recordings, below the registered limit.</w:t>
      </w:r>
    </w:p>
    <w:p>
      <w:pPr>
        <w:keepNext/>
        <w:spacing w:before="120" w:after="40"/>
        <w:jc w:val="center"/>
      </w:pPr>
      <w:r>
        <w:drawing>
          <wp:inline xmlns:a="http://schemas.openxmlformats.org/drawingml/2006/main" xmlns:pic="http://schemas.openxmlformats.org/drawingml/2006/picture">
            <wp:extent cx="5394960" cy="1505444"/>
            <wp:docPr id="29" name="Picture 29"/>
            <wp:cNvGraphicFramePr>
              <a:graphicFrameLocks noChangeAspect="1"/>
            </wp:cNvGraphicFramePr>
            <a:graphic>
              <a:graphicData uri="http://schemas.openxmlformats.org/drawingml/2006/picture">
                <pic:pic>
                  <pic:nvPicPr>
                    <pic:cNvPr id="0" name="hpsc_network_state_real.png"/>
                    <pic:cNvPicPr/>
                  </pic:nvPicPr>
                  <pic:blipFill>
                    <a:blip r:embed="rId41"/>
                    <a:stretch>
                      <a:fillRect/>
                    </a:stretch>
                  </pic:blipFill>
                  <pic:spPr>
                    <a:xfrm>
                      <a:off x="0" y="0"/>
                      <a:ext cx="5394960" cy="1505444"/>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REAL data, Kapucu 2022, one lab, untreated wells. Each point is one recording: its network-burst rate in the first window (nb0) against the slope of its log2 firing rate over the later five windows (late_b). Left two panels: the registered replication on the 12-well developmental plates (100-second windows), coloured by plate. Right two panels: the post hoc observation on the 48-well baselines (5-minute windows), one recording per well.</w:t>
      </w:r>
    </w:p>
    <w:p>
      <w:pPr>
        <w:spacing w:after="120"/>
      </w:pPr>
      <w:r>
        <w:rPr>
          <w:rFonts w:ascii="Calibri" w:hAnsi="Calibri"/>
          <w:b/>
          <w:i w:val="0"/>
          <w:color w:val="156082"/>
          <w:sz w:val="21"/>
        </w:rPr>
        <w:t>One of the three registered predictions passes; the one that carried the idea fails.</w:t>
      </w:r>
    </w:p>
    <w:p>
      <w:pPr>
        <w:spacing w:after="120"/>
        <w:ind w:left="432" w:hanging="259"/>
      </w:pPr>
      <w:r>
        <w:rPr>
          <w:rFonts w:ascii="Calibri" w:hAnsi="Calibri"/>
          <w:b w:val="0"/>
          <w:i w:val="0"/>
          <w:color w:val="222222"/>
          <w:sz w:val="21"/>
        </w:rPr>
        <w:t>•</w:t>
        <w:tab/>
      </w:r>
      <w:r>
        <w:rPr>
          <w:rFonts w:ascii="Calibri" w:hAnsi="Calibri"/>
          <w:b/>
          <w:i w:val="0"/>
          <w:color w:val="156082"/>
          <w:sz w:val="21"/>
        </w:rPr>
        <w:t>N1 (more early network bursting goes with a more negative later trend, human) fails.</w:t>
      </w:r>
      <w:r>
        <w:rPr>
          <w:rFonts w:ascii="Calibri" w:hAnsi="Calibri"/>
          <w:b w:val="0"/>
          <w:i w:val="0"/>
          <w:color w:val="222222"/>
          <w:sz w:val="21"/>
        </w:rPr>
        <w:t xml:space="preserve"> rho −0.06, 95% interval −0.23 to 0.09, which does not lie below 0.</w:t>
      </w:r>
    </w:p>
    <w:p>
      <w:pPr>
        <w:spacing w:after="120"/>
        <w:ind w:left="432" w:hanging="259"/>
      </w:pPr>
      <w:r>
        <w:rPr>
          <w:rFonts w:ascii="Calibri" w:hAnsi="Calibri"/>
          <w:b w:val="0"/>
          <w:i w:val="0"/>
          <w:color w:val="222222"/>
          <w:sz w:val="21"/>
        </w:rPr>
        <w:t>•</w:t>
        <w:tab/>
      </w:r>
      <w:r>
        <w:rPr>
          <w:rFonts w:ascii="Calibri" w:hAnsi="Calibri"/>
          <w:b/>
          <w:i w:val="0"/>
          <w:color w:val="156082"/>
          <w:sz w:val="21"/>
        </w:rPr>
        <w:t>N2 (no such relation in rat) passes.</w:t>
      </w:r>
      <w:r>
        <w:rPr>
          <w:rFonts w:ascii="Calibri" w:hAnsi="Calibri"/>
          <w:b w:val="0"/>
          <w:i w:val="0"/>
          <w:color w:val="222222"/>
          <w:sz w:val="21"/>
        </w:rPr>
        <w:t xml:space="preserve"> rho −0.06 (−0.28 to 0.20). With N1 failing, this pass says only that neither species shows the relation on these plates.</w:t>
      </w:r>
    </w:p>
    <w:p>
      <w:pPr>
        <w:spacing w:after="120"/>
        <w:ind w:left="432" w:hanging="259"/>
      </w:pPr>
      <w:r>
        <w:rPr>
          <w:rFonts w:ascii="Calibri" w:hAnsi="Calibri"/>
          <w:b w:val="0"/>
          <w:i w:val="0"/>
          <w:color w:val="222222"/>
          <w:sz w:val="21"/>
        </w:rPr>
        <w:t>•</w:t>
        <w:tab/>
      </w:r>
      <w:r>
        <w:rPr>
          <w:rFonts w:ascii="Calibri" w:hAnsi="Calibri"/>
          <w:b/>
          <w:i w:val="0"/>
          <w:color w:val="156082"/>
          <w:sz w:val="21"/>
        </w:rPr>
        <w:t>N3 (network state predicts the trend better than firing rate, human) fails.</w:t>
      </w:r>
      <w:r>
        <w:rPr>
          <w:rFonts w:ascii="Calibri" w:hAnsi="Calibri"/>
          <w:b w:val="0"/>
          <w:i w:val="0"/>
          <w:color w:val="222222"/>
          <w:sz w:val="21"/>
        </w:rPr>
        <w:t xml:space="preserve"> rho(mfr0) − rho(nb0) is 0.02 (−0.09 to 0.11): in these recordings neither early readout tracks the later trend.</w:t>
      </w:r>
    </w:p>
    <w:p>
      <w:pPr>
        <w:spacing w:after="120"/>
      </w:pPr>
      <w:r>
        <w:rPr>
          <w:rFonts w:ascii="Calibri" w:hAnsi="Calibri"/>
          <w:b w:val="0"/>
          <w:i w:val="0"/>
          <w:color w:val="222222"/>
          <w:sz w:val="21"/>
        </w:rPr>
        <w:t>Reported and not tested: first-window synchrony goes weakly with a more negative trend in human recordings (rho −0.17, −0.34 to −0.01) and more clearly in rat (−0.37, −0.57 to −0.13), where the early firing rate does too (−0.41). We did not predict these, and read them as leads at most. Most human developmental recordings fall over the later windows (a share of 0.85 with a negative late_b, against 0.58 on the 48-well baseline), so the "two behaviours" of the baseline plate are not as clear here.</w:t>
      </w:r>
    </w:p>
    <w:p>
      <w:pPr>
        <w:spacing w:after="120"/>
      </w:pPr>
      <w:r>
        <w:rPr>
          <w:rFonts w:ascii="Calibri" w:hAnsi="Calibri"/>
          <w:b/>
          <w:i w:val="0"/>
          <w:color w:val="156082"/>
          <w:sz w:val="21"/>
        </w:rPr>
        <w:t>The registered age check, and what it does and does not say.</w:t>
      </w:r>
      <w:r>
        <w:rPr>
          <w:rFonts w:ascii="Calibri" w:hAnsi="Calibri"/>
          <w:b w:val="0"/>
          <w:i w:val="0"/>
          <w:color w:val="222222"/>
          <w:sz w:val="21"/>
        </w:rPr>
        <w:t xml:space="preserve"> Network bursting and settling could both change with culture age, so the registration asked for rho after regressing the ranks of both on DIV, and for the median of the per-DIV rhos. In human recordings the partial rho is −0.39, not above the registered −0.1, so the age flag is not raised; the per-DIV median is −0.06, with 6 of 11 scored ages negative. The two disagree. Descriptively (added after the run), human first-window bursting falls steeply with age (rank correlation with DIV −0.83), so a linear adjustment for age can reveal a within-age relation that the pooled rho hides, or create one if the age pattern is not linear; the per-DIV rhos, which need no such model, do not show a consistent relation. In rat the partial rho is 0.06. A second post hoc reading asks whether the many zero nb0 values hide the relation: over the 81 human recordings with at least one early network burst, rho is −0.17 (−0.34 to 0.00), far weaker than the baseline plate's −0.73 and with an interval reaching 0.</w:t>
      </w:r>
    </w:p>
    <w:p>
      <w:pPr>
        <w:spacing w:after="120"/>
      </w:pPr>
      <w:r>
        <w:rPr>
          <w:rFonts w:ascii="Calibri" w:hAnsi="Calibri"/>
          <w:b/>
          <w:i w:val="0"/>
          <w:color w:val="156082"/>
          <w:sz w:val="21"/>
        </w:rPr>
        <w:t>What it means for a lab.</w:t>
      </w:r>
      <w:r>
        <w:rPr>
          <w:rFonts w:ascii="Calibri" w:hAnsi="Calibri"/>
          <w:b w:val="0"/>
          <w:i w:val="0"/>
          <w:color w:val="222222"/>
          <w:sz w:val="21"/>
        </w:rPr>
        <w:t xml:space="preserve"> The registered replication does not support stratifying human iPSC wells by their baseline network bursting to predict how they will settle: on independent recordings from the same lab the relation seen on one 48-well plate did not hold. The baseline observation stays a hypothesis tied to one plate, one age and 5-minute windows; the developmental recordings are shorter (windows a third as long, in which nearly half the human recordings had no network burst at all) and span many ages, and either difference could matter. Testing it again would need 30-minute untreated recordings of more human plates at matched ages. The practical reading of the follow-up is unchanged: human wells differ in how they settle, and we cannot yet say from a baseline readout which wells will settle which way.</w:t>
      </w:r>
    </w:p>
    <w:p>
      <w:pPr>
        <w:spacing w:after="120"/>
      </w:pPr>
      <w:r>
        <w:rPr>
          <w:rFonts w:ascii="Calibri" w:hAnsi="Calibri"/>
          <w:b/>
          <w:i w:val="0"/>
          <w:color w:val="156082"/>
          <w:sz w:val="21"/>
        </w:rPr>
        <w:t>Implementation notes.</w:t>
      </w:r>
      <w:r>
        <w:rPr>
          <w:rFonts w:ascii="Calibri" w:hAnsi="Calibri"/>
          <w:b w:val="0"/>
          <w:i w:val="0"/>
          <w:color w:val="222222"/>
          <w:sz w:val="21"/>
        </w:rPr>
        <w:t xml:space="preserve"> Recorded under </w:t>
      </w:r>
      <w:r>
        <w:rPr>
          <w:rFonts w:ascii="Consolas" w:hAnsi="Consolas"/>
          <w:b w:val="0"/>
          <w:i w:val="0"/>
          <w:color w:val="222222"/>
          <w:sz w:val="19"/>
        </w:rPr>
        <w:t>hpsc_network_state.implementation_notes</w:t>
      </w:r>
      <w:r>
        <w:rPr>
          <w:rFonts w:ascii="Calibri" w:hAnsi="Calibri"/>
          <w:b w:val="0"/>
          <w:i w:val="0"/>
          <w:color w:val="222222"/>
          <w:sz w:val="21"/>
        </w:rPr>
        <w:t>: the recordings are D32's usable replication rows, read from its results file; window 0 is t &lt; duration/6 (an edge spike starts the next window) and goes to the extractor alone, with that window's own active rule; late_b uses the follow-up's electrode set, rate and floor, fitted on the last five windows against the window index; each species' interval draws whole wells from a fresh generator with the registered seed, and the three rhos and the N3 difference come from the same draws; "below 0" and "above 0" are strict; "fewer than 30 scored recordings from at least 8 wells" is read as either count falling short; the partial rho regresses average ranks on an intercept and DIV; per-DIV rhos pool both human plates at a shared age. Before the code was committed, a timing check computed first-window features on one rat developmental file and printed one well's values; no trend or correlation was computed before the commit. A quick run scores only the post hoc pool (the developmental plates are in the full tier), and N1 to N3 are then uninterpretable.</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30" name="Picture 30"/>
            <wp:cNvGraphicFramePr>
              <a:graphicFrameLocks noChangeAspect="1"/>
            </wp:cNvGraphicFramePr>
            <a:graphic>
              <a:graphicData uri="http://schemas.openxmlformats.org/drawingml/2006/picture">
                <pic:pic>
                  <pic:nvPicPr>
                    <pic:cNvPr id="0" name="hd14_posterior_ranks_simulated.png"/>
                    <pic:cNvPicPr/>
                  </pic:nvPicPr>
                  <pic:blipFill>
                    <a:blip r:embed="rId42"/>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30.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 After the round the figure was redrawn, with its legend moved off the panels, from simulations regenerated with the registered seeds; every recorded calibration statistic of the study was reproduced exactly first (change log, entry 52).</w:t>
      </w:r>
    </w:p>
    <w:p>
      <w:pPr>
        <w:keepNext/>
        <w:spacing w:before="120" w:after="40"/>
        <w:jc w:val="center"/>
      </w:pPr>
      <w:r>
        <w:drawing>
          <wp:inline xmlns:a="http://schemas.openxmlformats.org/drawingml/2006/main" xmlns:pic="http://schemas.openxmlformats.org/drawingml/2006/picture">
            <wp:extent cx="5394960" cy="4016860"/>
            <wp:docPr id="31" name="Picture 31"/>
            <wp:cNvGraphicFramePr>
              <a:graphicFrameLocks noChangeAspect="1"/>
            </wp:cNvGraphicFramePr>
            <a:graphic>
              <a:graphicData uri="http://schemas.openxmlformats.org/drawingml/2006/picture">
                <pic:pic>
                  <pic:nvPicPr>
                    <pic:cNvPr id="0" name="hd14b_recalibration_simulated.png"/>
                    <pic:cNvPicPr/>
                  </pic:nvPicPr>
                  <pic:blipFill>
                    <a:blip r:embed="rId43"/>
                    <a:stretch>
                      <a:fillRect/>
                    </a:stretch>
                  </pic:blipFill>
                  <pic:spPr>
                    <a:xfrm>
                      <a:off x="0" y="0"/>
                      <a:ext cx="5394960" cy="4016860"/>
                    </a:xfrm>
                    <a:prstGeom prst="rect"/>
                  </pic:spPr>
                </pic:pic>
              </a:graphicData>
            </a:graphic>
          </wp:inline>
        </w:drawing>
      </w:r>
    </w:p>
    <w:p>
      <w:pPr>
        <w:spacing w:after="200"/>
        <w:jc w:val="center"/>
      </w:pPr>
      <w:r>
        <w:rPr>
          <w:rFonts w:ascii="Calibri" w:hAnsi="Calibri"/>
          <w:b/>
          <w:i/>
          <w:color w:val="222222"/>
          <w:sz w:val="17"/>
        </w:rPr>
        <w:t xml:space="preserve">Figure 31.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32" name="Picture 32"/>
            <wp:cNvGraphicFramePr>
              <a:graphicFrameLocks noChangeAspect="1"/>
            </wp:cNvGraphicFramePr>
            <a:graphic>
              <a:graphicData uri="http://schemas.openxmlformats.org/drawingml/2006/picture">
                <pic:pic>
                  <pic:nvPicPr>
                    <pic:cNvPr id="0" name="microchannel_asymmetry_real.png"/>
                    <pic:cNvPicPr/>
                  </pic:nvPicPr>
                  <pic:blipFill>
                    <a:blip r:embed="rId4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32.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