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9"/>
        <w:gridCol w:w="1552"/>
        <w:gridCol w:w="2793"/>
        <w:gridCol w:w="2584"/>
        <w:gridCol w:w="1158"/>
      </w:tblGrid>
      <w:tr>
        <w:trPr>
          <w:cantSplit/>
          <w:tblHeader/>
        </w:trPr>
        <w:tc>
          <w:tcPr>
            <w:tcW w:type="dxa" w:w="409"/>
            <w:shd w:val="clear" w:color="auto" w:fill="1F4E79"/>
            <w:vAlign w:val="center"/>
          </w:tcPr>
          <w:p>
            <w:pPr>
              <w:keepNext/>
              <w:spacing w:after="0"/>
              <w:jc w:val="center"/>
            </w:pPr>
            <w:r>
              <w:rPr>
                <w:rFonts w:ascii="Calibri" w:hAnsi="Calibri"/>
                <w:b/>
                <w:i w:val="0"/>
                <w:color w:val="FFFFFF"/>
                <w:sz w:val="20"/>
              </w:rPr>
              <w:t>#</w:t>
            </w:r>
          </w:p>
        </w:tc>
        <w:tc>
          <w:tcPr>
            <w:tcW w:type="dxa" w:w="1552"/>
            <w:shd w:val="clear" w:color="auto" w:fill="1F4E79"/>
            <w:vAlign w:val="center"/>
          </w:tcPr>
          <w:p>
            <w:pPr>
              <w:keepNext/>
              <w:spacing w:after="0"/>
              <w:jc w:val="center"/>
            </w:pPr>
            <w:r>
              <w:rPr>
                <w:rFonts w:ascii="Calibri" w:hAnsi="Calibri"/>
                <w:b/>
                <w:i w:val="0"/>
                <w:color w:val="FFFFFF"/>
                <w:sz w:val="20"/>
              </w:rPr>
              <w:t>Date</w:t>
            </w:r>
          </w:p>
        </w:tc>
        <w:tc>
          <w:tcPr>
            <w:tcW w:type="dxa" w:w="2793"/>
            <w:shd w:val="clear" w:color="auto" w:fill="1F4E79"/>
            <w:vAlign w:val="center"/>
          </w:tcPr>
          <w:p>
            <w:pPr>
              <w:keepNext/>
              <w:spacing w:after="0"/>
            </w:pPr>
            <w:r>
              <w:rPr>
                <w:rFonts w:ascii="Calibri" w:hAnsi="Calibri"/>
                <w:b/>
                <w:i w:val="0"/>
                <w:color w:val="FFFFFF"/>
                <w:sz w:val="20"/>
              </w:rPr>
              <w:t>Change</w:t>
            </w:r>
          </w:p>
        </w:tc>
        <w:tc>
          <w:tcPr>
            <w:tcW w:type="dxa" w:w="2584"/>
            <w:shd w:val="clear" w:color="auto" w:fill="1F4E79"/>
            <w:vAlign w:val="center"/>
          </w:tcPr>
          <w:p>
            <w:pPr>
              <w:keepNext/>
              <w:spacing w:after="0"/>
            </w:pPr>
            <w:r>
              <w:rPr>
                <w:rFonts w:ascii="Calibri" w:hAnsi="Calibri"/>
                <w:b/>
                <w:i w:val="0"/>
                <w:color w:val="FFFFFF"/>
                <w:sz w:val="20"/>
              </w:rPr>
              <w:t>Effect on results</w:t>
            </w:r>
          </w:p>
        </w:tc>
        <w:tc>
          <w:tcPr>
            <w:tcW w:type="dxa" w:w="1158"/>
            <w:shd w:val="clear" w:color="auto" w:fill="1F4E79"/>
            <w:vAlign w:val="center"/>
          </w:tcPr>
          <w:p>
            <w:pPr>
              <w:keepNext/>
              <w:spacing w:after="0"/>
            </w:pPr>
            <w:r>
              <w:rPr>
                <w:rFonts w:ascii="Calibri" w:hAnsi="Calibri"/>
                <w:b/>
                <w:i w:val="0"/>
                <w:color w:val="FFFFFF"/>
                <w:sz w:val="20"/>
              </w:rPr>
              <w:t>Commits</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w:t>
            </w:r>
          </w:p>
        </w:tc>
        <w:tc>
          <w:tcPr>
            <w:tcW w:type="dxa" w:w="1552"/>
            <w:shd w:val="clear" w:color="auto" w:fill="FFFFFF"/>
            <w:vAlign w:val="center"/>
          </w:tcPr>
          <w:p>
            <w:pPr>
              <w:keepNext/>
              <w:spacing w:after="0"/>
              <w:jc w:val="center"/>
            </w:pPr>
            <w:r>
              <w:rPr>
                <w:rFonts w:ascii="Calibri" w:hAnsi="Calibri"/>
                <w:b w:val="0"/>
                <w:i w:val="0"/>
                <w:color w:val="222222"/>
                <w:sz w:val="20"/>
              </w:rPr>
              <w:t>2026-10-10</w:t>
            </w:r>
          </w:p>
        </w:tc>
        <w:tc>
          <w:tcPr>
            <w:tcW w:type="dxa" w:w="2793"/>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84"/>
            <w:shd w:val="clear" w:color="auto" w:fill="FFFFFF"/>
            <w:vAlign w:val="center"/>
          </w:tcPr>
          <w:p>
            <w:pPr>
              <w:keepNext/>
              <w:spacing w:after="0"/>
            </w:pPr>
            <w:r>
              <w:rPr>
                <w:rFonts w:ascii="Calibri" w:hAnsi="Calibri"/>
                <w:b w:val="0"/>
                <w:i w:val="0"/>
                <w:color w:val="222222"/>
                <w:sz w:val="20"/>
              </w:rPr>
              <w:t>none (no number or claim changed)</w:t>
            </w:r>
          </w:p>
        </w:tc>
        <w:tc>
          <w:tcPr>
            <w:tcW w:type="dxa" w:w="1158"/>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w:t>
            </w:r>
          </w:p>
        </w:tc>
        <w:tc>
          <w:tcPr>
            <w:tcW w:type="dxa" w:w="1552"/>
            <w:shd w:val="clear" w:color="auto" w:fill="F7F9FB"/>
            <w:vAlign w:val="center"/>
          </w:tcPr>
          <w:p>
            <w:pPr>
              <w:keepNext/>
              <w:spacing w:after="0"/>
              <w:jc w:val="center"/>
            </w:pPr>
            <w:r>
              <w:rPr>
                <w:rFonts w:ascii="Calibri" w:hAnsi="Calibri"/>
                <w:b w:val="0"/>
                <w:i w:val="0"/>
                <w:color w:val="222222"/>
                <w:sz w:val="20"/>
              </w:rPr>
              <w:t>2026-10-11</w:t>
            </w:r>
          </w:p>
        </w:tc>
        <w:tc>
          <w:tcPr>
            <w:tcW w:type="dxa" w:w="2793"/>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84"/>
            <w:shd w:val="clear" w:color="auto" w:fill="F7F9FB"/>
            <w:vAlign w:val="center"/>
          </w:tcPr>
          <w:p>
            <w:pPr>
              <w:keepNext/>
              <w:spacing w:after="0"/>
            </w:pPr>
            <w:r>
              <w:rPr>
                <w:rFonts w:ascii="Calibri" w:hAnsi="Calibri"/>
                <w:b w:val="0"/>
                <w:i w:val="0"/>
                <w:color w:val="222222"/>
                <w:sz w:val="20"/>
              </w:rPr>
              <w:t>the dose conclusion reverses</w:t>
            </w:r>
          </w:p>
        </w:tc>
        <w:tc>
          <w:tcPr>
            <w:tcW w:type="dxa" w:w="1158"/>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w:t>
            </w:r>
          </w:p>
        </w:tc>
        <w:tc>
          <w:tcPr>
            <w:tcW w:type="dxa" w:w="1552"/>
            <w:shd w:val="clear" w:color="auto" w:fill="FFFFFF"/>
            <w:vAlign w:val="center"/>
          </w:tcPr>
          <w:p>
            <w:pPr>
              <w:keepNext/>
              <w:spacing w:after="0"/>
              <w:jc w:val="center"/>
            </w:pPr>
            <w:r>
              <w:rPr>
                <w:rFonts w:ascii="Calibri" w:hAnsi="Calibri"/>
                <w:b w:val="0"/>
                <w:i w:val="0"/>
                <w:color w:val="222222"/>
                <w:sz w:val="20"/>
              </w:rPr>
              <w:t>2026-10-22</w:t>
            </w:r>
          </w:p>
        </w:tc>
        <w:tc>
          <w:tcPr>
            <w:tcW w:type="dxa" w:w="2793"/>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84"/>
            <w:shd w:val="clear" w:color="auto" w:fill="FFFFFF"/>
            <w:vAlign w:val="center"/>
          </w:tcPr>
          <w:p>
            <w:pPr>
              <w:keepNext/>
              <w:spacing w:after="0"/>
            </w:pPr>
            <w:r>
              <w:rPr>
                <w:rFonts w:ascii="Calibri" w:hAnsi="Calibri"/>
                <w:b w:val="0"/>
                <w:i w:val="0"/>
                <w:color w:val="222222"/>
                <w:sz w:val="20"/>
              </w:rPr>
              <w:t>none; access only</w:t>
            </w:r>
          </w:p>
        </w:tc>
        <w:tc>
          <w:tcPr>
            <w:tcW w:type="dxa" w:w="1158"/>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w:t>
            </w:r>
          </w:p>
        </w:tc>
        <w:tc>
          <w:tcPr>
            <w:tcW w:type="dxa" w:w="1552"/>
            <w:shd w:val="clear" w:color="auto" w:fill="F7F9FB"/>
            <w:vAlign w:val="center"/>
          </w:tcPr>
          <w:p>
            <w:pPr>
              <w:keepNext/>
              <w:spacing w:after="0"/>
              <w:jc w:val="center"/>
            </w:pPr>
            <w:r>
              <w:rPr>
                <w:rFonts w:ascii="Calibri" w:hAnsi="Calibri"/>
                <w:b w:val="0"/>
                <w:i w:val="0"/>
                <w:color w:val="222222"/>
                <w:sz w:val="20"/>
              </w:rPr>
              <w:t>2026-10-22/23</w:t>
            </w:r>
          </w:p>
        </w:tc>
        <w:tc>
          <w:tcPr>
            <w:tcW w:type="dxa" w:w="2793"/>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84"/>
            <w:shd w:val="clear" w:color="auto" w:fill="F7F9FB"/>
            <w:vAlign w:val="center"/>
          </w:tcPr>
          <w:p>
            <w:pPr>
              <w:keepNext/>
              <w:spacing w:after="0"/>
            </w:pPr>
            <w:r>
              <w:rPr>
                <w:rFonts w:ascii="Calibri" w:hAnsi="Calibri"/>
                <w:b w:val="0"/>
                <w:i w:val="0"/>
                <w:color w:val="222222"/>
                <w:sz w:val="20"/>
              </w:rPr>
              <w:t>new results, pre-registered</w:t>
            </w:r>
          </w:p>
        </w:tc>
        <w:tc>
          <w:tcPr>
            <w:tcW w:type="dxa" w:w="1158"/>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84"/>
            <w:shd w:val="clear" w:color="auto" w:fill="FFFFFF"/>
            <w:vAlign w:val="center"/>
          </w:tcPr>
          <w:p>
            <w:pPr>
              <w:keepNext/>
              <w:spacing w:after="0"/>
            </w:pPr>
            <w:r>
              <w:rPr>
                <w:rFonts w:ascii="Calibri" w:hAnsi="Calibri"/>
                <w:b w:val="0"/>
                <w:i w:val="0"/>
                <w:color w:val="222222"/>
                <w:sz w:val="20"/>
              </w:rPr>
              <w:t>none; structure only</w:t>
            </w:r>
          </w:p>
        </w:tc>
        <w:tc>
          <w:tcPr>
            <w:tcW w:type="dxa" w:w="1158"/>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84"/>
            <w:shd w:val="clear" w:color="auto" w:fill="F7F9FB"/>
            <w:vAlign w:val="center"/>
          </w:tcPr>
          <w:p>
            <w:pPr>
              <w:keepNext/>
              <w:spacing w:after="0"/>
            </w:pPr>
            <w:r>
              <w:rPr>
                <w:rFonts w:ascii="Calibri" w:hAnsi="Calibri"/>
                <w:b w:val="0"/>
                <w:i w:val="0"/>
                <w:color w:val="222222"/>
                <w:sz w:val="20"/>
              </w:rPr>
              <w:t>new comparison (descriptive)</w:t>
            </w:r>
          </w:p>
        </w:tc>
        <w:tc>
          <w:tcPr>
            <w:tcW w:type="dxa" w:w="1158"/>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8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58"/>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84"/>
            <w:shd w:val="clear" w:color="auto" w:fill="F7F9FB"/>
            <w:vAlign w:val="center"/>
          </w:tcPr>
          <w:p>
            <w:pPr>
              <w:keepNext/>
              <w:spacing w:after="0"/>
            </w:pPr>
            <w:r>
              <w:rPr>
                <w:rFonts w:ascii="Calibri" w:hAnsi="Calibri"/>
                <w:b w:val="0"/>
                <w:i w:val="0"/>
                <w:color w:val="222222"/>
                <w:sz w:val="20"/>
              </w:rPr>
              <w:t>1 of 3 registered predictions pass</w:t>
            </w:r>
          </w:p>
        </w:tc>
        <w:tc>
          <w:tcPr>
            <w:tcW w:type="dxa" w:w="1158"/>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84"/>
            <w:shd w:val="clear" w:color="auto" w:fill="FFFFFF"/>
            <w:vAlign w:val="center"/>
          </w:tcPr>
          <w:p>
            <w:pPr>
              <w:keepNext/>
              <w:spacing w:after="0"/>
            </w:pPr>
            <w:r>
              <w:rPr>
                <w:rFonts w:ascii="Calibri" w:hAnsi="Calibri"/>
                <w:b w:val="0"/>
                <w:i w:val="0"/>
                <w:color w:val="222222"/>
                <w:sz w:val="20"/>
              </w:rPr>
              <w:t>4 of 4 registered predictions pass</w:t>
            </w:r>
          </w:p>
        </w:tc>
        <w:tc>
          <w:tcPr>
            <w:tcW w:type="dxa" w:w="1158"/>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10</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84"/>
            <w:shd w:val="clear" w:color="auto" w:fill="F7F9FB"/>
            <w:vAlign w:val="center"/>
          </w:tcPr>
          <w:p>
            <w:pPr>
              <w:keepNext/>
              <w:spacing w:after="0"/>
            </w:pPr>
            <w:r>
              <w:rPr>
                <w:rFonts w:ascii="Calibri" w:hAnsi="Calibri"/>
                <w:b w:val="0"/>
                <w:i w:val="0"/>
                <w:color w:val="222222"/>
                <w:sz w:val="20"/>
              </w:rPr>
              <w:t>6 of 7 registered predictions pass</w:t>
            </w:r>
          </w:p>
        </w:tc>
        <w:tc>
          <w:tcPr>
            <w:tcW w:type="dxa" w:w="1158"/>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11</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8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58"/>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12</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84"/>
            <w:shd w:val="clear" w:color="auto" w:fill="F7F9FB"/>
            <w:vAlign w:val="center"/>
          </w:tcPr>
          <w:p>
            <w:pPr>
              <w:keepNext/>
              <w:spacing w:after="0"/>
            </w:pPr>
            <w:r>
              <w:rPr>
                <w:rFonts w:ascii="Calibri" w:hAnsi="Calibri"/>
                <w:b w:val="0"/>
                <w:i w:val="0"/>
                <w:color w:val="222222"/>
                <w:sz w:val="20"/>
              </w:rPr>
              <w:t>plan, no new results</w:t>
            </w:r>
          </w:p>
        </w:tc>
        <w:tc>
          <w:tcPr>
            <w:tcW w:type="dxa" w:w="1158"/>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13</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8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58"/>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14</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84"/>
            <w:shd w:val="clear" w:color="auto" w:fill="F7F9FB"/>
            <w:vAlign w:val="center"/>
          </w:tcPr>
          <w:p>
            <w:pPr>
              <w:keepNext/>
              <w:spacing w:after="0"/>
            </w:pPr>
            <w:r>
              <w:rPr>
                <w:rFonts w:ascii="Calibri" w:hAnsi="Calibri"/>
                <w:b w:val="0"/>
                <w:i w:val="0"/>
                <w:color w:val="222222"/>
                <w:sz w:val="20"/>
              </w:rPr>
              <w:t>3 of 5 registered predictions pass</w:t>
            </w:r>
          </w:p>
        </w:tc>
        <w:tc>
          <w:tcPr>
            <w:tcW w:type="dxa" w:w="1158"/>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8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58"/>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8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58"/>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84"/>
            <w:shd w:val="clear" w:color="auto" w:fill="FFFFFF"/>
            <w:vAlign w:val="center"/>
          </w:tcPr>
          <w:p>
            <w:pPr>
              <w:keepNext/>
              <w:spacing w:after="0"/>
            </w:pPr>
            <w:r>
              <w:rPr>
                <w:rFonts w:ascii="Calibri" w:hAnsi="Calibri"/>
                <w:b w:val="0"/>
                <w:i w:val="0"/>
                <w:color w:val="222222"/>
                <w:sz w:val="20"/>
              </w:rPr>
              <w:t>1 of 5 pass; no walking rhythm</w:t>
            </w:r>
          </w:p>
        </w:tc>
        <w:tc>
          <w:tcPr>
            <w:tcW w:type="dxa" w:w="1158"/>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84"/>
            <w:shd w:val="clear" w:color="auto" w:fill="F7F9FB"/>
            <w:vAlign w:val="center"/>
          </w:tcPr>
          <w:p>
            <w:pPr>
              <w:keepNext/>
              <w:spacing w:after="0"/>
            </w:pPr>
            <w:r>
              <w:rPr>
                <w:rFonts w:ascii="Calibri" w:hAnsi="Calibri"/>
                <w:b w:val="0"/>
                <w:i w:val="0"/>
                <w:color w:val="222222"/>
                <w:sz w:val="20"/>
              </w:rPr>
              <w:t>6 of 6 registered predictions pass</w:t>
            </w:r>
          </w:p>
        </w:tc>
        <w:tc>
          <w:tcPr>
            <w:tcW w:type="dxa" w:w="1158"/>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84"/>
            <w:shd w:val="clear" w:color="auto" w:fill="FFFFFF"/>
            <w:vAlign w:val="center"/>
          </w:tcPr>
          <w:p>
            <w:pPr>
              <w:keepNext/>
              <w:spacing w:after="0"/>
            </w:pPr>
            <w:r>
              <w:rPr>
                <w:rFonts w:ascii="Calibri" w:hAnsi="Calibri"/>
                <w:b w:val="0"/>
                <w:i w:val="0"/>
                <w:color w:val="222222"/>
                <w:sz w:val="20"/>
              </w:rPr>
              <w:t>stopped by its rule; no cell walks</w:t>
            </w:r>
          </w:p>
        </w:tc>
        <w:tc>
          <w:tcPr>
            <w:tcW w:type="dxa" w:w="1158"/>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20</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84"/>
            <w:shd w:val="clear" w:color="auto" w:fill="F7F9FB"/>
            <w:vAlign w:val="center"/>
          </w:tcPr>
          <w:p>
            <w:pPr>
              <w:keepNext/>
              <w:spacing w:after="0"/>
            </w:pPr>
            <w:r>
              <w:rPr>
                <w:rFonts w:ascii="Calibri" w:hAnsi="Calibri"/>
                <w:b w:val="0"/>
                <w:i w:val="0"/>
                <w:color w:val="222222"/>
                <w:sz w:val="20"/>
              </w:rPr>
              <w:t>1 of 7 at the selected cell</w:t>
            </w:r>
          </w:p>
        </w:tc>
        <w:tc>
          <w:tcPr>
            <w:tcW w:type="dxa" w:w="1158"/>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21</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8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58"/>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22</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The registered rhythm-measure audit</w:t>
            </w:r>
          </w:p>
        </w:tc>
        <w:tc>
          <w:tcPr>
            <w:tcW w:type="dxa" w:w="2584"/>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58"/>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23</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84"/>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58"/>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24</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84"/>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58"/>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84"/>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58"/>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84"/>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58"/>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84"/>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58"/>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84"/>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58"/>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84"/>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58"/>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30</w:t>
            </w:r>
          </w:p>
        </w:tc>
        <w:tc>
          <w:tcPr>
            <w:tcW w:type="dxa" w:w="1552"/>
            <w:shd w:val="clear" w:color="auto" w:fill="F7F9FB"/>
            <w:vAlign w:val="center"/>
          </w:tcPr>
          <w:p>
            <w:pPr>
              <w:keepNext/>
              <w:spacing w:after="0"/>
              <w:jc w:val="center"/>
            </w:pPr>
            <w:r>
              <w:rPr>
                <w:rFonts w:ascii="Calibri" w:hAnsi="Calibri"/>
                <w:b w:val="0"/>
                <w:i w:val="0"/>
                <w:color w:val="222222"/>
                <w:sz w:val="20"/>
              </w:rPr>
              <w:t>2026-10-24/25</w:t>
            </w:r>
          </w:p>
        </w:tc>
        <w:tc>
          <w:tcPr>
            <w:tcW w:type="dxa" w:w="2793"/>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84"/>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58"/>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31</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84"/>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58"/>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32</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84"/>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58"/>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33</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84"/>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58"/>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34</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84"/>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58"/>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35</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84"/>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58"/>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36</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84"/>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58"/>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37</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84"/>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58"/>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38</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84"/>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58"/>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39</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84"/>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58"/>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40</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84"/>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58"/>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41</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84"/>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58"/>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42</w:t>
            </w:r>
          </w:p>
        </w:tc>
        <w:tc>
          <w:tcPr>
            <w:tcW w:type="dxa" w:w="1552"/>
            <w:shd w:val="clear" w:color="auto" w:fill="F7F9FB"/>
            <w:vAlign w:val="center"/>
          </w:tcPr>
          <w:p>
            <w:pPr>
              <w:keepNext/>
              <w:spacing w:after="0"/>
              <w:jc w:val="center"/>
            </w:pPr>
            <w:r>
              <w:rPr>
                <w:rFonts w:ascii="Calibri" w:hAnsi="Calibri"/>
                <w:b w:val="0"/>
                <w:i w:val="0"/>
                <w:color w:val="222222"/>
                <w:sz w:val="20"/>
              </w:rPr>
              <w:t>2026-10-26</w:t>
            </w:r>
          </w:p>
        </w:tc>
        <w:tc>
          <w:tcPr>
            <w:tcW w:type="dxa" w:w="2793"/>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84"/>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58"/>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43</w:t>
            </w:r>
          </w:p>
        </w:tc>
        <w:tc>
          <w:tcPr>
            <w:tcW w:type="dxa" w:w="1552"/>
            <w:shd w:val="clear" w:color="auto" w:fill="FFFFFF"/>
            <w:vAlign w:val="center"/>
          </w:tcPr>
          <w:p>
            <w:pPr>
              <w:keepNext/>
              <w:spacing w:after="0"/>
              <w:jc w:val="center"/>
            </w:pPr>
            <w:r>
              <w:rPr>
                <w:rFonts w:ascii="Calibri" w:hAnsi="Calibri"/>
                <w:b w:val="0"/>
                <w:i w:val="0"/>
                <w:color w:val="222222"/>
                <w:sz w:val="20"/>
              </w:rPr>
              <w:t>2026-10-27</w:t>
            </w:r>
          </w:p>
        </w:tc>
        <w:tc>
          <w:tcPr>
            <w:tcW w:type="dxa" w:w="2793"/>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84"/>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58"/>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val="0"/>
              <w:spacing w:after="0"/>
              <w:jc w:val="center"/>
            </w:pPr>
            <w:r>
              <w:rPr>
                <w:rFonts w:ascii="Calibri" w:hAnsi="Calibri"/>
                <w:b/>
                <w:i w:val="0"/>
                <w:color w:val="222222"/>
                <w:sz w:val="20"/>
              </w:rPr>
              <w:t>44</w:t>
            </w:r>
          </w:p>
        </w:tc>
        <w:tc>
          <w:tcPr>
            <w:tcW w:type="dxa" w:w="1552"/>
            <w:shd w:val="clear" w:color="auto" w:fill="F7F9FB"/>
            <w:vAlign w:val="center"/>
          </w:tcPr>
          <w:p>
            <w:pPr>
              <w:keepNext w:val="0"/>
              <w:spacing w:after="0"/>
              <w:jc w:val="center"/>
            </w:pPr>
            <w:r>
              <w:rPr>
                <w:rFonts w:ascii="Calibri" w:hAnsi="Calibri"/>
                <w:b w:val="0"/>
                <w:i w:val="0"/>
                <w:color w:val="222222"/>
                <w:sz w:val="20"/>
              </w:rPr>
              <w:t>2026-10-28</w:t>
            </w:r>
          </w:p>
        </w:tc>
        <w:tc>
          <w:tcPr>
            <w:tcW w:type="dxa" w:w="2793"/>
            <w:shd w:val="clear" w:color="auto" w:fill="F7F9FB"/>
            <w:vAlign w:val="center"/>
          </w:tcPr>
          <w:p>
            <w:pPr>
              <w:keepNext w:val="0"/>
              <w:spacing w:after="0"/>
            </w:pPr>
            <w:r>
              <w:rPr>
                <w:rFonts w:ascii="Calibri" w:hAnsi="Calibri"/>
                <w:b w:val="0"/>
                <w:i w:val="0"/>
                <w:color w:val="222222"/>
                <w:sz w:val="20"/>
              </w:rPr>
              <w:t>The twin's knob dose-response against real concentration-response curves</w:t>
            </w:r>
          </w:p>
        </w:tc>
        <w:tc>
          <w:tcPr>
            <w:tcW w:type="dxa" w:w="2584"/>
            <w:shd w:val="clear" w:color="auto" w:fill="F7F9FB"/>
            <w:vAlign w:val="center"/>
          </w:tcPr>
          <w:p>
            <w:pPr>
              <w:keepNext w:val="0"/>
              <w:spacing w:after="0"/>
            </w:pPr>
            <w:r>
              <w:rPr>
                <w:rFonts w:ascii="Calibri" w:hAnsi="Calibri"/>
                <w:b w:val="0"/>
                <w:i w:val="0"/>
                <w:color w:val="222222"/>
                <w:sz w:val="20"/>
              </w:rPr>
              <w:t>2 of 4 registered predictions pass; the mechanism label matters, the curve shape does not clear the line</w:t>
            </w:r>
          </w:p>
        </w:tc>
        <w:tc>
          <w:tcPr>
            <w:tcW w:type="dxa" w:w="1158"/>
            <w:shd w:val="clear" w:color="auto" w:fill="F7F9FB"/>
            <w:vAlign w:val="center"/>
          </w:tcPr>
          <w:p>
            <w:pPr>
              <w:keepNext w:val="0"/>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42 registered studies here made 216 predictions: 97 passed, 80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38 result files name their registration, and 0 of them came before it; 3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The counts above include both studies.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